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3461"/>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2"/>
                    <a:stretch>
                      <a:fillRect/>
                    </a:stretch>
                  </pic:blipFill>
                  <pic:spPr>
                    <a:xfrm>
                      <a:off x="0" y="0"/>
                      <a:ext cx="5897880" cy="2543461"/>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543461"/>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3"/>
                    <a:stretch>
                      <a:fillRect/>
                    </a:stretch>
                  </pic:blipFill>
                  <pic:spPr>
                    <a:xfrm>
                      <a:off x="0" y="0"/>
                      <a:ext cx="5897880" cy="2543461"/>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543461"/>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44"/>
                    <a:stretch>
                      <a:fillRect/>
                    </a:stretch>
                  </pic:blipFill>
                  <pic:spPr>
                    <a:xfrm>
                      <a:off x="0" y="0"/>
                      <a:ext cx="5897880" cy="2543461"/>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70364"/>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45"/>
                    <a:stretch>
                      <a:fillRect/>
                    </a:stretch>
                  </pic:blipFill>
                  <pic:spPr>
                    <a:xfrm>
                      <a:off x="0" y="0"/>
                      <a:ext cx="3291840" cy="1870364"/>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37608"/>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46"/>
                    <a:stretch>
                      <a:fillRect/>
                    </a:stretch>
                  </pic:blipFill>
                  <pic:spPr>
                    <a:xfrm>
                      <a:off x="0" y="0"/>
                      <a:ext cx="5897880" cy="1437608"/>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705034"/>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47"/>
                    <a:stretch>
                      <a:fillRect/>
                    </a:stretch>
                  </pic:blipFill>
                  <pic:spPr>
                    <a:xfrm>
                      <a:off x="0" y="0"/>
                      <a:ext cx="3840480" cy="2705034"/>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5"/>
        </w:rPr>
        <w:t>落地页管理</w:t>
      </w:r>
    </w:p>
    <w:p>
      <w:pPr>
        <w:pStyle w:val="16"/>
        <w:spacing w:after="60" w:line="276" w:lineRule="auto"/>
      </w:pPr>
      <w:r>
        <w:rPr>
          <w:rFonts w:ascii="微软雅黑" w:hAnsi="微软雅黑" w:eastAsia="微软雅黑"/>
          <w:b/>
          <w:color w:val="2F5597"/>
          <w:sz w:val="20"/>
        </w:rPr>
        <w:t>落地页管理</w:t>
      </w:r>
      <w:r>
        <w:rPr>
          <w:rFonts w:ascii="微软雅黑" w:hAnsi="微软雅黑" w:eastAsia="微软雅黑"/>
          <w:b w:val="0"/>
          <w:sz w:val="20"/>
        </w:rPr>
        <w:t>：用于维护推广落地页、页面模板和投放链接。</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：新增、编辑、预览、启用或停用落地页，配置标题、素材和跳转地址。</w:t>
      </w:r>
    </w:p>
    <w:p>
      <w:pPr>
        <w:pStyle w:val="16"/>
        <w:spacing w:after="60" w:line="276" w:lineRule="auto"/>
      </w:pPr>
      <w:r>
        <w:rPr>
          <w:rFonts w:ascii="微软雅黑" w:hAnsi="微软雅黑" w:eastAsia="微软雅黑"/>
          <w:b/>
          <w:color w:val="2F5597"/>
          <w:sz w:val="20"/>
        </w:rPr>
        <w:t>投放前检查</w:t>
      </w:r>
      <w:r>
        <w:rPr>
          <w:rFonts w:ascii="微软雅黑" w:hAnsi="微软雅黑" w:eastAsia="微软雅黑"/>
          <w:b w:val="0"/>
          <w:sz w:val="20"/>
        </w:rPr>
        <w:t>：投放前检查页面内容、渠道归属和跳转链路，确保推广链接可访问。</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