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spacing w:after="60" w:line="276" w:lineRule="auto"/>
      </w:pPr>
      <w:r>
        <w:rPr>
          <w:rFonts w:ascii="Microsoft YaHei" w:hAnsi="Microsoft YaHei" w:eastAsia="Microsoft YaHei"/>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pPr>
        <w:pStyle w:val="6"/>
        <w:spacing w:after="60" w:line="276" w:lineRule="auto"/>
      </w:pPr>
      <w:r>
        <w:rPr>
          <w:rFonts w:ascii="Microsoft YaHei" w:hAnsi="Microsoft YaHei" w:eastAsia="Microsoft YaHei"/>
          <w:b/>
          <w:i/>
          <w:color w:val="2F5597"/>
          <w:sz w:val="21"/>
        </w:rPr>
        <w:t>在线提现设置</w:t>
      </w:r>
    </w:p>
    <w:p>
      <w:pPr>
        <w:spacing w:after="60" w:line="276" w:lineRule="auto"/>
      </w:pPr>
      <w:r>
        <w:rPr>
          <w:rFonts w:ascii="Microsoft YaHei" w:hAnsi="Microsoft YaHei" w:eastAsia="Microsoft YaHei"/>
          <w:b w:val="0"/>
          <w:sz w:val="20"/>
        </w:rPr>
        <w:t>在线提现设置页面用于集中管理各提现方式的启停状态、手续费口径和限额范围，是日常核对提现通道配置的主要入口。</w:t>
      </w:r>
    </w:p>
    <w:p>
      <w:pPr>
        <w:spacing w:after="40"/>
        <w:jc w:val="center"/>
      </w:pPr>
      <w:r>
        <w:drawing>
          <wp:inline xmlns:a="http://schemas.openxmlformats.org/drawingml/2006/main" xmlns:pic="http://schemas.openxmlformats.org/drawingml/2006/picture">
            <wp:extent cx="5852160" cy="1853419"/>
            <wp:docPr id="126" name="Picture 12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52160" cy="18534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图：在线提现设置主表，用于查看各支付方式的提现规则、手续费和通道启用状态。</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：页面主表可直接查看排序、支付方式、图标、是否开通通道、单笔限额、百分比手续费、固定手续费、最小手续费金额和备注等内容，适合先逐项核对当前提现方式是否已正确启用。</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：页面顶部可进入“免审自动出款”“提现参数设置”“VIP提现限制设置”等功能区域；如需调整单个提现方式，则在对应行点击“修改”进入明细维护。</w:t>
      </w:r>
    </w:p>
    <w:p>
      <w:pPr>
        <w:pStyle w:val="6"/>
        <w:spacing w:after="60" w:line="276" w:lineRule="auto"/>
      </w:pPr>
      <w:r>
        <w:rPr>
          <w:rFonts w:ascii="Microsoft YaHei" w:hAnsi="Microsoft YaHei" w:eastAsia="Microsoft YaHei"/>
          <w:b/>
          <w:i/>
          <w:color w:val="2F5597"/>
          <w:sz w:val="21"/>
        </w:rPr>
        <w:t>修改</w:t>
      </w:r>
    </w:p>
    <w:p>
      <w:pPr>
        <w:spacing w:after="60" w:line="276" w:lineRule="auto"/>
      </w:pPr>
      <w:r>
        <w:rPr>
          <w:rFonts w:ascii="Microsoft YaHei" w:hAnsi="Microsoft YaHei" w:eastAsia="Microsoft YaHei"/>
          <w:b w:val="0"/>
          <w:sz w:val="20"/>
        </w:rPr>
        <w:t>修改弹窗用于单独调整当前提现方式的基础配置，适合在不影响其他通道的前提下维护手续费、限额和展示信息。</w:t>
      </w:r>
    </w:p>
    <w:p>
      <w:pPr>
        <w:spacing w:after="40"/>
        <w:jc w:val="center"/>
      </w:pPr>
      <w:r>
        <w:drawing>
          <wp:inline xmlns:a="http://schemas.openxmlformats.org/drawingml/2006/main" xmlns:pic="http://schemas.openxmlformats.org/drawingml/2006/picture">
            <wp:extent cx="5852160" cy="8591743"/>
            <wp:docPr id="127" name="Picture 12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859174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图：在线提现设置“修改”弹窗，用于维护单个支付方式的手续费、限额、图标和排序。</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：页面内通常可维护百分比手续费、固定手续费、最小手续费金额、是否开启通道、单笔限制、图标、排序值和备注等字段，其中手续费和限额会直接影响前台提现结果。</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：保存前应同时核对手续费公式和提现上下限；如关闭“是否开启通道”，对应支付方式将不再用于前台在线提现，调整后应同步确认财务和风控口径是否一致。</w:t>
      </w:r>
    </w:p>
    <w:p>
      <w:pPr>
        <w:pStyle w:val="6"/>
        <w:spacing w:after="60" w:line="276" w:lineRule="auto"/>
      </w:pPr>
      <w:r>
        <w:rPr>
          <w:rFonts w:ascii="Microsoft YaHei" w:hAnsi="Microsoft YaHei" w:eastAsia="Microsoft YaHei"/>
          <w:b/>
          <w:i/>
          <w:color w:val="2F5597"/>
          <w:sz w:val="21"/>
        </w:rPr>
        <w:t>免审自动出款</w:t>
      </w:r>
    </w:p>
    <w:p>
      <w:pPr>
        <w:spacing w:after="60" w:line="276" w:lineRule="auto"/>
      </w:pPr>
      <w:r>
        <w:rPr>
          <w:rFonts w:ascii="Microsoft YaHei" w:hAnsi="Microsoft YaHei" w:eastAsia="Microsoft YaHei"/>
          <w:b w:val="0"/>
          <w:sz w:val="20"/>
        </w:rPr>
        <w:t>免审自动出款弹窗用于配置满足条件后可直接进入自动出款流程的订单规则，适合用于低风险、标准化的提现场景。</w:t>
      </w:r>
    </w:p>
    <w:p>
      <w:pPr>
        <w:spacing w:after="40"/>
        <w:jc w:val="center"/>
      </w:pPr>
      <w:r>
        <w:drawing>
          <wp:inline xmlns:a="http://schemas.openxmlformats.org/drawingml/2006/main" xmlns:pic="http://schemas.openxmlformats.org/drawingml/2006/picture">
            <wp:extent cx="5852160" cy="3422962"/>
            <wp:docPr id="128" name="Picture 12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52160" cy="3422962"/>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图：免审自动出款弹窗，用于设置满足条件时可自动出款的门槛。</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：页面通常可设置免费提现金额上限、自动出款支付通道、充值次数、提现次数和适用 VIP 等级，用于限定哪些会员和订单可以命中免审条件。</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：开启前应先确认自动出款通道稳定可用，并核对当前站点风控策略；如条件设置过宽，可能导致本应人工审核的提现单直接进入自动出款。</w:t>
      </w:r>
    </w:p>
    <w:p>
      <w:pPr>
        <w:pStyle w:val="6"/>
        <w:spacing w:after="60" w:line="276" w:lineRule="auto"/>
      </w:pPr>
      <w:r>
        <w:rPr>
          <w:rFonts w:ascii="Microsoft YaHei" w:hAnsi="Microsoft YaHei" w:eastAsia="Microsoft YaHei"/>
          <w:b/>
          <w:i/>
          <w:color w:val="2F5597"/>
          <w:sz w:val="21"/>
        </w:rPr>
        <w:t>提现参数设置</w:t>
      </w:r>
    </w:p>
    <w:p>
      <w:pPr>
        <w:spacing w:after="60" w:line="276" w:lineRule="auto"/>
      </w:pPr>
      <w:r>
        <w:rPr>
          <w:rFonts w:ascii="Microsoft YaHei" w:hAnsi="Microsoft YaHei" w:eastAsia="Microsoft YaHei"/>
          <w:b w:val="0"/>
          <w:sz w:val="20"/>
        </w:rPr>
        <w:t>提现参数设置弹窗用于维护站点级提现审核和免费提现规则，是控制提现流程门槛和审核路径的核心配置区域。</w:t>
      </w:r>
    </w:p>
    <w:p>
      <w:pPr>
        <w:spacing w:after="40"/>
        <w:jc w:val="center"/>
      </w:pPr>
      <w:r>
        <w:drawing>
          <wp:inline xmlns:a="http://schemas.openxmlformats.org/drawingml/2006/main" xmlns:pic="http://schemas.openxmlformats.org/drawingml/2006/picture">
            <wp:extent cx="5852160" cy="5017099"/>
            <wp:docPr id="129" name="Picture 12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852160" cy="501709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图：提现参数设置弹窗，用于设置提现密码、风控审核、免费提现规则和独立提现规则。</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：页面内一般包含提现密码开关、会员可同时进行的提现笔数、是否需要风控审核、免风控层级、免费提现规则以及独立提现规则等参数，这些设置会共同决定提现审核路径。</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：若开启独立提现规则，应确认其适用范围不与常规单笔上下限和 VIP 限制冲突；如开启风控审核，相关订单需先经过风控审核再流转至财务出款。</w:t>
      </w:r>
    </w:p>
    <w:p>
      <w:pPr>
        <w:pStyle w:val="6"/>
        <w:spacing w:after="60" w:line="276" w:lineRule="auto"/>
      </w:pPr>
      <w:r>
        <w:rPr>
          <w:rFonts w:ascii="Microsoft YaHei" w:hAnsi="Microsoft YaHei" w:eastAsia="Microsoft YaHei"/>
          <w:b/>
          <w:i/>
          <w:color w:val="2F5597"/>
          <w:sz w:val="21"/>
        </w:rPr>
        <w:t>VIP提现限制设置</w:t>
      </w:r>
    </w:p>
    <w:p>
      <w:pPr>
        <w:spacing w:after="60" w:line="276" w:lineRule="auto"/>
      </w:pPr>
      <w:r>
        <w:rPr>
          <w:rFonts w:ascii="Microsoft YaHei" w:hAnsi="Microsoft YaHei" w:eastAsia="Microsoft YaHei"/>
          <w:b w:val="0"/>
          <w:sz w:val="20"/>
        </w:rPr>
        <w:t>VIP 提现限制设置弹窗用于按会员等级维护不同的提现次数、额度和手续费优惠规则，适合做分层运营和差异化限制。</w:t>
      </w:r>
    </w:p>
    <w:p>
      <w:pPr>
        <w:spacing w:after="40"/>
        <w:jc w:val="center"/>
      </w:pPr>
      <w:r>
        <w:drawing>
          <wp:inline xmlns:a="http://schemas.openxmlformats.org/drawingml/2006/main" xmlns:pic="http://schemas.openxmlformats.org/drawingml/2006/picture">
            <wp:extent cx="5852160" cy="4352360"/>
            <wp:docPr id="130" name="Picture 13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52160" cy="4352360"/>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图：VIP 提现限制设置弹窗，用于按 VIP 等级维护每日次数、额度和前端提示语。</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：页面通常按 VIP 等级维护每日提款次数限制、每日提款总额限制、提款总次数限制、提款总额限制、每日免手续费交易笔数以及单次最小/最大提现额度等规则。</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：页面下方可同步维护 VIP 前端提示语，用于向会员说明提款规则、打码要求和注意事项；修改后应一并检查前台文案是否与当前限制口径一致。</w:t>
      </w:r>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spacing w:after="60" w:line="276" w:lineRule="auto"/>
      </w:pPr>
      <w:r>
        <w:rPr>
          <w:rFonts w:ascii="Microsoft YaHei" w:hAnsi="Microsoft YaHei" w:eastAsia="Microsoft YaHei"/>
          <w:b w:val="0"/>
          <w:sz w:val="20"/>
        </w:rPr>
        <w:t>会员充值配置用于统一维护在线充值方式、支付方式分组展示和充值提示语。日常配置时可先从在线充值配置主表核对分组与通道状态，再进入支付方式分组或充值配置弹窗补充对应参数。</w:t>
      </w:r>
    </w:p>
    <w:p>
      <w:pPr>
        <w:pStyle w:val="6"/>
        <w:spacing w:after="60" w:line="276" w:lineRule="auto"/>
      </w:pPr>
      <w:r>
        <w:rPr>
          <w:rFonts w:ascii="Microsoft YaHei" w:hAnsi="Microsoft YaHei" w:eastAsia="Microsoft YaHei"/>
          <w:b/>
          <w:i/>
          <w:color w:val="2F5597"/>
          <w:sz w:val="21"/>
        </w:rPr>
        <w:t>在线充值配置</w:t>
      </w:r>
    </w:p>
    <w:p>
      <w:pPr>
        <w:spacing w:after="60" w:line="276" w:lineRule="auto"/>
      </w:pPr>
      <w:r>
        <w:rPr>
          <w:rFonts w:ascii="Microsoft YaHei" w:hAnsi="Microsoft YaHei" w:eastAsia="Microsoft YaHei"/>
          <w:b w:val="0"/>
          <w:sz w:val="20"/>
        </w:rPr>
        <w:t>在线充值配置页面用于集中查看和维护各充值分组下的支付通道配置，是日常核对通道启停、限额和前台展示信息的主要入口。</w:t>
      </w:r>
    </w:p>
    <w:p>
      <w:pPr>
        <w:spacing w:after="40"/>
        <w:jc w:val="center"/>
      </w:pPr>
      <w:r>
        <w:drawing>
          <wp:inline xmlns:a="http://schemas.openxmlformats.org/drawingml/2006/main" xmlns:pic="http://schemas.openxmlformats.org/drawingml/2006/picture">
            <wp:extent cx="5852160" cy="2346501"/>
            <wp:docPr id="131" name="Picture 13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852160" cy="234650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图：在线充值配置主表，用于查看各支付方式分组、通道推荐金额、限额和启用状态。</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：页面主表通常支持按支付通道和状态筛选，列表中可查看支付方式、排序、图标、前台通道名称、通道名称、是否启用、推荐充值金额、最小/最大限额、前台提示、备注和操作入口。</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：列表按支付方式分组展示，展开后可查看组内通道配置；调整前应先确认当前支付方式所在分组，再进入对应行执行修改或查看。</w:t>
      </w:r>
    </w:p>
    <w:p>
      <w:pPr>
        <w:pStyle w:val="6"/>
        <w:spacing w:after="60" w:line="276" w:lineRule="auto"/>
      </w:pPr>
      <w:r>
        <w:rPr>
          <w:rFonts w:ascii="Microsoft YaHei" w:hAnsi="Microsoft YaHei" w:eastAsia="Microsoft YaHei"/>
          <w:b/>
          <w:i/>
          <w:color w:val="2F5597"/>
          <w:sz w:val="21"/>
        </w:rPr>
        <w:t>编辑支付方式分组</w:t>
      </w:r>
    </w:p>
    <w:p>
      <w:pPr>
        <w:spacing w:after="60" w:line="276" w:lineRule="auto"/>
      </w:pPr>
      <w:r>
        <w:rPr>
          <w:rFonts w:ascii="Microsoft YaHei" w:hAnsi="Microsoft YaHei" w:eastAsia="Microsoft YaHei"/>
          <w:b w:val="0"/>
          <w:sz w:val="20"/>
        </w:rPr>
        <w:t>编辑支付方式分组弹窗用于维护充值页分组的前台展示信息，适合统一调整同类支付方式的展示名称和排序。</w:t>
      </w:r>
    </w:p>
    <w:p>
      <w:pPr>
        <w:spacing w:after="40"/>
        <w:jc w:val="center"/>
      </w:pPr>
      <w:r>
        <w:drawing>
          <wp:inline xmlns:a="http://schemas.openxmlformats.org/drawingml/2006/main" xmlns:pic="http://schemas.openxmlformats.org/drawingml/2006/picture">
            <wp:extent cx="5852160" cy="4215267"/>
            <wp:docPr id="132" name="Picture 13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852160" cy="421526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图：编辑支付方式分组弹窗，用于维护前台展示名称、图标和排序。</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：页面内通常可维护前台支付方式名字、图标和排序值，其中名称和图标会直接影响前台充值页的视觉展示。</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：图标建议保持统一尺寸和格式，排序值用于控制分组在前台的展示先后；保存前应确认分组名称与当前支付通道的实际用途一致。</w:t>
      </w:r>
    </w:p>
    <w:p>
      <w:pPr>
        <w:pStyle w:val="6"/>
        <w:spacing w:after="60" w:line="276" w:lineRule="auto"/>
      </w:pPr>
      <w:r>
        <w:rPr>
          <w:rFonts w:ascii="Microsoft YaHei" w:hAnsi="Microsoft YaHei" w:eastAsia="Microsoft YaHei"/>
          <w:b/>
          <w:i/>
          <w:color w:val="2F5597"/>
          <w:sz w:val="21"/>
        </w:rPr>
        <w:t>充值配置</w:t>
      </w:r>
    </w:p>
    <w:p>
      <w:pPr>
        <w:spacing w:after="60" w:line="276" w:lineRule="auto"/>
      </w:pPr>
      <w:r>
        <w:rPr>
          <w:rFonts w:ascii="Microsoft YaHei" w:hAnsi="Microsoft YaHei" w:eastAsia="Microsoft YaHei"/>
          <w:b w:val="0"/>
          <w:sz w:val="20"/>
        </w:rPr>
        <w:t>充值配置弹窗用于维护站点级充值提示信息和并发订单限制，是控制充值体验和前台引导文案的统一入口。</w:t>
      </w:r>
    </w:p>
    <w:p>
      <w:pPr>
        <w:spacing w:after="40"/>
        <w:jc w:val="center"/>
      </w:pPr>
      <w:r>
        <w:drawing>
          <wp:inline xmlns:a="http://schemas.openxmlformats.org/drawingml/2006/main" xmlns:pic="http://schemas.openxmlformats.org/drawingml/2006/picture">
            <wp:extent cx="5852160" cy="4432151"/>
            <wp:docPr id="133" name="Picture 13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852160" cy="443215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图：充值配置弹窗，用于设置并发充值订单数和充值提示语。</w:t>
      </w:r>
    </w:p>
    <w:p>
      <w:pPr>
        <w:pStyle w:val="16"/>
        <w:spacing w:after="60" w:line="276" w:lineRule="auto"/>
      </w:pPr>
      <w:r>
        <w:rPr>
          <w:rFonts w:ascii="Microsoft YaHei" w:hAnsi="Microsoft YaHei" w:eastAsia="Microsoft YaHei"/>
          <w:b/>
          <w:color w:val="2F5597"/>
          <w:sz w:val="20"/>
        </w:rPr>
        <w:t>页面内容</w:t>
      </w:r>
      <w:r>
        <w:rPr>
          <w:rFonts w:ascii="Microsoft YaHei" w:hAnsi="Microsoft YaHei" w:eastAsia="Microsoft YaHei"/>
          <w:b w:val="0"/>
          <w:sz w:val="20"/>
        </w:rPr>
        <w:t>：页面内一般可维护每个用户最大可同时进行中的充值订单数，以及充值提示语内容；提示语支持富文本编辑和实时预览。</w:t>
      </w:r>
    </w:p>
    <w:p>
      <w:pPr>
        <w:pStyle w:val="16"/>
        <w:spacing w:after="60" w:line="276" w:lineRule="auto"/>
      </w:pPr>
      <w:r>
        <w:rPr>
          <w:rFonts w:ascii="Microsoft YaHei" w:hAnsi="Microsoft YaHei" w:eastAsia="Microsoft YaHei"/>
          <w:b/>
          <w:color w:val="2F5597"/>
          <w:sz w:val="20"/>
        </w:rPr>
        <w:t>关键操作</w:t>
      </w:r>
      <w:r>
        <w:rPr>
          <w:rFonts w:ascii="Microsoft YaHei" w:hAnsi="Microsoft YaHei" w:eastAsia="Microsoft YaHei"/>
          <w:b w:val="0"/>
          <w:sz w:val="20"/>
        </w:rPr>
        <w:t>：提示语内容应与当前支付方式、活动规则和人工处理流程保持一致；保存前建议检查预览区显示效果，避免出现文案截断或与当前业务口径不一致的情况。</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