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t>站点配置是站点基础参数与外围接入配置的入口，左侧菜单下的模板、站点、品牌、域名、客服、分享、第三方登录、支付通道、广告埋点和音乐等页面都归在这里；需要查站点展示、登录接入、支付或埋点配置时，先从这一章定位对应菜单。</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t>运营中心聚合站点维护、公告、建议、投诉、消息、宣传、客服、任务和落地页等运营处理页面；要找站点状态、活动通知、用户反馈或客服配置时，先从这一章进入对应功能页。</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t>优惠活动集中管理活动列表、转盘、票券、活动报表和全局配置，主要用于查活动、改玩法、核票券和查看活动效果；按左侧菜单找到对应活动页后，再进入具体配置项。</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6"/>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在独立打码规则下，免费奖励领取限制开启时，用户余额在领取限额之下领取免费奖励成功后，会被视为免费玩家；若免费奖励领取限制关闭，存款玩家不会被转化位免费玩家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t>财务中心是提现、充值、通道、人工加扣款、账变和打码规则的资金入口；处理出入款审核、资金流水核对或通道查看时，先在这一章按菜单名找到对应页面。</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t>数据报表按经营、游戏、充值、活动、任务和VIP等口径汇总统计，是看日报和下钻明细的入口；需要核对数据时，先进入对应报表，再按时间、站点或维度筛选。</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6"/>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6"/>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6"/>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6"/>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6"/>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6"/>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t>游戏中心集中管理游戏类型、频道、子游戏、统计和厂商数据，主要用于维护大厅展示和查看游戏表现；要找某类游戏配置或厂商报表时，先从这一章进入对应页面。</w:t>
      </w:r>
    </w:p>
    <w:p w14:paraId="47740A8C">
      <w:pPr>
        <w:pStyle w:val="4"/>
        <w:keepNext/>
        <w:spacing w:before="240" w:after="140" w:line="269" w:lineRule="auto"/>
      </w:pPr>
      <w:r>
        <w:rPr>
          <w:rFonts w:ascii="微软雅黑" w:hAnsi="微软雅黑" w:eastAsia="微软雅黑"/>
          <w:b/>
          <w:color w:val="1F4E79"/>
          <w:sz w:val="30"/>
        </w:rPr>
        <w:t>页面说明</w:t>
      </w:r>
    </w:p>
    <w:p w14:paraId="65EA5E4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6"/>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6"/>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6"/>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6"/>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t>用户管理聚合在线玩家、会员列表、VIP设置和反馈处理，是查会员状态和跟进用户问题的入口；按左侧菜单找到目标页面后，可继续查看在线、资料或反馈信息。</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7"/>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6"/>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8"/>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：页面右上角支持导出报表和创建玩家。导出适合批量复核会员数据，创建玩家适合运营手工开设测试号或补录指定用户。</w:t>
      </w:r>
    </w:p>
    <w:p w14:paraId="3C8E96E4">
      <w:pPr>
        <w:pStyle w:val="6"/>
        <w:spacing w:after="60" w:line="276" w:lineRule="auto"/>
      </w:pPr>
      <w:r>
        <w:rPr>
          <w:rFonts w:ascii="微软雅黑" w:hAnsi="微软雅黑" w:eastAsia="微软雅黑"/>
          <w:b/>
          <w:i/>
          <w:color w:val="2F5597"/>
          <w:sz w:val="21"/>
        </w:rPr>
        <w:t>创建玩家</w:t>
      </w:r>
    </w:p>
    <w:p w14:paraId="74D46E09">
      <w:pPr>
        <w:spacing w:after="60" w:line="276" w:lineRule="auto"/>
      </w:pPr>
      <w:r>
        <w:rPr>
          <w:rFonts w:ascii="微软雅黑" w:hAnsi="微软雅黑" w:eastAsia="微软雅黑"/>
          <w:b w:val="0"/>
          <w:sz w:val="20"/>
        </w:rPr>
        <w:t>创建玩家弹窗用于手工新增会员账号，适合运营或测试场景快速生成会员资料。</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9"/>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6"/>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10"/>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：复制功能适合快速发送给测试、客服或活动对接人员。若账号涉及真实用户使用，应同步提醒对方首次登录后尽快修改密码。</w:t>
      </w:r>
    </w:p>
    <w:p w14:paraId="279F5540">
      <w:pPr>
        <w:pStyle w:val="6"/>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11"/>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6"/>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2"/>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6"/>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3"/>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6"/>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4"/>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6"/>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5"/>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6"/>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6"/>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6"/>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7"/>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6"/>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8"/>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6"/>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9"/>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t>代理中心用于查看代理列表、代理配置、领取记录和代理数据，是跟进代理层级、佣金和结算情况的入口；需要定位某个代理或核对代理业绩时，先从这一章进入对应页面。</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20"/>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21"/>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2"/>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3"/>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t>风险中心集中查看黑名单、刷子监控和游戏获利监控，是排查异常账号、异常行为和套利风险的入口；发现风险线索后，先从这里找到对应监控页再继续下钻。</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5A106785">
      <w:r>
        <w:drawing>
          <wp:inline distT="0" distB="0" distL="114300" distR="114300">
            <wp:extent cx="6387465" cy="2297430"/>
            <wp:effectExtent l="0" t="0" r="13335" b="7620"/>
            <wp:docPr id="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
                    <pic:cNvPicPr>
                      <a:picLocks noChangeAspect="1"/>
                    </pic:cNvPicPr>
                  </pic:nvPicPr>
                  <pic:blipFill>
                    <a:blip r:embed="rId124"/>
                    <a:stretch>
                      <a:fillRect/>
                    </a:stretch>
                  </pic:blipFill>
                  <pic:spPr>
                    <a:xfrm>
                      <a:off x="0" y="0"/>
                      <a:ext cx="6387465" cy="2297430"/>
                    </a:xfrm>
                    <a:prstGeom prst="rect">
                      <a:avLst/>
                    </a:prstGeom>
                    <a:noFill/>
                    <a:ln>
                      <a:noFill/>
                    </a:ln>
                  </pic:spPr>
                </pic:pic>
              </a:graphicData>
            </a:graphic>
          </wp:inline>
        </w:drawing>
      </w:r>
    </w:p>
    <w:p w14:paraId="07AEBDB1">
      <w:r>
        <w:drawing>
          <wp:inline distT="0" distB="0" distL="114300" distR="114300">
            <wp:extent cx="4225925" cy="2560320"/>
            <wp:effectExtent l="0" t="0" r="3175" b="1143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125"/>
                    <a:stretch>
                      <a:fillRect/>
                    </a:stretch>
                  </pic:blipFill>
                  <pic:spPr>
                    <a:xfrm>
                      <a:off x="0" y="0"/>
                      <a:ext cx="4225925" cy="2560320"/>
                    </a:xfrm>
                    <a:prstGeom prst="rect">
                      <a:avLst/>
                    </a:prstGeom>
                    <a:noFill/>
                    <a:ln>
                      <a:noFill/>
                    </a:ln>
                  </pic:spPr>
                </pic:pic>
              </a:graphicData>
            </a:graphic>
          </wp:inline>
        </w:drawing>
      </w:r>
    </w:p>
    <w:p w14:paraId="5F16CF7A">
      <w:r>
        <w:drawing>
          <wp:inline distT="0" distB="0" distL="114300" distR="114300">
            <wp:extent cx="6398260" cy="1089025"/>
            <wp:effectExtent l="0" t="0" r="2540" b="15875"/>
            <wp:docPr id="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5"/>
                    <pic:cNvPicPr>
                      <a:picLocks noChangeAspect="1"/>
                    </pic:cNvPicPr>
                  </pic:nvPicPr>
                  <pic:blipFill>
                    <a:blip r:embed="rId126"/>
                    <a:stretch>
                      <a:fillRect/>
                    </a:stretch>
                  </pic:blipFill>
                  <pic:spPr>
                    <a:xfrm>
                      <a:off x="0" y="0"/>
                      <a:ext cx="6398260" cy="1089025"/>
                    </a:xfrm>
                    <a:prstGeom prst="rect">
                      <a:avLst/>
                    </a:prstGeom>
                    <a:noFill/>
                    <a:ln>
                      <a:noFill/>
                    </a:ln>
                  </pic:spPr>
                </pic:pic>
              </a:graphicData>
            </a:graphic>
          </wp:inline>
        </w:drawing>
      </w:r>
    </w:p>
    <w:p w14:paraId="0E008CF3">
      <w:r>
        <w:drawing>
          <wp:inline distT="0" distB="0" distL="114300" distR="114300">
            <wp:extent cx="4333875" cy="3114675"/>
            <wp:effectExtent l="0" t="0" r="9525" b="9525"/>
            <wp:docPr id="7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4"/>
                    <pic:cNvPicPr>
                      <a:picLocks noChangeAspect="1"/>
                    </pic:cNvPicPr>
                  </pic:nvPicPr>
                  <pic:blipFill>
                    <a:blip r:embed="rId127"/>
                    <a:stretch>
                      <a:fillRect/>
                    </a:stretch>
                  </pic:blipFill>
                  <pic:spPr>
                    <a:xfrm>
                      <a:off x="0" y="0"/>
                      <a:ext cx="4333875" cy="3114675"/>
                    </a:xfrm>
                    <a:prstGeom prst="rect">
                      <a:avLst/>
                    </a:prstGeom>
                    <a:noFill/>
                    <a:ln>
                      <a:noFill/>
                    </a:ln>
                  </pic:spPr>
                </pic:pic>
              </a:graphicData>
            </a:graphic>
          </wp:inline>
        </w:drawing>
      </w:r>
    </w:p>
    <w:p w14:paraId="6445DE53"/>
    <w:p w14:paraId="722D3419"/>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6D4AF55D">
      <w:r>
        <w:drawing>
          <wp:inline distT="0" distB="0" distL="114300" distR="114300">
            <wp:extent cx="6400165" cy="2273935"/>
            <wp:effectExtent l="0" t="0" r="635" b="12065"/>
            <wp:docPr id="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0"/>
                    <pic:cNvPicPr>
                      <a:picLocks noChangeAspect="1"/>
                    </pic:cNvPicPr>
                  </pic:nvPicPr>
                  <pic:blipFill>
                    <a:blip r:embed="rId128"/>
                    <a:stretch>
                      <a:fillRect/>
                    </a:stretch>
                  </pic:blipFill>
                  <pic:spPr>
                    <a:xfrm>
                      <a:off x="0" y="0"/>
                      <a:ext cx="6400165" cy="2273935"/>
                    </a:xfrm>
                    <a:prstGeom prst="rect">
                      <a:avLst/>
                    </a:prstGeom>
                    <a:noFill/>
                    <a:ln>
                      <a:noFill/>
                    </a:ln>
                  </pic:spPr>
                </pic:pic>
              </a:graphicData>
            </a:graphic>
          </wp:inline>
        </w:drawing>
      </w:r>
    </w:p>
    <w:p w14:paraId="07EDE3B9">
      <w:r>
        <w:drawing>
          <wp:inline distT="0" distB="0" distL="114300" distR="114300">
            <wp:extent cx="6391275" cy="2491105"/>
            <wp:effectExtent l="0" t="0" r="9525" b="4445"/>
            <wp:docPr id="4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1"/>
                    <pic:cNvPicPr>
                      <a:picLocks noChangeAspect="1"/>
                    </pic:cNvPicPr>
                  </pic:nvPicPr>
                  <pic:blipFill>
                    <a:blip r:embed="rId129"/>
                    <a:stretch>
                      <a:fillRect/>
                    </a:stretch>
                  </pic:blipFill>
                  <pic:spPr>
                    <a:xfrm>
                      <a:off x="0" y="0"/>
                      <a:ext cx="6391275" cy="2491105"/>
                    </a:xfrm>
                    <a:prstGeom prst="rect">
                      <a:avLst/>
                    </a:prstGeom>
                    <a:noFill/>
                    <a:ln>
                      <a:noFill/>
                    </a:ln>
                  </pic:spPr>
                </pic:pic>
              </a:graphicData>
            </a:graphic>
          </wp:inline>
        </w:drawing>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658394">
      <w:r>
        <w:drawing>
          <wp:inline distT="0" distB="0" distL="114300" distR="114300">
            <wp:extent cx="6388735" cy="2111375"/>
            <wp:effectExtent l="0" t="0" r="12065" b="31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130"/>
                    <a:stretch>
                      <a:fillRect/>
                    </a:stretch>
                  </pic:blipFill>
                  <pic:spPr>
                    <a:xfrm>
                      <a:off x="0" y="0"/>
                      <a:ext cx="6388735" cy="2111375"/>
                    </a:xfrm>
                    <a:prstGeom prst="rect">
                      <a:avLst/>
                    </a:prstGeom>
                    <a:noFill/>
                    <a:ln>
                      <a:noFill/>
                    </a:ln>
                  </pic:spPr>
                </pic:pic>
              </a:graphicData>
            </a:graphic>
          </wp:inline>
        </w:drawing>
      </w:r>
    </w:p>
    <w:p w14:paraId="0AB87103">
      <w:r>
        <w:drawing>
          <wp:inline distT="0" distB="0" distL="114300" distR="114300">
            <wp:extent cx="6399530" cy="2967990"/>
            <wp:effectExtent l="0" t="0" r="1270" b="3810"/>
            <wp:docPr id="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3"/>
                    <pic:cNvPicPr>
                      <a:picLocks noChangeAspect="1"/>
                    </pic:cNvPicPr>
                  </pic:nvPicPr>
                  <pic:blipFill>
                    <a:blip r:embed="rId131"/>
                    <a:stretch>
                      <a:fillRect/>
                    </a:stretch>
                  </pic:blipFill>
                  <pic:spPr>
                    <a:xfrm>
                      <a:off x="0" y="0"/>
                      <a:ext cx="6399530" cy="2967990"/>
                    </a:xfrm>
                    <a:prstGeom prst="rect">
                      <a:avLst/>
                    </a:prstGeom>
                    <a:noFill/>
                    <a:ln>
                      <a:noFill/>
                    </a:ln>
                  </pic:spPr>
                </pic:pic>
              </a:graphicData>
            </a:graphic>
          </wp:inline>
        </w:drawing>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t>商户中心是商户资料、充值、账变和账单的总入口，适合核对主体信息、资金流水和结算结果；涉及商户基础资料或费用问题时，先从这一章定位到具体页面。</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商户信息</w:t>
      </w:r>
    </w:p>
    <w:p w14:paraId="6767D18E">
      <w:pPr>
        <w:spacing w:after="60" w:line="276" w:lineRule="auto"/>
      </w:pPr>
      <w:r>
        <w:rPr>
          <w:rFonts w:ascii="微软雅黑" w:hAnsi="微软雅黑" w:eastAsia="微软雅黑"/>
          <w:b w:val="0"/>
          <w:sz w:val="20"/>
        </w:rPr>
        <w:t>商户信息用于查看当前商户的基础资料、费用设置、账户白名单、站点费率和游戏费率，是商户中心核对经营参数与联系信息的主入口。</w:t>
      </w:r>
    </w:p>
    <w:p w14:paraId="04026D7B">
      <w:pPr>
        <w:pStyle w:val="6"/>
        <w:spacing w:after="60" w:line="276" w:lineRule="auto"/>
      </w:pPr>
      <w:r>
        <w:rPr>
          <w:rFonts w:ascii="微软雅黑" w:hAnsi="微软雅黑" w:eastAsia="微软雅黑"/>
          <w:b/>
          <w:i/>
          <w:color w:val="2F5597"/>
          <w:sz w:val="21"/>
        </w:rPr>
        <w:t>基本信息页签</w:t>
      </w:r>
    </w:p>
    <w:p w14:paraId="1AE0B75C">
      <w:pPr>
        <w:spacing w:after="60" w:line="276" w:lineRule="auto"/>
      </w:pPr>
      <w:r>
        <w:rPr>
          <w:rFonts w:ascii="微软雅黑" w:hAnsi="微软雅黑" w:eastAsia="微软雅黑"/>
          <w:b w:val="0"/>
          <w:sz w:val="20"/>
        </w:rPr>
        <w:t>基本信息页签用于查看商户主体资料、钱包信息和当前配置状态，适合在账号开通、资料核对或状态排查时优先查看。</w:t>
      </w:r>
    </w:p>
    <w:p w14:paraId="46AB8A15">
      <w:pPr>
        <w:spacing w:after="40"/>
        <w:jc w:val="center"/>
      </w:pPr>
      <w:r>
        <w:drawing>
          <wp:inline distT="0" distB="0" distL="114300" distR="114300">
            <wp:extent cx="5852160" cy="1964690"/>
            <wp:effectExtent l="0" t="0" r="15240" b="1651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02"/>
                    <pic:cNvPicPr>
                      <a:picLocks noChangeAspect="1"/>
                    </pic:cNvPicPr>
                  </pic:nvPicPr>
                  <pic:blipFill>
                    <a:blip r:embed="rId132"/>
                    <a:stretch>
                      <a:fillRect/>
                    </a:stretch>
                  </pic:blipFill>
                  <pic:spPr>
                    <a:xfrm>
                      <a:off x="0" y="0"/>
                      <a:ext cx="5852160" cy="1964907"/>
                    </a:xfrm>
                    <a:prstGeom prst="rect">
                      <a:avLst/>
                    </a:prstGeom>
                  </pic:spPr>
                </pic:pic>
              </a:graphicData>
            </a:graphic>
          </wp:inline>
        </w:drawing>
      </w:r>
    </w:p>
    <w:p w14:paraId="177F2853">
      <w:pPr>
        <w:pStyle w:val="15"/>
        <w:spacing w:after="120"/>
        <w:jc w:val="center"/>
      </w:pPr>
      <w:r>
        <w:rPr>
          <w:rFonts w:ascii="微软雅黑" w:hAnsi="微软雅黑" w:eastAsia="微软雅黑"/>
          <w:b w:val="0"/>
          <w:color w:val="707E92"/>
          <w:sz w:val="18"/>
        </w:rPr>
        <w:t>图：商户信息-基本信息页签，用于查看商户基础资料、钱包余额和配置状态。</w:t>
      </w:r>
    </w:p>
    <w:p w14:paraId="167FEA24">
      <w:pPr>
        <w:pStyle w:val="16"/>
        <w:spacing w:after="60" w:line="276" w:lineRule="auto"/>
      </w:pPr>
      <w:r>
        <w:rPr>
          <w:rFonts w:ascii="微软雅黑" w:hAnsi="微软雅黑" w:eastAsia="微软雅黑"/>
          <w:b/>
          <w:color w:val="2F5597"/>
          <w:sz w:val="20"/>
        </w:rPr>
        <w:t>资料字段</w:t>
      </w:r>
      <w:r>
        <w:rPr>
          <w:rFonts w:ascii="微软雅黑" w:hAnsi="微软雅黑" w:eastAsia="微软雅黑"/>
          <w:b w:val="0"/>
          <w:sz w:val="20"/>
        </w:rPr>
        <w:t>：页面展示商户ID、商户名称、经营国家、币种、时区、商户等级、创建时间和语言，适合核对当前商户主体信息是否与开通资料一致。</w:t>
      </w:r>
    </w:p>
    <w:p w14:paraId="4CE24A98">
      <w:pPr>
        <w:pStyle w:val="16"/>
        <w:spacing w:after="60" w:line="276" w:lineRule="auto"/>
      </w:pPr>
      <w:r>
        <w:rPr>
          <w:rFonts w:ascii="微软雅黑" w:hAnsi="微软雅黑" w:eastAsia="微软雅黑"/>
          <w:b/>
          <w:color w:val="2F5597"/>
          <w:sz w:val="20"/>
        </w:rPr>
        <w:t>钱包信息</w:t>
      </w:r>
      <w:r>
        <w:rPr>
          <w:rFonts w:ascii="微软雅黑" w:hAnsi="微软雅黑" w:eastAsia="微软雅黑"/>
          <w:b w:val="0"/>
          <w:sz w:val="20"/>
        </w:rPr>
        <w:t>：钱包区域可查看钱包余额、授信额度和支付IP；排查额度、到账或访问限制问题时，可先核对这几项数据。</w:t>
      </w:r>
    </w:p>
    <w:p w14:paraId="777EB098">
      <w:pPr>
        <w:pStyle w:val="16"/>
        <w:spacing w:after="60" w:line="276" w:lineRule="auto"/>
      </w:pPr>
      <w:r>
        <w:rPr>
          <w:rFonts w:ascii="微软雅黑" w:hAnsi="微软雅黑" w:eastAsia="微软雅黑"/>
          <w:b/>
          <w:color w:val="2F5597"/>
          <w:sz w:val="20"/>
        </w:rPr>
        <w:t>商户配置</w:t>
      </w:r>
      <w:r>
        <w:rPr>
          <w:rFonts w:ascii="微软雅黑" w:hAnsi="微软雅黑" w:eastAsia="微软雅黑"/>
          <w:b w:val="0"/>
          <w:sz w:val="20"/>
        </w:rPr>
        <w:t>：下方展示登录方式、活动类型和控赢开关等配置状态，用于确认当前商户的接入方式和风控开关是否已按预期启用。</w:t>
      </w:r>
    </w:p>
    <w:p w14:paraId="7320F86E">
      <w:pPr>
        <w:pStyle w:val="6"/>
        <w:spacing w:after="60" w:line="276" w:lineRule="auto"/>
      </w:pPr>
      <w:r>
        <w:rPr>
          <w:rFonts w:ascii="微软雅黑" w:hAnsi="微软雅黑" w:eastAsia="微软雅黑"/>
          <w:b/>
          <w:i/>
          <w:color w:val="2F5597"/>
          <w:sz w:val="21"/>
        </w:rPr>
        <w:t>费用配置页签</w:t>
      </w:r>
    </w:p>
    <w:p w14:paraId="5F45035F">
      <w:pPr>
        <w:spacing w:after="60" w:line="276" w:lineRule="auto"/>
      </w:pPr>
      <w:r>
        <w:rPr>
          <w:rFonts w:ascii="微软雅黑" w:hAnsi="微软雅黑" w:eastAsia="微软雅黑"/>
          <w:b w:val="0"/>
          <w:sz w:val="20"/>
        </w:rPr>
        <w:t>费用配置页签用于查看商户当前承担的开版费、线路费和月保底费用，并汇总费用总计。</w:t>
      </w:r>
    </w:p>
    <w:p w14:paraId="5695BB04">
      <w:pPr>
        <w:spacing w:after="40"/>
        <w:jc w:val="center"/>
      </w:pPr>
      <w:r>
        <w:drawing>
          <wp:inline distT="0" distB="0" distL="114300" distR="114300">
            <wp:extent cx="5852160" cy="1325880"/>
            <wp:effectExtent l="0" t="0" r="15240"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03"/>
                    <pic:cNvPicPr>
                      <a:picLocks noChangeAspect="1"/>
                    </pic:cNvPicPr>
                  </pic:nvPicPr>
                  <pic:blipFill>
                    <a:blip r:embed="rId133"/>
                    <a:stretch>
                      <a:fillRect/>
                    </a:stretch>
                  </pic:blipFill>
                  <pic:spPr>
                    <a:xfrm>
                      <a:off x="0" y="0"/>
                      <a:ext cx="5852160" cy="1326189"/>
                    </a:xfrm>
                    <a:prstGeom prst="rect">
                      <a:avLst/>
                    </a:prstGeom>
                  </pic:spPr>
                </pic:pic>
              </a:graphicData>
            </a:graphic>
          </wp:inline>
        </w:drawing>
      </w:r>
    </w:p>
    <w:p w14:paraId="71CB51D5">
      <w:pPr>
        <w:pStyle w:val="15"/>
        <w:spacing w:after="120"/>
        <w:jc w:val="center"/>
      </w:pPr>
      <w:r>
        <w:rPr>
          <w:rFonts w:ascii="微软雅黑" w:hAnsi="微软雅黑" w:eastAsia="微软雅黑"/>
          <w:b w:val="0"/>
          <w:color w:val="707E92"/>
          <w:sz w:val="18"/>
        </w:rPr>
        <w:t>图：商户信息-费用配置页签，用于查看商户费用项目和费用汇总。</w:t>
      </w:r>
    </w:p>
    <w:p w14:paraId="526A38C1">
      <w:pPr>
        <w:pStyle w:val="16"/>
        <w:spacing w:after="60" w:line="276" w:lineRule="auto"/>
      </w:pPr>
      <w:r>
        <w:rPr>
          <w:rFonts w:ascii="微软雅黑" w:hAnsi="微软雅黑" w:eastAsia="微软雅黑"/>
          <w:b/>
          <w:color w:val="2F5597"/>
          <w:sz w:val="20"/>
        </w:rPr>
        <w:t>费用项目</w:t>
      </w:r>
      <w:r>
        <w:rPr>
          <w:rFonts w:ascii="微软雅黑" w:hAnsi="微软雅黑" w:eastAsia="微软雅黑"/>
          <w:b w:val="0"/>
          <w:sz w:val="20"/>
        </w:rPr>
        <w:t>：页面列出开版费、月保底费用和线路费用，可直接查看每项费用的当前值。</w:t>
      </w:r>
    </w:p>
    <w:p w14:paraId="11946676">
      <w:pPr>
        <w:pStyle w:val="16"/>
        <w:spacing w:after="60" w:line="276" w:lineRule="auto"/>
      </w:pPr>
      <w:r>
        <w:rPr>
          <w:rFonts w:ascii="微软雅黑" w:hAnsi="微软雅黑" w:eastAsia="微软雅黑"/>
          <w:b/>
          <w:color w:val="2F5597"/>
          <w:sz w:val="20"/>
        </w:rPr>
        <w:t>费用汇总</w:t>
      </w:r>
      <w:r>
        <w:rPr>
          <w:rFonts w:ascii="微软雅黑" w:hAnsi="微软雅黑" w:eastAsia="微软雅黑"/>
          <w:b w:val="0"/>
          <w:sz w:val="20"/>
        </w:rPr>
        <w:t>：右侧显示费用总计，便于在账单核算前快速确认当前商户的固定费用口径。</w:t>
      </w:r>
    </w:p>
    <w:p w14:paraId="094FC041">
      <w:pPr>
        <w:pStyle w:val="16"/>
        <w:spacing w:after="60" w:line="276" w:lineRule="auto"/>
      </w:pPr>
      <w:r>
        <w:rPr>
          <w:rFonts w:ascii="微软雅黑" w:hAnsi="微软雅黑" w:eastAsia="微软雅黑"/>
          <w:b/>
          <w:color w:val="2F5597"/>
          <w:sz w:val="20"/>
        </w:rPr>
        <w:t>附加控制</w:t>
      </w:r>
      <w:r>
        <w:rPr>
          <w:rFonts w:ascii="微软雅黑" w:hAnsi="微软雅黑" w:eastAsia="微软雅黑"/>
          <w:b w:val="0"/>
          <w:sz w:val="20"/>
        </w:rPr>
        <w:t>：页面同时展示额度用完注销状态，用于确认额度耗尽后是否启用自动注销类限制。</w:t>
      </w:r>
    </w:p>
    <w:p w14:paraId="00EA96FD">
      <w:pPr>
        <w:pStyle w:val="6"/>
        <w:spacing w:after="60" w:line="276" w:lineRule="auto"/>
      </w:pPr>
      <w:r>
        <w:rPr>
          <w:rFonts w:ascii="微软雅黑" w:hAnsi="微软雅黑" w:eastAsia="微软雅黑"/>
          <w:b/>
          <w:i/>
          <w:color w:val="2F5597"/>
          <w:sz w:val="21"/>
        </w:rPr>
        <w:t>账号与联系页签</w:t>
      </w:r>
    </w:p>
    <w:p w14:paraId="3F514EBE">
      <w:pPr>
        <w:spacing w:after="60" w:line="276" w:lineRule="auto"/>
      </w:pPr>
      <w:r>
        <w:rPr>
          <w:rFonts w:ascii="微软雅黑" w:hAnsi="微软雅黑" w:eastAsia="微软雅黑"/>
          <w:b w:val="0"/>
          <w:sz w:val="20"/>
        </w:rPr>
        <w:t>账号与联系页签用于查看允许开站点数、后台IP白名单和商户联系信息，适合做登录限制和对接信息核对。</w:t>
      </w:r>
    </w:p>
    <w:p w14:paraId="0824B19E">
      <w:pPr>
        <w:spacing w:after="40"/>
        <w:jc w:val="center"/>
      </w:pPr>
      <w:r>
        <w:drawing>
          <wp:inline distT="0" distB="0" distL="114300" distR="114300">
            <wp:extent cx="5852160" cy="1609090"/>
            <wp:effectExtent l="0" t="0" r="15240" b="1016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pic:cNvPicPr>
                      <a:picLocks noChangeAspect="1"/>
                    </pic:cNvPicPr>
                  </pic:nvPicPr>
                  <pic:blipFill>
                    <a:blip r:embed="rId134"/>
                    <a:stretch>
                      <a:fillRect/>
                    </a:stretch>
                  </pic:blipFill>
                  <pic:spPr>
                    <a:xfrm>
                      <a:off x="0" y="0"/>
                      <a:ext cx="5852160" cy="1609693"/>
                    </a:xfrm>
                    <a:prstGeom prst="rect">
                      <a:avLst/>
                    </a:prstGeom>
                  </pic:spPr>
                </pic:pic>
              </a:graphicData>
            </a:graphic>
          </wp:inline>
        </w:drawing>
      </w:r>
    </w:p>
    <w:p w14:paraId="4EEE30F7">
      <w:pPr>
        <w:pStyle w:val="15"/>
        <w:spacing w:after="120"/>
        <w:jc w:val="center"/>
      </w:pPr>
      <w:r>
        <w:rPr>
          <w:rFonts w:ascii="微软雅黑" w:hAnsi="微软雅黑" w:eastAsia="微软雅黑"/>
          <w:b w:val="0"/>
          <w:color w:val="707E92"/>
          <w:sz w:val="18"/>
        </w:rPr>
        <w:t>图：商户信息-账号与联系页签，用于查看后台IP白名单和商户联系方式。</w:t>
      </w:r>
    </w:p>
    <w:p w14:paraId="353F1C10">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：页面展示允许开站点数，可用于确认当前商户还能开设的子站点范围。</w:t>
      </w:r>
    </w:p>
    <w:p w14:paraId="1A8F1CFB">
      <w:pPr>
        <w:pStyle w:val="16"/>
        <w:spacing w:after="60" w:line="276" w:lineRule="auto"/>
      </w:pPr>
      <w:r>
        <w:rPr>
          <w:rFonts w:ascii="微软雅黑" w:hAnsi="微软雅黑" w:eastAsia="微软雅黑"/>
          <w:b/>
          <w:color w:val="2F5597"/>
          <w:sz w:val="20"/>
        </w:rPr>
        <w:t>IP白名单</w:t>
      </w:r>
      <w:r>
        <w:rPr>
          <w:rFonts w:ascii="微软雅黑" w:hAnsi="微软雅黑" w:eastAsia="微软雅黑"/>
          <w:b w:val="0"/>
          <w:sz w:val="20"/>
        </w:rPr>
        <w:t>：后台IP白名单表格展示IP地址、备注、创建时间和操作；记录可通过编辑、删除维护，</w:t>
      </w:r>
      <w:r>
        <w:rPr>
          <w:rFonts w:hint="eastAsia"/>
          <w:b w:val="0"/>
          <w:sz w:val="20"/>
          <w:lang w:val="en-US" w:eastAsia="zh-CN"/>
        </w:rPr>
        <w:t>平台分配的白名单</w:t>
      </w:r>
      <w:r>
        <w:rPr>
          <w:rFonts w:ascii="微软雅黑" w:hAnsi="微软雅黑" w:eastAsia="微软雅黑"/>
          <w:b w:val="0"/>
          <w:sz w:val="20"/>
        </w:rPr>
        <w:t>不能</w:t>
      </w:r>
      <w:r>
        <w:rPr>
          <w:rFonts w:hint="eastAsia"/>
          <w:b w:val="0"/>
          <w:sz w:val="20"/>
          <w:lang w:val="en-US" w:eastAsia="zh-CN"/>
        </w:rPr>
        <w:t>修改或删除</w:t>
      </w:r>
      <w:r>
        <w:rPr>
          <w:rFonts w:ascii="微软雅黑" w:hAnsi="微软雅黑" w:eastAsia="微软雅黑"/>
          <w:b w:val="0"/>
          <w:sz w:val="20"/>
        </w:rPr>
        <w:t>。</w:t>
      </w:r>
    </w:p>
    <w:p w14:paraId="7FC97DE9">
      <w:pPr>
        <w:pStyle w:val="16"/>
        <w:spacing w:after="60" w:line="276" w:lineRule="auto"/>
      </w:pPr>
      <w:r>
        <w:rPr>
          <w:rFonts w:ascii="微软雅黑" w:hAnsi="微软雅黑" w:eastAsia="微软雅黑"/>
          <w:b/>
          <w:color w:val="2F5597"/>
          <w:sz w:val="20"/>
        </w:rPr>
        <w:t>联系信息</w:t>
      </w:r>
      <w:r>
        <w:rPr>
          <w:rFonts w:ascii="微软雅黑" w:hAnsi="微软雅黑" w:eastAsia="微软雅黑"/>
          <w:b w:val="0"/>
          <w:sz w:val="20"/>
        </w:rPr>
        <w:t>：下方展示商务TG昵称、商务TG联系和商户TG联系，便于运营、商务或技术对接时快速确认联系人。</w:t>
      </w:r>
    </w:p>
    <w:p w14:paraId="54EE80EF">
      <w:pPr>
        <w:pStyle w:val="6"/>
        <w:spacing w:after="60" w:line="276" w:lineRule="auto"/>
      </w:pPr>
      <w:r>
        <w:rPr>
          <w:rFonts w:ascii="微软雅黑" w:hAnsi="微软雅黑" w:eastAsia="微软雅黑"/>
          <w:b/>
          <w:i/>
          <w:color w:val="2F5597"/>
          <w:sz w:val="21"/>
        </w:rPr>
        <w:t>站点费率信息页签</w:t>
      </w:r>
    </w:p>
    <w:p w14:paraId="05FF96AA">
      <w:pPr>
        <w:spacing w:after="60" w:line="276" w:lineRule="auto"/>
      </w:pPr>
      <w:r>
        <w:rPr>
          <w:rFonts w:ascii="微软雅黑" w:hAnsi="微软雅黑" w:eastAsia="微软雅黑"/>
          <w:b w:val="0"/>
          <w:sz w:val="20"/>
        </w:rPr>
        <w:t>站点费率信息页签用于查看各子站点的开版费、线路费用和游戏月保底，并确认站点是否已开版。</w:t>
      </w:r>
    </w:p>
    <w:p w14:paraId="3CD10C51">
      <w:pPr>
        <w:spacing w:after="40"/>
        <w:jc w:val="center"/>
      </w:pPr>
      <w:r>
        <w:drawing>
          <wp:inline distT="0" distB="0" distL="114300" distR="114300">
            <wp:extent cx="5852160" cy="1937385"/>
            <wp:effectExtent l="0" t="0" r="15240" b="5715"/>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205"/>
                    <pic:cNvPicPr>
                      <a:picLocks noChangeAspect="1"/>
                    </pic:cNvPicPr>
                  </pic:nvPicPr>
                  <pic:blipFill>
                    <a:blip r:embed="rId135"/>
                    <a:stretch>
                      <a:fillRect/>
                    </a:stretch>
                  </pic:blipFill>
                  <pic:spPr>
                    <a:xfrm>
                      <a:off x="0" y="0"/>
                      <a:ext cx="5852160" cy="1937778"/>
                    </a:xfrm>
                    <a:prstGeom prst="rect">
                      <a:avLst/>
                    </a:prstGeom>
                  </pic:spPr>
                </pic:pic>
              </a:graphicData>
            </a:graphic>
          </wp:inline>
        </w:drawing>
      </w:r>
    </w:p>
    <w:p w14:paraId="697603A8">
      <w:pPr>
        <w:pStyle w:val="15"/>
        <w:spacing w:after="120"/>
        <w:jc w:val="center"/>
      </w:pPr>
      <w:r>
        <w:rPr>
          <w:rFonts w:ascii="微软雅黑" w:hAnsi="微软雅黑" w:eastAsia="微软雅黑"/>
          <w:b w:val="0"/>
          <w:color w:val="707E92"/>
          <w:sz w:val="18"/>
        </w:rPr>
        <w:t>图：商户信息-站点费率信息页签，用于查看各站点费用标准和开版状态。</w:t>
      </w:r>
    </w:p>
    <w:p w14:paraId="6C2B4C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：表格展示站点ID、站点名称、开版费、线路费用、游戏月保底、是否已开版和更新时间，适合按站点逐项核对费用口径。</w:t>
      </w:r>
    </w:p>
    <w:p w14:paraId="2A05D011">
      <w:pPr>
        <w:pStyle w:val="16"/>
        <w:spacing w:after="60" w:line="276" w:lineRule="auto"/>
      </w:pPr>
      <w:r>
        <w:rPr>
          <w:rFonts w:ascii="微软雅黑" w:hAnsi="微软雅黑" w:eastAsia="微软雅黑"/>
          <w:b/>
          <w:color w:val="2F5597"/>
          <w:sz w:val="20"/>
        </w:rPr>
        <w:t>状态查看</w:t>
      </w:r>
      <w:r>
        <w:rPr>
          <w:rFonts w:ascii="微软雅黑" w:hAnsi="微软雅黑" w:eastAsia="微软雅黑"/>
          <w:b w:val="0"/>
          <w:sz w:val="20"/>
        </w:rPr>
        <w:t>：是否已开版字段以状态标签展示，便于快速区分已开版站点和未开版站点。</w:t>
      </w:r>
    </w:p>
    <w:p w14:paraId="5EDE08B1">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：当账单、开站或站点成本出现差异时，可先在本页确认对应站点的费用基线与最新更新时间。</w:t>
      </w:r>
    </w:p>
    <w:p w14:paraId="153D9C62">
      <w:pPr>
        <w:pStyle w:val="6"/>
        <w:spacing w:after="60" w:line="276" w:lineRule="auto"/>
      </w:pPr>
      <w:r>
        <w:rPr>
          <w:rFonts w:ascii="微软雅黑" w:hAnsi="微软雅黑" w:eastAsia="微软雅黑"/>
          <w:b/>
          <w:i/>
          <w:color w:val="2F5597"/>
          <w:sz w:val="21"/>
        </w:rPr>
        <w:t>游戏费率页签</w:t>
      </w:r>
    </w:p>
    <w:p w14:paraId="20C09A0E">
      <w:pPr>
        <w:spacing w:after="60" w:line="276" w:lineRule="auto"/>
      </w:pPr>
      <w:r>
        <w:rPr>
          <w:rFonts w:ascii="微软雅黑" w:hAnsi="微软雅黑" w:eastAsia="微软雅黑"/>
          <w:b w:val="0"/>
          <w:sz w:val="20"/>
        </w:rPr>
        <w:t>游戏费率页签用于查看商户在不同游戏厂商和游戏类型下的费率配置，并支持按条件筛选。</w:t>
      </w:r>
    </w:p>
    <w:p w14:paraId="7E92170D">
      <w:pPr>
        <w:spacing w:after="40"/>
        <w:jc w:val="center"/>
      </w:pPr>
      <w:r>
        <w:drawing>
          <wp:inline distT="0" distB="0" distL="114300" distR="114300">
            <wp:extent cx="5852160" cy="2339340"/>
            <wp:effectExtent l="0" t="0" r="15240" b="381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206"/>
                    <pic:cNvPicPr>
                      <a:picLocks noChangeAspect="1"/>
                    </pic:cNvPicPr>
                  </pic:nvPicPr>
                  <pic:blipFill>
                    <a:blip r:embed="rId136"/>
                    <a:stretch>
                      <a:fillRect/>
                    </a:stretch>
                  </pic:blipFill>
                  <pic:spPr>
                    <a:xfrm>
                      <a:off x="0" y="0"/>
                      <a:ext cx="5852160" cy="2339459"/>
                    </a:xfrm>
                    <a:prstGeom prst="rect">
                      <a:avLst/>
                    </a:prstGeom>
                  </pic:spPr>
                </pic:pic>
              </a:graphicData>
            </a:graphic>
          </wp:inline>
        </w:drawing>
      </w:r>
    </w:p>
    <w:p w14:paraId="480E1873">
      <w:pPr>
        <w:pStyle w:val="15"/>
        <w:spacing w:after="120"/>
        <w:jc w:val="center"/>
      </w:pPr>
      <w:r>
        <w:rPr>
          <w:rFonts w:ascii="微软雅黑" w:hAnsi="微软雅黑" w:eastAsia="微软雅黑"/>
          <w:b w:val="0"/>
          <w:color w:val="707E92"/>
          <w:sz w:val="18"/>
        </w:rPr>
        <w:t>图：商户信息-游戏费率页签，用于按游戏类型和游戏厂商查看商户费率。</w:t>
      </w:r>
    </w:p>
    <w:p w14:paraId="58927DFB">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：页面支持按游戏类型和游戏厂商筛选，点击搜索查询当前商户在指定范围内的费率配置，重置可恢复默认列表。</w:t>
      </w:r>
    </w:p>
    <w:p w14:paraId="4CF330C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：表格展示游戏厂商、游戏类型、基础费率、状态、RTP设定范围和可设定RTP，用于查看各厂商配置差异。</w:t>
      </w:r>
    </w:p>
    <w:p w14:paraId="33B47220">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：查看费率时应结合状态、RTP范围和厂商类型一起判断，避免只看基础费率而忽略可调范围或启用状态。</w:t>
      </w:r>
    </w:p>
    <w:p w14:paraId="6C6138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商户充值</w:t>
      </w:r>
    </w:p>
    <w:p w14:paraId="12EC6191">
      <w:pPr>
        <w:spacing w:after="60" w:line="276" w:lineRule="auto"/>
      </w:pPr>
      <w:r>
        <w:rPr>
          <w:rFonts w:ascii="微软雅黑" w:hAnsi="微软雅黑" w:eastAsia="微软雅黑"/>
          <w:b w:val="0"/>
          <w:sz w:val="20"/>
        </w:rPr>
        <w:t>商户充值用于向商户钱包发起充值申请，页面同时展示可选金额档位、到账币种和赠送规则，适合在补充余额或核对充值活动时使用。</w:t>
      </w:r>
    </w:p>
    <w:p w14:paraId="64EBE201">
      <w:pPr>
        <w:spacing w:after="40"/>
        <w:jc w:val="center"/>
      </w:pPr>
      <w:r>
        <w:drawing>
          <wp:inline distT="0" distB="0" distL="114300" distR="114300">
            <wp:extent cx="5120640" cy="3884930"/>
            <wp:effectExtent l="0" t="0" r="3810" b="127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137"/>
                    <a:stretch>
                      <a:fillRect/>
                    </a:stretch>
                  </pic:blipFill>
                  <pic:spPr>
                    <a:xfrm>
                      <a:off x="0" y="0"/>
                      <a:ext cx="5120640" cy="3885374"/>
                    </a:xfrm>
                    <a:prstGeom prst="rect">
                      <a:avLst/>
                    </a:prstGeom>
                  </pic:spPr>
                </pic:pic>
              </a:graphicData>
            </a:graphic>
          </wp:inline>
        </w:drawing>
      </w:r>
    </w:p>
    <w:p w14:paraId="16A2D2ED">
      <w:pPr>
        <w:pStyle w:val="15"/>
        <w:spacing w:after="120"/>
        <w:jc w:val="center"/>
      </w:pPr>
      <w:r>
        <w:rPr>
          <w:rFonts w:ascii="微软雅黑" w:hAnsi="微软雅黑" w:eastAsia="微软雅黑"/>
          <w:b w:val="0"/>
          <w:color w:val="707E92"/>
          <w:sz w:val="18"/>
        </w:rPr>
        <w:t>图：商户充值页面，用于选择充值金额、填写备注并提交充值申请。</w:t>
      </w:r>
    </w:p>
    <w:p w14:paraId="554DBB6D">
      <w:pPr>
        <w:pStyle w:val="16"/>
        <w:spacing w:after="60" w:line="276" w:lineRule="auto"/>
      </w:pPr>
      <w:r>
        <w:rPr>
          <w:rFonts w:ascii="微软雅黑" w:hAnsi="微软雅黑" w:eastAsia="微软雅黑"/>
          <w:b/>
          <w:color w:val="2F5597"/>
          <w:sz w:val="20"/>
        </w:rPr>
        <w:t>充值方式</w:t>
      </w:r>
      <w:r>
        <w:rPr>
          <w:rFonts w:ascii="微软雅黑" w:hAnsi="微软雅黑" w:eastAsia="微软雅黑"/>
          <w:b w:val="0"/>
          <w:sz w:val="20"/>
        </w:rPr>
        <w:t>：页面当前展示 USDT 充值入口，充值前应先确认当前商户使用的币种和收款协议。</w:t>
      </w:r>
    </w:p>
    <w:p w14:paraId="25B17523">
      <w:pPr>
        <w:pStyle w:val="16"/>
        <w:spacing w:after="60" w:line="276" w:lineRule="auto"/>
      </w:pPr>
      <w:r>
        <w:rPr>
          <w:rFonts w:ascii="微软雅黑" w:hAnsi="微软雅黑" w:eastAsia="微软雅黑"/>
          <w:b/>
          <w:color w:val="2F5597"/>
          <w:sz w:val="20"/>
        </w:rPr>
        <w:t>金额录入</w:t>
      </w:r>
      <w:r>
        <w:rPr>
          <w:rFonts w:ascii="微软雅黑" w:hAnsi="微软雅黑" w:eastAsia="微软雅黑"/>
          <w:b w:val="0"/>
          <w:sz w:val="20"/>
        </w:rPr>
        <w:t>：页面支持点击快捷金额档位，也支持手动输入充值金额；备注为选填项，可用于标记本次充值用途。</w:t>
      </w:r>
    </w:p>
    <w:p w14:paraId="1445ADC7">
      <w:pPr>
        <w:pStyle w:val="16"/>
        <w:spacing w:after="60" w:line="276" w:lineRule="auto"/>
      </w:pPr>
      <w:r>
        <w:rPr>
          <w:rFonts w:ascii="微软雅黑" w:hAnsi="微软雅黑" w:eastAsia="微软雅黑"/>
          <w:b/>
          <w:color w:val="2F5597"/>
          <w:sz w:val="20"/>
        </w:rPr>
        <w:t>提交规则</w:t>
      </w:r>
      <w:r>
        <w:rPr>
          <w:rFonts w:ascii="微软雅黑" w:hAnsi="微软雅黑" w:eastAsia="微软雅黑"/>
          <w:b w:val="0"/>
          <w:sz w:val="20"/>
        </w:rPr>
        <w:t>：提交前需确认实际转账金额与输入金额一致，否则可能导致系统无法快速到账。</w:t>
      </w:r>
    </w:p>
    <w:p w14:paraId="010532FA">
      <w:pPr>
        <w:pStyle w:val="16"/>
        <w:spacing w:after="60" w:line="276" w:lineRule="auto"/>
      </w:pPr>
      <w:r>
        <w:rPr>
          <w:rFonts w:ascii="微软雅黑" w:hAnsi="微软雅黑" w:eastAsia="微软雅黑"/>
          <w:b/>
          <w:color w:val="2F5597"/>
          <w:sz w:val="20"/>
        </w:rPr>
        <w:t>赠送说明</w:t>
      </w:r>
      <w:r>
        <w:rPr>
          <w:rFonts w:ascii="微软雅黑" w:hAnsi="微软雅黑" w:eastAsia="微软雅黑"/>
          <w:b w:val="0"/>
          <w:sz w:val="20"/>
        </w:rPr>
        <w:t>：页面下方展示固定赠送比例和阶梯赠送说明，充值前应先确认当前活动是否仍在生效，避免对到账金额预期有误。</w:t>
      </w:r>
    </w:p>
    <w:p w14:paraId="20EFC80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充值记录</w:t>
      </w:r>
    </w:p>
    <w:p w14:paraId="5C475032">
      <w:pPr>
        <w:spacing w:after="60" w:line="276" w:lineRule="auto"/>
      </w:pPr>
      <w:r>
        <w:rPr>
          <w:rFonts w:ascii="微软雅黑" w:hAnsi="微软雅黑" w:eastAsia="微软雅黑"/>
          <w:b w:val="0"/>
          <w:sz w:val="20"/>
        </w:rPr>
        <w:t>充值记录用于查询商户充值订单的申请、到账和处理状态，适合财务或运营按时间、订单号和状态追踪充值结果。</w:t>
      </w:r>
    </w:p>
    <w:p w14:paraId="24DAA8AB">
      <w:pPr>
        <w:spacing w:after="40"/>
        <w:jc w:val="center"/>
      </w:pPr>
      <w:r>
        <w:drawing>
          <wp:inline distT="0" distB="0" distL="114300" distR="114300">
            <wp:extent cx="5852160" cy="933450"/>
            <wp:effectExtent l="0" t="0" r="1524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138"/>
                    <a:stretch>
                      <a:fillRect/>
                    </a:stretch>
                  </pic:blipFill>
                  <pic:spPr>
                    <a:xfrm>
                      <a:off x="0" y="0"/>
                      <a:ext cx="5852160" cy="933818"/>
                    </a:xfrm>
                    <a:prstGeom prst="rect">
                      <a:avLst/>
                    </a:prstGeom>
                  </pic:spPr>
                </pic:pic>
              </a:graphicData>
            </a:graphic>
          </wp:inline>
        </w:drawing>
      </w:r>
    </w:p>
    <w:p w14:paraId="7978A2E6">
      <w:pPr>
        <w:pStyle w:val="15"/>
        <w:spacing w:after="120"/>
        <w:jc w:val="center"/>
      </w:pPr>
      <w:r>
        <w:rPr>
          <w:rFonts w:ascii="微软雅黑" w:hAnsi="微软雅黑" w:eastAsia="微软雅黑"/>
          <w:b w:val="0"/>
          <w:color w:val="707E92"/>
          <w:sz w:val="18"/>
        </w:rPr>
        <w:t>图：充值记录页面，用于筛选充值订单并查看到账状态与链上信息。</w:t>
      </w:r>
    </w:p>
    <w:p w14:paraId="7770442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：页面支持按创建时间、订单号和订单状态查询，便于快速定位指定充值申请。</w:t>
      </w:r>
    </w:p>
    <w:p w14:paraId="56E1F1D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：表格展示订单号、充值金额、赠送金额、实际到账、收款地址、链上TxID、创建时间、操作人、到账时间、订单状态和备注。</w:t>
      </w:r>
    </w:p>
    <w:p w14:paraId="44A5F61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：页面提供搜索、重置和导出表格按钮，适合在核对充值差异时直接导出记录留档。</w:t>
      </w:r>
    </w:p>
    <w:p w14:paraId="2DCC389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：到账异常时建议同时核对链上TxID、到账时间和订单状态，再结合实际转账金额判断是否需要人工跟进。</w:t>
      </w:r>
    </w:p>
    <w:p w14:paraId="7DD5237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商户账变记录</w:t>
      </w:r>
    </w:p>
    <w:p w14:paraId="3167F4CA">
      <w:pPr>
        <w:spacing w:after="60" w:line="276" w:lineRule="auto"/>
      </w:pPr>
      <w:r>
        <w:rPr>
          <w:rFonts w:ascii="微软雅黑" w:hAnsi="微软雅黑" w:eastAsia="微软雅黑"/>
          <w:b w:val="0"/>
          <w:sz w:val="20"/>
        </w:rPr>
        <w:t>商户账变记录用于查看商户钱包余额的变动流水，适合按账变类型、结算时间和来源单据排查资金变化。</w:t>
      </w:r>
    </w:p>
    <w:p w14:paraId="0D5FD244">
      <w:pPr>
        <w:spacing w:after="40"/>
        <w:jc w:val="center"/>
      </w:pPr>
      <w:r>
        <w:drawing>
          <wp:inline distT="0" distB="0" distL="114300" distR="114300">
            <wp:extent cx="5852160" cy="1186180"/>
            <wp:effectExtent l="0" t="0" r="15240" b="1397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139"/>
                    <a:stretch>
                      <a:fillRect/>
                    </a:stretch>
                  </pic:blipFill>
                  <pic:spPr>
                    <a:xfrm>
                      <a:off x="0" y="0"/>
                      <a:ext cx="5852160" cy="1186581"/>
                    </a:xfrm>
                    <a:prstGeom prst="rect">
                      <a:avLst/>
                    </a:prstGeom>
                  </pic:spPr>
                </pic:pic>
              </a:graphicData>
            </a:graphic>
          </wp:inline>
        </w:drawing>
      </w:r>
    </w:p>
    <w:p w14:paraId="3EC6F491">
      <w:pPr>
        <w:pStyle w:val="15"/>
        <w:spacing w:after="120"/>
        <w:jc w:val="center"/>
      </w:pPr>
      <w:r>
        <w:rPr>
          <w:rFonts w:ascii="微软雅黑" w:hAnsi="微软雅黑" w:eastAsia="微软雅黑"/>
          <w:b w:val="0"/>
          <w:color w:val="707E92"/>
          <w:sz w:val="18"/>
        </w:rPr>
        <w:t>图：商户账变记录页面，用于查看商户余额变动前后金额及来源单据。</w:t>
      </w:r>
    </w:p>
    <w:p w14:paraId="448005D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：页面支持按开始时间、结束时间和账变类型筛选，便于按日期区间和资金动作查询流水。</w:t>
      </w:r>
    </w:p>
    <w:p w14:paraId="6F493AD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：表格展示账变时间、类型、变动前余额、变动金额、变动后余额和来源，用于完整追踪每次余额变化。</w:t>
      </w:r>
    </w:p>
    <w:p w14:paraId="0E1E4EA7">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：页面提示数据更新时间为隔天，因此做当日对账时应先确认是否存在统计延迟。</w:t>
      </w:r>
    </w:p>
    <w:p w14:paraId="3B25CD28">
      <w:pPr>
        <w:pStyle w:val="16"/>
        <w:spacing w:after="60" w:line="276" w:lineRule="auto"/>
      </w:pPr>
      <w:r>
        <w:rPr>
          <w:rFonts w:ascii="微软雅黑" w:hAnsi="微软雅黑" w:eastAsia="微软雅黑"/>
          <w:b/>
          <w:color w:val="2F5597"/>
          <w:sz w:val="20"/>
        </w:rPr>
        <w:t>核对路径</w:t>
      </w:r>
      <w:r>
        <w:rPr>
          <w:rFonts w:ascii="微软雅黑" w:hAnsi="微软雅黑" w:eastAsia="微软雅黑"/>
          <w:b w:val="0"/>
          <w:sz w:val="20"/>
        </w:rPr>
        <w:t>：若发现扣费或加款异常，可结合类型字段与来源单据编号，联查商户账单、充值记录或人工加扣款记录继续排查。</w:t>
      </w:r>
    </w:p>
    <w:p w14:paraId="1F816A6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商户账单</w:t>
      </w:r>
    </w:p>
    <w:p w14:paraId="06C73C6A">
      <w:pPr>
        <w:spacing w:after="60" w:line="276" w:lineRule="auto"/>
      </w:pPr>
      <w:r>
        <w:rPr>
          <w:rFonts w:ascii="微软雅黑" w:hAnsi="微软雅黑" w:eastAsia="微软雅黑"/>
          <w:b w:val="0"/>
          <w:sz w:val="20"/>
        </w:rPr>
        <w:t>商户账单用于按账期查看商户费用结算结果，并支持进入明细或执行稽核操作，是商户费用对账和月结复核的主要页面。</w:t>
      </w:r>
    </w:p>
    <w:p w14:paraId="60B131B0">
      <w:pPr>
        <w:pStyle w:val="6"/>
        <w:spacing w:after="60" w:line="276" w:lineRule="auto"/>
      </w:pPr>
      <w:r>
        <w:rPr>
          <w:rFonts w:ascii="微软雅黑" w:hAnsi="微软雅黑" w:eastAsia="微软雅黑"/>
          <w:b/>
          <w:i/>
          <w:color w:val="2F5597"/>
          <w:sz w:val="21"/>
        </w:rPr>
        <w:t>账单列表</w:t>
      </w:r>
    </w:p>
    <w:p w14:paraId="2FE2489C">
      <w:pPr>
        <w:spacing w:after="60" w:line="276" w:lineRule="auto"/>
      </w:pPr>
      <w:r>
        <w:rPr>
          <w:rFonts w:ascii="微软雅黑" w:hAnsi="微软雅黑" w:eastAsia="微软雅黑"/>
          <w:b w:val="0"/>
          <w:sz w:val="20"/>
        </w:rPr>
        <w:t>账单列表展示每个账期的固定费用、减免、结算金额和稽核状态，适合按月核对账单结果。</w:t>
      </w:r>
    </w:p>
    <w:p w14:paraId="6FAD7F63">
      <w:pPr>
        <w:spacing w:after="40"/>
        <w:jc w:val="center"/>
      </w:pPr>
      <w:r>
        <w:drawing>
          <wp:inline distT="0" distB="0" distL="114300" distR="114300">
            <wp:extent cx="5852160" cy="1030605"/>
            <wp:effectExtent l="0" t="0" r="15240" b="1714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140"/>
                    <a:stretch>
                      <a:fillRect/>
                    </a:stretch>
                  </pic:blipFill>
                  <pic:spPr>
                    <a:xfrm>
                      <a:off x="0" y="0"/>
                      <a:ext cx="5852160" cy="1030679"/>
                    </a:xfrm>
                    <a:prstGeom prst="rect">
                      <a:avLst/>
                    </a:prstGeom>
                  </pic:spPr>
                </pic:pic>
              </a:graphicData>
            </a:graphic>
          </wp:inline>
        </w:drawing>
      </w:r>
    </w:p>
    <w:p w14:paraId="70F02B28">
      <w:pPr>
        <w:pStyle w:val="15"/>
        <w:spacing w:after="120"/>
        <w:jc w:val="center"/>
      </w:pPr>
      <w:r>
        <w:rPr>
          <w:rFonts w:ascii="微软雅黑" w:hAnsi="微软雅黑" w:eastAsia="微软雅黑"/>
          <w:b w:val="0"/>
          <w:color w:val="707E92"/>
          <w:sz w:val="18"/>
        </w:rPr>
        <w:t>图：商户账单列表，用于查看账期结算金额、状态和稽核入口。</w:t>
      </w:r>
    </w:p>
    <w:p w14:paraId="02BF85A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：页面支持按账期和状态筛选，结合搜索和重置按钮可快速定位指定月份账单。</w:t>
      </w:r>
    </w:p>
    <w:p w14:paraId="4EA2C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：表格展示账期、开版费、服务器费用、人工加款、人工扣款、游戏厂商费用、商户充值优惠、其他减免、结算金额、状态、创建时间、稽核时间和操作。</w:t>
      </w:r>
    </w:p>
    <w:p w14:paraId="386A3413">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：页面提供批量稽核、导出表格，以及每行的详情和稽核入口；执行稽核前应先确认当期费用和减免项目已经核对完成。</w:t>
      </w:r>
    </w:p>
    <w:p w14:paraId="0BBFFB66">
      <w:pPr>
        <w:pStyle w:val="6"/>
        <w:spacing w:after="60" w:line="276" w:lineRule="auto"/>
      </w:pPr>
      <w:r>
        <w:rPr>
          <w:rFonts w:ascii="微软雅黑" w:hAnsi="微软雅黑" w:eastAsia="微软雅黑"/>
          <w:b/>
          <w:i/>
          <w:color w:val="2F5597"/>
          <w:sz w:val="21"/>
        </w:rPr>
        <w:t>费用明细弹窗</w:t>
      </w:r>
    </w:p>
    <w:p w14:paraId="69C4F6B0">
      <w:pPr>
        <w:spacing w:after="60" w:line="276" w:lineRule="auto"/>
      </w:pPr>
      <w:r>
        <w:rPr>
          <w:rFonts w:ascii="微软雅黑" w:hAnsi="微软雅黑" w:eastAsia="微软雅黑"/>
          <w:b w:val="0"/>
          <w:sz w:val="20"/>
        </w:rPr>
        <w:t>在账单列表点击详情后，可查看游戏厂商费用明细，进一步拆分到厂商和游戏类型层面。</w:t>
      </w:r>
    </w:p>
    <w:p w14:paraId="26A4C299">
      <w:pPr>
        <w:spacing w:after="40"/>
        <w:jc w:val="center"/>
      </w:pPr>
      <w:r>
        <w:drawing>
          <wp:inline distT="0" distB="0" distL="114300" distR="114300">
            <wp:extent cx="5852160" cy="2175510"/>
            <wp:effectExtent l="0" t="0" r="15240" b="1524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141"/>
                    <a:stretch>
                      <a:fillRect/>
                    </a:stretch>
                  </pic:blipFill>
                  <pic:spPr>
                    <a:xfrm>
                      <a:off x="0" y="0"/>
                      <a:ext cx="5852160" cy="2175665"/>
                    </a:xfrm>
                    <a:prstGeom prst="rect">
                      <a:avLst/>
                    </a:prstGeom>
                  </pic:spPr>
                </pic:pic>
              </a:graphicData>
            </a:graphic>
          </wp:inline>
        </w:drawing>
      </w:r>
    </w:p>
    <w:p w14:paraId="7CFE3202">
      <w:pPr>
        <w:pStyle w:val="15"/>
        <w:spacing w:after="120"/>
        <w:jc w:val="center"/>
      </w:pPr>
      <w:r>
        <w:rPr>
          <w:rFonts w:ascii="微软雅黑" w:hAnsi="微软雅黑" w:eastAsia="微软雅黑"/>
          <w:b w:val="0"/>
          <w:color w:val="707E92"/>
          <w:sz w:val="18"/>
        </w:rPr>
        <w:t>图：游戏厂商费用明细弹窗，用于查看厂商费率、投注人数、有效投注和应付费用。</w:t>
      </w:r>
    </w:p>
    <w:p w14:paraId="149432A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：弹窗支持按厂商和游戏类型筛选，便于只查看某一类费用明细。</w:t>
      </w:r>
    </w:p>
    <w:p w14:paraId="370828D8">
      <w:pPr>
        <w:pStyle w:val="16"/>
        <w:spacing w:after="60" w:line="276" w:lineRule="auto"/>
      </w:pPr>
      <w:r>
        <w:rPr>
          <w:rFonts w:ascii="微软雅黑" w:hAnsi="微软雅黑" w:eastAsia="微软雅黑"/>
          <w:b/>
          <w:color w:val="2F5597"/>
          <w:sz w:val="20"/>
        </w:rPr>
        <w:t>明细字段</w:t>
      </w:r>
      <w:r>
        <w:rPr>
          <w:rFonts w:ascii="微软雅黑" w:hAnsi="微软雅黑" w:eastAsia="微软雅黑"/>
          <w:b w:val="0"/>
          <w:sz w:val="20"/>
        </w:rPr>
        <w:t>：表格展示游戏厂商、游戏类型、商户费率、投注人数、投注次数、有效投注、线路盈利和应付费用，用于核对费用组成。</w:t>
      </w:r>
    </w:p>
    <w:p w14:paraId="111BD0F4">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：底部提供分页能力，适合在厂商较多时分批核对明细数据。</w:t>
      </w:r>
    </w:p>
    <w:p w14:paraId="621057E2">
      <w:pPr>
        <w:pStyle w:val="3"/>
        <w:keepNext/>
        <w:spacing w:before="360" w:after="240" w:line="276" w:lineRule="auto"/>
      </w:pPr>
      <w:r>
        <w:rPr>
          <w:rFonts w:ascii="微软雅黑" w:hAnsi="微软雅黑" w:eastAsia="微软雅黑"/>
          <w:b/>
          <w:color w:val="2F5597"/>
          <w:sz w:val="28"/>
        </w:rPr>
        <w:t>十四、埋点配置</w:t>
      </w:r>
    </w:p>
    <w:p w14:paraId="5ACC4D2B">
      <w:pPr>
        <w:pStyle w:val="4"/>
        <w:spacing w:after="60" w:line="276" w:lineRule="auto"/>
      </w:pPr>
      <w:r>
        <w:rPr>
          <w:rFonts w:ascii="微软雅黑" w:hAnsi="微软雅黑" w:eastAsia="微软雅黑"/>
          <w:b/>
          <w:color w:val="2F5597"/>
          <w:sz w:val="25"/>
        </w:rPr>
        <w:t>模块定位</w:t>
      </w:r>
    </w:p>
    <w:p w14:paraId="2B7B5D56">
      <w:pPr>
        <w:spacing w:after="60" w:line="276" w:lineRule="auto"/>
      </w:pPr>
      <w:r>
        <w:rPr>
          <w:rFonts w:ascii="微软雅黑" w:hAnsi="微软雅黑" w:eastAsia="微软雅黑"/>
          <w:b w:val="0"/>
          <w:sz w:val="20"/>
        </w:rPr>
        <w:t>埋点配置用于查看页面访问、会话轨迹和事件触发明细，是核对埋点是否生效、分析用户路径和排查异常上报的核心模块。处理推广转化、页面停留和行为链路问题时，可先从本章对应节点进入统计或流水页面。</w:t>
      </w:r>
    </w:p>
    <w:p w14:paraId="3386D040">
      <w:pPr>
        <w:pStyle w:val="4"/>
        <w:spacing w:after="60" w:line="276" w:lineRule="auto"/>
      </w:pPr>
      <w:r>
        <w:rPr>
          <w:rFonts w:ascii="微软雅黑" w:hAnsi="微软雅黑" w:eastAsia="微软雅黑"/>
          <w:b/>
          <w:color w:val="2F5597"/>
          <w:sz w:val="25"/>
        </w:rPr>
        <w:t>页面说明</w:t>
      </w:r>
    </w:p>
    <w:p w14:paraId="7AEA83D5">
      <w:pPr>
        <w:pStyle w:val="5"/>
        <w:spacing w:after="60" w:line="276" w:lineRule="auto"/>
      </w:pPr>
      <w:r>
        <w:rPr>
          <w:rFonts w:ascii="微软雅黑" w:hAnsi="微软雅黑" w:eastAsia="微软雅黑"/>
          <w:b/>
          <w:color w:val="2F5597"/>
          <w:sz w:val="21"/>
        </w:rPr>
        <w:t>埋点统计</w:t>
      </w:r>
    </w:p>
    <w:p w14:paraId="07D58B8F">
      <w:pPr>
        <w:spacing w:after="60" w:line="276" w:lineRule="auto"/>
      </w:pPr>
      <w:r>
        <w:rPr>
          <w:rFonts w:ascii="微软雅黑" w:hAnsi="微软雅黑" w:eastAsia="微软雅黑"/>
          <w:b w:val="0"/>
          <w:sz w:val="20"/>
        </w:rPr>
        <w:t>埋点统计用于按日期和渠道汇总 PV、UV、总会话、新会话、跳失会话、转化会话和注册充值结果，适合快速判断页面访问质量和推广转化表现。</w:t>
      </w:r>
    </w:p>
    <w:p w14:paraId="564690DB">
      <w:pPr>
        <w:spacing w:after="40"/>
        <w:jc w:val="center"/>
      </w:pPr>
      <w:r>
        <w:drawing>
          <wp:inline distT="0" distB="0" distL="114300" distR="114300">
            <wp:extent cx="5852160" cy="1915795"/>
            <wp:effectExtent l="0" t="0" r="15240" b="825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142"/>
                    <a:stretch>
                      <a:fillRect/>
                    </a:stretch>
                  </pic:blipFill>
                  <pic:spPr>
                    <a:xfrm>
                      <a:off x="0" y="0"/>
                      <a:ext cx="5852160" cy="1916289"/>
                    </a:xfrm>
                    <a:prstGeom prst="rect">
                      <a:avLst/>
                    </a:prstGeom>
                  </pic:spPr>
                </pic:pic>
              </a:graphicData>
            </a:graphic>
          </wp:inline>
        </w:drawing>
      </w:r>
    </w:p>
    <w:p w14:paraId="502A0DE5">
      <w:pPr>
        <w:pStyle w:val="15"/>
        <w:spacing w:after="120"/>
        <w:jc w:val="center"/>
      </w:pPr>
      <w:r>
        <w:rPr>
          <w:rFonts w:ascii="微软雅黑" w:hAnsi="微软雅黑" w:eastAsia="微软雅黑"/>
          <w:b w:val="0"/>
          <w:color w:val="707E92"/>
          <w:sz w:val="18"/>
        </w:rPr>
        <w:t>图：埋点统计页面，用于按日期和渠道查看访问量、跳失率、转化率、注册数和充值数等指标。</w:t>
      </w:r>
    </w:p>
    <w:p w14:paraId="5BEE550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：页面支持按日期范围和渠道筛选数据。复盘投放效果时，建议先限定统计周期，再按渠道拆分查看不同来源的访问质量。</w:t>
      </w:r>
    </w:p>
    <w:p w14:paraId="064D537B">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：PV 和 UV 用于判断访问规模，总会话、新会话和跳失会话用于判断用户进入后的停留质量，转化会话、注册数和充值数用于观察最终转化结果。</w:t>
      </w:r>
    </w:p>
    <w:p w14:paraId="7D514D31">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：当 PV 较高但转化会话、注册数或充值数偏低时，应继续联查会话列表和事件流水，确认是否存在页面跳失过高、关键事件未触发或链路中断的情况。</w:t>
      </w:r>
    </w:p>
    <w:p w14:paraId="538B5FE7">
      <w:pPr>
        <w:pStyle w:val="5"/>
        <w:spacing w:after="60" w:line="276" w:lineRule="auto"/>
      </w:pPr>
      <w:r>
        <w:rPr>
          <w:rFonts w:ascii="微软雅黑" w:hAnsi="微软雅黑" w:eastAsia="微软雅黑"/>
          <w:b/>
          <w:color w:val="2F5597"/>
          <w:sz w:val="21"/>
        </w:rPr>
        <w:t>会话列表</w:t>
      </w:r>
    </w:p>
    <w:p w14:paraId="0C59E736">
      <w:pPr>
        <w:spacing w:after="60" w:line="276" w:lineRule="auto"/>
      </w:pPr>
      <w:r>
        <w:rPr>
          <w:rFonts w:ascii="微软雅黑" w:hAnsi="微软雅黑" w:eastAsia="微软雅黑"/>
          <w:b w:val="0"/>
          <w:sz w:val="20"/>
        </w:rPr>
        <w:t>会话列表用于查看单个会话的入口页、离开页、浏览页数、事件数、停留时长和是否跳失，适合追踪用户从进入站点到离开的完整访问路径。</w:t>
      </w:r>
    </w:p>
    <w:p w14:paraId="29EC1A3D">
      <w:pPr>
        <w:spacing w:after="40"/>
        <w:jc w:val="center"/>
      </w:pPr>
      <w:r>
        <w:drawing>
          <wp:inline distT="0" distB="0" distL="114300" distR="114300">
            <wp:extent cx="5852160" cy="1598295"/>
            <wp:effectExtent l="0" t="0" r="15240" b="190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143"/>
                    <a:stretch>
                      <a:fillRect/>
                    </a:stretch>
                  </pic:blipFill>
                  <pic:spPr>
                    <a:xfrm>
                      <a:off x="0" y="0"/>
                      <a:ext cx="5852160" cy="1598639"/>
                    </a:xfrm>
                    <a:prstGeom prst="rect">
                      <a:avLst/>
                    </a:prstGeom>
                  </pic:spPr>
                </pic:pic>
              </a:graphicData>
            </a:graphic>
          </wp:inline>
        </w:drawing>
      </w:r>
    </w:p>
    <w:p w14:paraId="7AA1B8F5">
      <w:pPr>
        <w:pStyle w:val="15"/>
        <w:spacing w:after="120"/>
        <w:jc w:val="center"/>
      </w:pPr>
      <w:r>
        <w:rPr>
          <w:rFonts w:ascii="微软雅黑" w:hAnsi="微软雅黑" w:eastAsia="微软雅黑"/>
          <w:b w:val="0"/>
          <w:color w:val="707E92"/>
          <w:sz w:val="18"/>
        </w:rPr>
        <w:t>图：会话列表页面，用于按会话 ID、会员 ID、入口页、离开页和起始时间查看访问轨迹。</w:t>
      </w:r>
    </w:p>
    <w:p w14:paraId="3F9F2F5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：列表集中展示会话 ID、会员 ID、渠道、入口页、离开页、浏览页数、事件数、时长、跳失、已转化和开始时间，可用于快速判断该次访问的路径和结果。</w:t>
      </w:r>
    </w:p>
    <w:p w14:paraId="23D410B5">
      <w:pPr>
        <w:pStyle w:val="16"/>
        <w:spacing w:after="60" w:line="276" w:lineRule="auto"/>
      </w:pPr>
      <w:r>
        <w:rPr>
          <w:rFonts w:ascii="微软雅黑" w:hAnsi="微软雅黑" w:eastAsia="微软雅黑"/>
          <w:b/>
          <w:color w:val="2F5597"/>
          <w:sz w:val="20"/>
        </w:rPr>
        <w:t>轨迹排查</w:t>
      </w:r>
      <w:r>
        <w:rPr>
          <w:rFonts w:ascii="微软雅黑" w:hAnsi="微软雅黑" w:eastAsia="微软雅黑"/>
          <w:b w:val="0"/>
          <w:sz w:val="20"/>
        </w:rPr>
        <w:t>：当用户反馈活动页打不开、充值页跳出或登录后未继续访问时，可先按会员 ID 或时间定位会话，再结合入口页和离开页确认卡住的页面节点。</w:t>
      </w:r>
    </w:p>
    <w:p w14:paraId="34191DA8">
      <w:pPr>
        <w:pStyle w:val="16"/>
        <w:spacing w:after="60" w:line="276" w:lineRule="auto"/>
      </w:pPr>
      <w:r>
        <w:rPr>
          <w:rFonts w:ascii="微软雅黑" w:hAnsi="微软雅黑" w:eastAsia="微软雅黑"/>
          <w:b/>
          <w:color w:val="2F5597"/>
          <w:sz w:val="20"/>
        </w:rPr>
        <w:t>联查入口</w:t>
      </w:r>
      <w:r>
        <w:rPr>
          <w:rFonts w:ascii="微软雅黑" w:hAnsi="微软雅黑" w:eastAsia="微软雅黑"/>
          <w:b w:val="0"/>
          <w:sz w:val="20"/>
        </w:rPr>
        <w:t>：操作列可直接进入事件流水，适合从会话维度继续下钻查看本次访问触发了哪些事件、附带了哪些参数以及是否存在缺失。</w:t>
      </w:r>
    </w:p>
    <w:p w14:paraId="5244A013">
      <w:pPr>
        <w:pStyle w:val="5"/>
        <w:spacing w:after="60" w:line="276" w:lineRule="auto"/>
      </w:pPr>
      <w:r>
        <w:rPr>
          <w:rFonts w:ascii="微软雅黑" w:hAnsi="微软雅黑" w:eastAsia="微软雅黑"/>
          <w:b/>
          <w:color w:val="2F5597"/>
          <w:sz w:val="21"/>
        </w:rPr>
        <w:t>事件流水</w:t>
      </w:r>
    </w:p>
    <w:p w14:paraId="0FE01307">
      <w:pPr>
        <w:spacing w:after="60" w:line="276" w:lineRule="auto"/>
      </w:pPr>
      <w:r>
        <w:rPr>
          <w:rFonts w:ascii="微软雅黑" w:hAnsi="微软雅黑" w:eastAsia="微软雅黑"/>
          <w:b w:val="0"/>
          <w:sz w:val="20"/>
        </w:rPr>
        <w:t>事件流水用于按会话 ID 查看单次访问触发的 page_view、game_start、game_end 等埋点事件明细，是核对事件顺序、触发页面和附加参数的关键页面。</w:t>
      </w:r>
    </w:p>
    <w:p w14:paraId="0BEECAC5">
      <w:pPr>
        <w:spacing w:after="40"/>
        <w:jc w:val="center"/>
      </w:pPr>
      <w:r>
        <w:drawing>
          <wp:inline distT="0" distB="0" distL="114300" distR="114300">
            <wp:extent cx="5852160" cy="2535555"/>
            <wp:effectExtent l="0" t="0" r="15240" b="1714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144"/>
                    <a:stretch>
                      <a:fillRect/>
                    </a:stretch>
                  </pic:blipFill>
                  <pic:spPr>
                    <a:xfrm>
                      <a:off x="0" y="0"/>
                      <a:ext cx="5852160" cy="2535697"/>
                    </a:xfrm>
                    <a:prstGeom prst="rect">
                      <a:avLst/>
                    </a:prstGeom>
                  </pic:spPr>
                </pic:pic>
              </a:graphicData>
            </a:graphic>
          </wp:inline>
        </w:drawing>
      </w:r>
    </w:p>
    <w:p w14:paraId="740E310C">
      <w:pPr>
        <w:pStyle w:val="15"/>
        <w:spacing w:after="120"/>
        <w:jc w:val="center"/>
      </w:pPr>
      <w:r>
        <w:rPr>
          <w:rFonts w:ascii="微软雅黑" w:hAnsi="微软雅黑" w:eastAsia="微软雅黑"/>
          <w:b w:val="0"/>
          <w:color w:val="707E92"/>
          <w:sz w:val="18"/>
        </w:rPr>
        <w:t>图：事件流水页面，用于查看会话内各类事件的触发页面、持续时长、附加数据和发生时间。</w:t>
      </w:r>
    </w:p>
    <w:p w14:paraId="151E9842">
      <w:pPr>
        <w:pStyle w:val="16"/>
        <w:spacing w:after="60" w:line="276" w:lineRule="auto"/>
      </w:pPr>
      <w:r>
        <w:rPr>
          <w:rFonts w:ascii="微软雅黑" w:hAnsi="微软雅黑" w:eastAsia="微软雅黑"/>
          <w:b/>
          <w:color w:val="2F5597"/>
          <w:sz w:val="20"/>
        </w:rPr>
        <w:t>筛选方式</w:t>
      </w:r>
      <w:r>
        <w:rPr>
          <w:rFonts w:ascii="微软雅黑" w:hAnsi="微软雅黑" w:eastAsia="微软雅黑"/>
          <w:b w:val="0"/>
          <w:sz w:val="20"/>
        </w:rPr>
        <w:t>：页面通常按会话 ID 查询。排查具体用户行为时，建议先从会话列表进入对应记录，避免手工拼接会话编号产生误查。</w:t>
      </w:r>
    </w:p>
    <w:p w14:paraId="55F8BD55">
      <w:pPr>
        <w:pStyle w:val="16"/>
        <w:spacing w:after="60" w:line="276" w:lineRule="auto"/>
      </w:pPr>
      <w:r>
        <w:rPr>
          <w:rFonts w:ascii="微软雅黑" w:hAnsi="微软雅黑" w:eastAsia="微软雅黑"/>
          <w:b/>
          <w:color w:val="2F5597"/>
          <w:sz w:val="20"/>
        </w:rPr>
        <w:t>事件明细</w:t>
      </w:r>
      <w:r>
        <w:rPr>
          <w:rFonts w:ascii="微软雅黑" w:hAnsi="微软雅黑" w:eastAsia="微软雅黑"/>
          <w:b w:val="0"/>
          <w:sz w:val="20"/>
        </w:rPr>
        <w:t>：列表会展示事件类型、触发页面、渠道、会员 ID、持续时长、附加数据和发生时间，可用于确认事件是否按预期页面和顺序上报。</w:t>
      </w:r>
    </w:p>
    <w:p w14:paraId="34BD3419">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：若关键页面只有 page_view 没有后续业务事件，或同一事件连续触发次数异常，应进一步核对页面按钮、跳转链路和前端埋点配置是否完整。</w:t>
      </w:r>
    </w:p>
    <w:p w14:paraId="2E5257F6">
      <w:pPr>
        <w:pStyle w:val="6"/>
        <w:spacing w:after="60" w:line="276" w:lineRule="auto"/>
      </w:pPr>
      <w:r>
        <w:rPr>
          <w:rFonts w:ascii="微软雅黑" w:hAnsi="微软雅黑" w:eastAsia="微软雅黑"/>
          <w:b/>
          <w:i/>
          <w:color w:val="2F5597"/>
          <w:sz w:val="21"/>
        </w:rPr>
        <w:t>事件附加数据</w:t>
      </w:r>
    </w:p>
    <w:p w14:paraId="3B40E804">
      <w:pPr>
        <w:spacing w:after="60" w:line="276" w:lineRule="auto"/>
      </w:pPr>
      <w:r>
        <w:rPr>
          <w:rFonts w:ascii="微软雅黑" w:hAnsi="微软雅黑" w:eastAsia="微软雅黑"/>
          <w:b w:val="0"/>
          <w:sz w:val="20"/>
        </w:rPr>
        <w:t>附加数据弹窗用于查看某条事件额外携带的业务参数，例如游戏品牌、活动标识或页面来源，便于确认事件内容是否满足统计和归因口径。</w:t>
      </w:r>
    </w:p>
    <w:p w14:paraId="07BC8654">
      <w:pPr>
        <w:spacing w:after="40"/>
        <w:jc w:val="center"/>
      </w:pPr>
      <w:r>
        <w:drawing>
          <wp:inline distT="0" distB="0" distL="114300" distR="114300">
            <wp:extent cx="5852160" cy="1572895"/>
            <wp:effectExtent l="0" t="0" r="15240" b="8255"/>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a:picLocks noChangeAspect="1"/>
                    </pic:cNvPicPr>
                  </pic:nvPicPr>
                  <pic:blipFill>
                    <a:blip r:embed="rId145"/>
                    <a:stretch>
                      <a:fillRect/>
                    </a:stretch>
                  </pic:blipFill>
                  <pic:spPr>
                    <a:xfrm>
                      <a:off x="0" y="0"/>
                      <a:ext cx="5852160" cy="1573509"/>
                    </a:xfrm>
                    <a:prstGeom prst="rect">
                      <a:avLst/>
                    </a:prstGeom>
                  </pic:spPr>
                </pic:pic>
              </a:graphicData>
            </a:graphic>
          </wp:inline>
        </w:drawing>
      </w:r>
    </w:p>
    <w:p w14:paraId="2ED7232E">
      <w:pPr>
        <w:pStyle w:val="15"/>
        <w:spacing w:after="120"/>
        <w:jc w:val="center"/>
      </w:pPr>
      <w:r>
        <w:rPr>
          <w:rFonts w:ascii="微软雅黑" w:hAnsi="微软雅黑" w:eastAsia="微软雅黑"/>
          <w:b w:val="0"/>
          <w:color w:val="707E92"/>
          <w:sz w:val="18"/>
        </w:rPr>
        <w:t>图：事件附加数据弹窗，用于查看单条事件上报的补充参数内容。</w:t>
      </w:r>
    </w:p>
    <w:p w14:paraId="5B4C54C3">
      <w:pPr>
        <w:pStyle w:val="16"/>
        <w:spacing w:after="60" w:line="276" w:lineRule="auto"/>
      </w:pPr>
      <w:r>
        <w:rPr>
          <w:rFonts w:ascii="微软雅黑" w:hAnsi="微软雅黑" w:eastAsia="微软雅黑"/>
          <w:b/>
          <w:color w:val="2F5597"/>
          <w:sz w:val="20"/>
        </w:rPr>
        <w:t>参数核对</w:t>
      </w:r>
      <w:r>
        <w:rPr>
          <w:rFonts w:ascii="微软雅黑" w:hAnsi="微软雅黑" w:eastAsia="微软雅黑"/>
          <w:b w:val="0"/>
          <w:sz w:val="20"/>
        </w:rPr>
        <w:t>：当事件需要区分游戏品牌、渠道标识或活动来源时，应重点检查附加数据中的字段值是否完整、是否与业务实际一致。</w:t>
      </w:r>
    </w:p>
    <w:p w14:paraId="150B856C">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：统计口径异常、归因不准或活动转化和报表不一致时，可通过附加数据确认是不是事件参数缺失、字段命名不统一或上报值错误。</w:t>
      </w:r>
    </w:p>
    <w:p w14:paraId="14EAE7AC">
      <w:pPr>
        <w:pStyle w:val="3"/>
        <w:keepNext/>
        <w:spacing w:before="360" w:after="240" w:line="276" w:lineRule="auto"/>
      </w:pPr>
      <w:r>
        <w:rPr>
          <w:rFonts w:ascii="微软雅黑" w:hAnsi="微软雅黑" w:eastAsia="微软雅黑"/>
          <w:b/>
          <w:color w:val="2F5597"/>
          <w:sz w:val="28"/>
        </w:rPr>
        <w:t>十五、人事中心</w:t>
      </w:r>
    </w:p>
    <w:p w14:paraId="14CD7CFE">
      <w:pPr>
        <w:pStyle w:val="4"/>
        <w:spacing w:after="60" w:line="276" w:lineRule="auto"/>
      </w:pPr>
      <w:r>
        <w:rPr>
          <w:rFonts w:ascii="微软雅黑" w:hAnsi="微软雅黑" w:eastAsia="微软雅黑"/>
          <w:b/>
          <w:color w:val="2F5597"/>
          <w:sz w:val="25"/>
        </w:rPr>
        <w:t>模块定位</w:t>
      </w:r>
    </w:p>
    <w:p w14:paraId="2AB797C7">
      <w:pPr>
        <w:spacing w:after="60" w:line="276" w:lineRule="auto"/>
      </w:pPr>
      <w:r>
        <w:rPr>
          <w:rFonts w:ascii="微软雅黑" w:hAnsi="微软雅黑" w:eastAsia="微软雅黑"/>
          <w:b w:val="0"/>
          <w:sz w:val="20"/>
        </w:rPr>
        <w:t>人事中心用于维护后台账号、分配系统预设角色，并查看管理员登录、操作和系统异常相关日志，是账号权限管理、审计追踪和异常排查的统一入口。商户侧仅选择已有角色，不在本模块内自行创建权限体系。</w:t>
      </w:r>
    </w:p>
    <w:p w14:paraId="5D3AD5BB">
      <w:pPr>
        <w:pStyle w:val="4"/>
        <w:spacing w:after="60" w:line="276" w:lineRule="auto"/>
      </w:pPr>
      <w:r>
        <w:rPr>
          <w:rFonts w:ascii="微软雅黑" w:hAnsi="微软雅黑" w:eastAsia="微软雅黑"/>
          <w:b/>
          <w:color w:val="2F5597"/>
          <w:sz w:val="25"/>
        </w:rPr>
        <w:t>页面说明</w:t>
      </w:r>
    </w:p>
    <w:p w14:paraId="564DDD3E">
      <w:pPr>
        <w:pStyle w:val="5"/>
        <w:spacing w:after="60" w:line="276" w:lineRule="auto"/>
      </w:pPr>
      <w:r>
        <w:rPr>
          <w:rFonts w:ascii="微软雅黑" w:hAnsi="微软雅黑" w:eastAsia="微软雅黑"/>
          <w:b/>
          <w:color w:val="2F5597"/>
          <w:sz w:val="21"/>
        </w:rPr>
        <w:t>人事列表</w:t>
      </w:r>
    </w:p>
    <w:p w14:paraId="658A7DC7">
      <w:pPr>
        <w:spacing w:after="60" w:line="276" w:lineRule="auto"/>
      </w:pPr>
      <w:r>
        <w:rPr>
          <w:rFonts w:ascii="微软雅黑" w:hAnsi="微软雅黑" w:eastAsia="微软雅黑"/>
          <w:b w:val="0"/>
          <w:sz w:val="20"/>
        </w:rPr>
        <w:t>人事列表用于管理后台人员账号，支持按用户名查询、查看角色和状态，并从列表执行新增、编辑和重置 Google 验证器等操作。</w:t>
      </w:r>
    </w:p>
    <w:p w14:paraId="1EC433B6">
      <w:pPr>
        <w:spacing w:after="40"/>
        <w:jc w:val="center"/>
      </w:pPr>
      <w:r>
        <w:drawing>
          <wp:inline distT="0" distB="0" distL="114300" distR="114300">
            <wp:extent cx="5852160" cy="1127125"/>
            <wp:effectExtent l="0" t="0" r="15240" b="1587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a:picLocks noChangeAspect="1"/>
                    </pic:cNvPicPr>
                  </pic:nvPicPr>
                  <pic:blipFill>
                    <a:blip r:embed="rId146"/>
                    <a:stretch>
                      <a:fillRect/>
                    </a:stretch>
                  </pic:blipFill>
                  <pic:spPr>
                    <a:xfrm>
                      <a:off x="0" y="0"/>
                      <a:ext cx="5852160" cy="1127514"/>
                    </a:xfrm>
                    <a:prstGeom prst="rect">
                      <a:avLst/>
                    </a:prstGeom>
                  </pic:spPr>
                </pic:pic>
              </a:graphicData>
            </a:graphic>
          </wp:inline>
        </w:drawing>
      </w:r>
    </w:p>
    <w:p w14:paraId="0D1F50D6">
      <w:pPr>
        <w:pStyle w:val="15"/>
        <w:spacing w:after="120"/>
        <w:jc w:val="center"/>
      </w:pPr>
      <w:r>
        <w:rPr>
          <w:rFonts w:ascii="微软雅黑" w:hAnsi="微软雅黑" w:eastAsia="微软雅黑"/>
          <w:b w:val="0"/>
          <w:color w:val="707E92"/>
          <w:sz w:val="18"/>
        </w:rPr>
        <w:t>图：人事列表页面，用于查看后台账号、角色、状态、登录 IP、创建时间和更新时间。</w:t>
      </w:r>
    </w:p>
    <w:p w14:paraId="7CE323CB">
      <w:pPr>
        <w:pStyle w:val="16"/>
        <w:spacing w:after="60" w:line="276" w:lineRule="auto"/>
      </w:pPr>
      <w:r>
        <w:rPr>
          <w:rFonts w:ascii="微软雅黑" w:hAnsi="微软雅黑" w:eastAsia="微软雅黑"/>
          <w:b/>
          <w:color w:val="2F5597"/>
          <w:sz w:val="20"/>
        </w:rPr>
        <w:t>账号查询</w:t>
      </w:r>
      <w:r>
        <w:rPr>
          <w:rFonts w:ascii="微软雅黑" w:hAnsi="微软雅黑" w:eastAsia="微软雅黑"/>
          <w:b w:val="0"/>
          <w:sz w:val="20"/>
        </w:rPr>
        <w:t>：页面支持按用户名筛选后台账号。处理交接、权限复核或异常登录排查时，可先定位具体账号，再查看其角色和最近登录信息。</w:t>
      </w:r>
    </w:p>
    <w:p w14:paraId="0871476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：列表展示用户名、角色、状态、登录 IP、最后登录时间、创建时间和更新时间，便于同步核对账号归属、启用状态和最近使用情况。</w:t>
      </w:r>
    </w:p>
    <w:p w14:paraId="6FDDD670">
      <w:pPr>
        <w:pStyle w:val="16"/>
        <w:spacing w:after="60" w:line="276" w:lineRule="auto"/>
      </w:pPr>
      <w:r>
        <w:rPr>
          <w:rFonts w:ascii="微软雅黑" w:hAnsi="微软雅黑" w:eastAsia="微软雅黑"/>
          <w:b/>
          <w:color w:val="2F5597"/>
          <w:sz w:val="20"/>
        </w:rPr>
        <w:t>新增员工</w:t>
      </w:r>
      <w:r>
        <w:rPr>
          <w:rFonts w:ascii="微软雅黑" w:hAnsi="微软雅黑" w:eastAsia="微软雅黑"/>
          <w:b w:val="0"/>
          <w:sz w:val="20"/>
        </w:rPr>
        <w:t>：点击“新增员工”后应填写账号基础资料并选择系统预设角色。保存前需确认岗位职责和菜单范围，避免将高权限角色分配给普通运营账号。</w:t>
      </w:r>
    </w:p>
    <w:p w14:paraId="13719CA1">
      <w:pPr>
        <w:pStyle w:val="16"/>
        <w:spacing w:after="60" w:line="276" w:lineRule="auto"/>
      </w:pPr>
      <w:r>
        <w:rPr>
          <w:rFonts w:ascii="微软雅黑" w:hAnsi="微软雅黑" w:eastAsia="微软雅黑"/>
          <w:b/>
          <w:color w:val="2F5597"/>
          <w:sz w:val="20"/>
        </w:rPr>
        <w:t>编辑与停用</w:t>
      </w:r>
      <w:r>
        <w:rPr>
          <w:rFonts w:ascii="微软雅黑" w:hAnsi="微软雅黑" w:eastAsia="微软雅黑"/>
          <w:b w:val="0"/>
          <w:sz w:val="20"/>
        </w:rPr>
        <w:t>：编辑适合调整人员信息、联系方式和角色，停用适合处理离职、转岗或临时冻结账号场景。停用前建议先确认该账号是否仍承担值班或审核工作。</w:t>
      </w:r>
    </w:p>
    <w:p w14:paraId="660FEFE9">
      <w:pPr>
        <w:pStyle w:val="16"/>
        <w:spacing w:after="60" w:line="276" w:lineRule="auto"/>
      </w:pPr>
      <w:r>
        <w:rPr>
          <w:rFonts w:ascii="微软雅黑" w:hAnsi="微软雅黑" w:eastAsia="微软雅黑"/>
          <w:b/>
          <w:color w:val="2F5597"/>
          <w:sz w:val="20"/>
        </w:rPr>
        <w:t>重置验证器</w:t>
      </w:r>
      <w:r>
        <w:rPr>
          <w:rFonts w:ascii="微软雅黑" w:hAnsi="微软雅黑" w:eastAsia="微软雅黑"/>
          <w:b w:val="0"/>
          <w:sz w:val="20"/>
        </w:rPr>
        <w:t>：重置 Google 验证器适用于设备更换、验证器丢失或双重验证异常场景。执行前应先核实申请人身份，避免误清空正常账号的安全校验。</w:t>
      </w:r>
    </w:p>
    <w:p w14:paraId="0FAF20F7">
      <w:pPr>
        <w:pStyle w:val="5"/>
        <w:spacing w:after="60" w:line="276" w:lineRule="auto"/>
      </w:pPr>
      <w:r>
        <w:rPr>
          <w:rFonts w:hint="eastAsia" w:ascii="微软雅黑" w:hAnsi="微软雅黑" w:eastAsia="微软雅黑"/>
          <w:b/>
          <w:color w:val="2F5597"/>
          <w:sz w:val="21"/>
          <w:lang w:val="en-US" w:eastAsia="zh-CN"/>
        </w:rPr>
        <w:t>操作</w:t>
      </w:r>
      <w:r>
        <w:rPr>
          <w:rFonts w:ascii="微软雅黑" w:hAnsi="微软雅黑" w:eastAsia="微软雅黑"/>
          <w:b/>
          <w:color w:val="2F5597"/>
          <w:sz w:val="21"/>
        </w:rPr>
        <w:t>日志</w:t>
      </w:r>
    </w:p>
    <w:p w14:paraId="2E6C8BB8">
      <w:pPr>
        <w:spacing w:after="60" w:line="276" w:lineRule="auto"/>
      </w:pPr>
      <w:r>
        <w:rPr>
          <w:rFonts w:ascii="微软雅黑" w:hAnsi="微软雅黑" w:eastAsia="微软雅黑"/>
          <w:b w:val="0"/>
          <w:sz w:val="20"/>
        </w:rPr>
        <w:t>操作日志用于追踪后台关键配置、资金、活动和账号调整记录，是审计回溯和误操作追责时最常用的日志页面。</w:t>
      </w:r>
    </w:p>
    <w:p w14:paraId="1EBB717A">
      <w:pPr>
        <w:spacing w:after="40"/>
        <w:jc w:val="center"/>
      </w:pPr>
      <w:r>
        <w:drawing>
          <wp:inline distT="0" distB="0" distL="114300" distR="114300">
            <wp:extent cx="5852160" cy="1280795"/>
            <wp:effectExtent l="0" t="0" r="15240" b="1460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a:picLocks noChangeAspect="1"/>
                    </pic:cNvPicPr>
                  </pic:nvPicPr>
                  <pic:blipFill>
                    <a:blip r:embed="rId147"/>
                    <a:stretch>
                      <a:fillRect/>
                    </a:stretch>
                  </pic:blipFill>
                  <pic:spPr>
                    <a:xfrm>
                      <a:off x="0" y="0"/>
                      <a:ext cx="5852160" cy="1281390"/>
                    </a:xfrm>
                    <a:prstGeom prst="rect">
                      <a:avLst/>
                    </a:prstGeom>
                  </pic:spPr>
                </pic:pic>
              </a:graphicData>
            </a:graphic>
          </wp:inline>
        </w:drawing>
      </w:r>
    </w:p>
    <w:p w14:paraId="712BF48D">
      <w:pPr>
        <w:pStyle w:val="15"/>
        <w:spacing w:after="120"/>
        <w:jc w:val="center"/>
      </w:pPr>
      <w:r>
        <w:rPr>
          <w:rFonts w:ascii="微软雅黑" w:hAnsi="微软雅黑" w:eastAsia="微软雅黑"/>
          <w:b w:val="0"/>
          <w:color w:val="707E92"/>
          <w:sz w:val="18"/>
        </w:rPr>
        <w:t>图：管理员操作日志页面，用于按操作时间、操作行为、操作人和操作内容查看后台关键操作记录。</w:t>
      </w:r>
    </w:p>
    <w:p w14:paraId="541D6D1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：页面支持按操作时间、操作行为和操作人筛选。处理争议、回查配置变更或定位误操作时，建议先缩小时间范围，再按行为或人员继续过滤。</w:t>
      </w:r>
    </w:p>
    <w:p w14:paraId="1100D7CF">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：列表展示操作行为、操作人、操作人 ID、操作内容和操作时间，可用于判断是谁在什么时间对哪个对象执行了何种处理。</w:t>
      </w:r>
    </w:p>
    <w:p w14:paraId="1DB80203">
      <w:pPr>
        <w:pStyle w:val="16"/>
        <w:spacing w:after="60" w:line="276" w:lineRule="auto"/>
      </w:pPr>
      <w:r>
        <w:rPr>
          <w:rFonts w:ascii="微软雅黑" w:hAnsi="微软雅黑" w:eastAsia="微软雅黑"/>
          <w:b/>
          <w:color w:val="2F5597"/>
          <w:sz w:val="20"/>
        </w:rPr>
        <w:t>审计回溯</w:t>
      </w:r>
      <w:r>
        <w:rPr>
          <w:rFonts w:ascii="微软雅黑" w:hAnsi="微软雅黑" w:eastAsia="微软雅黑"/>
          <w:b w:val="0"/>
          <w:sz w:val="20"/>
        </w:rPr>
        <w:t>：当资金、站点配置、会员状态或活动规则出现异常变化时，可先在本页定位相关操作记录，再结合对应业务页面和结果数据确认影响范围。</w:t>
      </w:r>
    </w:p>
    <w:p w14:paraId="176988B1">
      <w:pPr>
        <w:pStyle w:val="3"/>
        <w:keepNext/>
        <w:spacing w:before="360" w:after="240" w:line="276" w:lineRule="auto"/>
      </w:pPr>
      <w:bookmarkStart w:id="0" w:name="_GoBack"/>
      <w:bookmarkEnd w:id="0"/>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numPr>
          <w:ilvl w:val="0"/>
          <w:numId w:val="7"/>
        </w:numPr>
        <w:spacing w:after="40" w:line="276" w:lineRule="auto"/>
      </w:pPr>
      <w:r>
        <w:rPr>
          <w:rFonts w:ascii="微软雅黑" w:hAnsi="微软雅黑" w:eastAsia="微软雅黑"/>
          <w:b w:val="0"/>
          <w:sz w:val="20"/>
        </w:rPr>
        <w:t>进入优惠活动，创建或编辑活动规则。</w:t>
      </w:r>
    </w:p>
    <w:p w14:paraId="6A3597AD">
      <w:pPr>
        <w:pStyle w:val="14"/>
        <w:numPr>
          <w:ilvl w:val="0"/>
          <w:numId w:val="7"/>
        </w:numPr>
        <w:spacing w:after="40" w:line="276" w:lineRule="auto"/>
      </w:pPr>
      <w:r>
        <w:rPr>
          <w:rFonts w:ascii="微软雅黑" w:hAnsi="微软雅黑" w:eastAsia="微软雅黑"/>
          <w:b w:val="0"/>
          <w:sz w:val="20"/>
        </w:rPr>
        <w:t>检查活动展示入口、票券或任务关联、预算、领取限制和目标人群。</w:t>
      </w:r>
    </w:p>
    <w:p w14:paraId="5CFFB797">
      <w:pPr>
        <w:pStyle w:val="14"/>
        <w:numPr>
          <w:ilvl w:val="0"/>
          <w:numId w:val="7"/>
        </w:numPr>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numPr>
          <w:ilvl w:val="0"/>
          <w:numId w:val="8"/>
        </w:numPr>
        <w:spacing w:after="40" w:line="276" w:lineRule="auto"/>
      </w:pPr>
      <w:r>
        <w:rPr>
          <w:rFonts w:ascii="微软雅黑" w:hAnsi="微软雅黑" w:eastAsia="微软雅黑"/>
          <w:b w:val="0"/>
          <w:sz w:val="20"/>
        </w:rPr>
        <w:t>进入财务中心的提现订单列表，筛选待审核或处理中订单。</w:t>
      </w:r>
    </w:p>
    <w:p w14:paraId="3679A577">
      <w:pPr>
        <w:pStyle w:val="14"/>
        <w:numPr>
          <w:ilvl w:val="0"/>
          <w:numId w:val="8"/>
        </w:numPr>
        <w:spacing w:after="40" w:line="276" w:lineRule="auto"/>
      </w:pPr>
      <w:r>
        <w:rPr>
          <w:rFonts w:ascii="微软雅黑" w:hAnsi="微软雅黑" w:eastAsia="微软雅黑"/>
          <w:b w:val="0"/>
          <w:sz w:val="20"/>
        </w:rPr>
        <w:t>核对会员、金额、账户、打码、风控提示和历史资金记录。</w:t>
      </w:r>
    </w:p>
    <w:p w14:paraId="0A17D8AB">
      <w:pPr>
        <w:pStyle w:val="14"/>
        <w:numPr>
          <w:ilvl w:val="0"/>
          <w:numId w:val="8"/>
        </w:numPr>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numPr>
          <w:ilvl w:val="0"/>
          <w:numId w:val="9"/>
        </w:numPr>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numPr>
          <w:ilvl w:val="0"/>
          <w:numId w:val="9"/>
        </w:numPr>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numPr>
          <w:ilvl w:val="0"/>
          <w:numId w:val="9"/>
        </w:numPr>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numPr>
          <w:ilvl w:val="0"/>
          <w:numId w:val="10"/>
        </w:numPr>
        <w:spacing w:after="40" w:line="276" w:lineRule="auto"/>
      </w:pPr>
      <w:r>
        <w:rPr>
          <w:rFonts w:ascii="微软雅黑" w:hAnsi="微软雅黑" w:eastAsia="微软雅黑"/>
          <w:b w:val="0"/>
          <w:sz w:val="20"/>
        </w:rPr>
        <w:t>固定活动名称、统计时间和渠道范围。</w:t>
      </w:r>
    </w:p>
    <w:p w14:paraId="26F69E7F">
      <w:pPr>
        <w:pStyle w:val="14"/>
        <w:numPr>
          <w:ilvl w:val="0"/>
          <w:numId w:val="10"/>
        </w:numPr>
        <w:spacing w:after="40" w:line="276" w:lineRule="auto"/>
      </w:pPr>
      <w:r>
        <w:rPr>
          <w:rFonts w:ascii="微软雅黑" w:hAnsi="微软雅黑" w:eastAsia="微软雅黑"/>
          <w:b w:val="0"/>
          <w:sz w:val="20"/>
        </w:rPr>
        <w:t>查看优惠活动、数据报表中的活动相关报表。</w:t>
      </w:r>
    </w:p>
    <w:p w14:paraId="65D27FAC">
      <w:pPr>
        <w:pStyle w:val="14"/>
        <w:numPr>
          <w:ilvl w:val="0"/>
          <w:numId w:val="10"/>
        </w:numPr>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669D4"/>
    <w:rsid w:val="0029639D"/>
    <w:rsid w:val="00326F90"/>
    <w:rsid w:val="00953B0B"/>
    <w:rsid w:val="00AA1D8D"/>
    <w:rsid w:val="00B47730"/>
    <w:rsid w:val="00CB0664"/>
    <w:rsid w:val="00F83D16"/>
    <w:rsid w:val="00FC693F"/>
    <w:rsid w:val="01414E86"/>
    <w:rsid w:val="01B946DA"/>
    <w:rsid w:val="046225D4"/>
    <w:rsid w:val="04EB48D3"/>
    <w:rsid w:val="05956E55"/>
    <w:rsid w:val="068766C3"/>
    <w:rsid w:val="0FE06DEA"/>
    <w:rsid w:val="0FFB4C2D"/>
    <w:rsid w:val="101C69A6"/>
    <w:rsid w:val="152B4B8D"/>
    <w:rsid w:val="15F63412"/>
    <w:rsid w:val="17F0696C"/>
    <w:rsid w:val="183B3024"/>
    <w:rsid w:val="18FA3DCE"/>
    <w:rsid w:val="1E20265C"/>
    <w:rsid w:val="1EBC22D2"/>
    <w:rsid w:val="259865AB"/>
    <w:rsid w:val="25E47275"/>
    <w:rsid w:val="274033B7"/>
    <w:rsid w:val="278C2CA5"/>
    <w:rsid w:val="27952750"/>
    <w:rsid w:val="29C87436"/>
    <w:rsid w:val="2E532A1D"/>
    <w:rsid w:val="2F885AC1"/>
    <w:rsid w:val="308E051A"/>
    <w:rsid w:val="30956DDA"/>
    <w:rsid w:val="368F18C6"/>
    <w:rsid w:val="38A20FFB"/>
    <w:rsid w:val="398E654D"/>
    <w:rsid w:val="39F42038"/>
    <w:rsid w:val="3AEF22C6"/>
    <w:rsid w:val="3B62700C"/>
    <w:rsid w:val="412B4769"/>
    <w:rsid w:val="428608CB"/>
    <w:rsid w:val="43330444"/>
    <w:rsid w:val="449F4114"/>
    <w:rsid w:val="455B5419"/>
    <w:rsid w:val="482B7710"/>
    <w:rsid w:val="48E318B7"/>
    <w:rsid w:val="49BA49B4"/>
    <w:rsid w:val="4B5A0B07"/>
    <w:rsid w:val="4B6605E7"/>
    <w:rsid w:val="4E892E94"/>
    <w:rsid w:val="4F407994"/>
    <w:rsid w:val="53085448"/>
    <w:rsid w:val="55E05DF0"/>
    <w:rsid w:val="578C750D"/>
    <w:rsid w:val="58B57261"/>
    <w:rsid w:val="58CF0BA1"/>
    <w:rsid w:val="59C16051"/>
    <w:rsid w:val="5A42010F"/>
    <w:rsid w:val="5DB26AD9"/>
    <w:rsid w:val="5F465A0D"/>
    <w:rsid w:val="61CD7A3C"/>
    <w:rsid w:val="61DB474F"/>
    <w:rsid w:val="63155CA2"/>
    <w:rsid w:val="65674A25"/>
    <w:rsid w:val="68845FAE"/>
    <w:rsid w:val="69765236"/>
    <w:rsid w:val="6AD35998"/>
    <w:rsid w:val="6E1353FB"/>
    <w:rsid w:val="6E5F3FAE"/>
    <w:rsid w:val="6E8D0303"/>
    <w:rsid w:val="6F374E0B"/>
    <w:rsid w:val="70546B19"/>
    <w:rsid w:val="72EE6907"/>
    <w:rsid w:val="74FE2F66"/>
    <w:rsid w:val="79F022DC"/>
    <w:rsid w:val="7BEB3862"/>
    <w:rsid w:val="7C724E24"/>
    <w:rsid w:val="7E6C462E"/>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0" Type="http://schemas.openxmlformats.org/officeDocument/2006/relationships/fontTable" Target="fontTable.xml"/><Relationship Id="rId15" Type="http://schemas.openxmlformats.org/officeDocument/2006/relationships/image" Target="media/image10.png"/><Relationship Id="rId149" Type="http://schemas.openxmlformats.org/officeDocument/2006/relationships/customXml" Target="../customXml/item1.xml"/><Relationship Id="rId148" Type="http://schemas.openxmlformats.org/officeDocument/2006/relationships/numbering" Target="numbering.xml"/><Relationship Id="rId147" Type="http://schemas.openxmlformats.org/officeDocument/2006/relationships/image" Target="media/image142.png"/><Relationship Id="rId146" Type="http://schemas.openxmlformats.org/officeDocument/2006/relationships/image" Target="media/image141.png"/><Relationship Id="rId145" Type="http://schemas.openxmlformats.org/officeDocument/2006/relationships/image" Target="media/image140.png"/><Relationship Id="rId144" Type="http://schemas.openxmlformats.org/officeDocument/2006/relationships/image" Target="media/image139.png"/><Relationship Id="rId143" Type="http://schemas.openxmlformats.org/officeDocument/2006/relationships/image" Target="media/image138.png"/><Relationship Id="rId142" Type="http://schemas.openxmlformats.org/officeDocument/2006/relationships/image" Target="media/image137.png"/><Relationship Id="rId141" Type="http://schemas.openxmlformats.org/officeDocument/2006/relationships/image" Target="media/image136.png"/><Relationship Id="rId140" Type="http://schemas.openxmlformats.org/officeDocument/2006/relationships/image" Target="media/image135.png"/><Relationship Id="rId14" Type="http://schemas.openxmlformats.org/officeDocument/2006/relationships/image" Target="media/image9.png"/><Relationship Id="rId139" Type="http://schemas.openxmlformats.org/officeDocument/2006/relationships/image" Target="media/image134.png"/><Relationship Id="rId138" Type="http://schemas.openxmlformats.org/officeDocument/2006/relationships/image" Target="media/image133.png"/><Relationship Id="rId137" Type="http://schemas.openxmlformats.org/officeDocument/2006/relationships/image" Target="media/image132.png"/><Relationship Id="rId136" Type="http://schemas.openxmlformats.org/officeDocument/2006/relationships/image" Target="media/image131.png"/><Relationship Id="rId135" Type="http://schemas.openxmlformats.org/officeDocument/2006/relationships/image" Target="media/image130.png"/><Relationship Id="rId134" Type="http://schemas.openxmlformats.org/officeDocument/2006/relationships/image" Target="media/image129.png"/><Relationship Id="rId133" Type="http://schemas.openxmlformats.org/officeDocument/2006/relationships/image" Target="media/image128.png"/><Relationship Id="rId132" Type="http://schemas.openxmlformats.org/officeDocument/2006/relationships/image" Target="media/image127.png"/><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132</Pages>
  <Words>17570</Words>
  <Characters>18415</Characters>
  <Lines>0</Lines>
  <Paragraphs>0</Paragraphs>
  <TotalTime>2</TotalTime>
  <ScaleCrop>false</ScaleCrop>
  <LinksUpToDate>false</LinksUpToDate>
  <CharactersWithSpaces>18621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2026-06-15T10:39:04Z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