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54061"/>
          <w:sz w:val="30"/>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54061"/>
          <w:sz w:val="30"/>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54061"/>
          <w:sz w:val="30"/>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54061"/>
          <w:sz w:val="30"/>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4566A58E">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06C42887">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bookmarkStart w:id="0" w:name="_GoBack"/>
      <w:bookmarkEnd w:id="0"/>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0FBF7FC5">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54061"/>
          <w:sz w:val="30"/>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54061"/>
          <w:sz w:val="30"/>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keepNext/>
        <w:numPr>
          <w:ilvl w:val="0"/>
          <w:numId w:val="0"/>
        </w:numPr>
        <w:spacing w:before="240" w:after="140" w:line="269"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keepNext/>
        <w:spacing w:before="120" w:after="60" w:line="252" w:lineRule="auto"/>
      </w:pPr>
      <w:r>
        <w:rPr>
          <w:rFonts w:ascii="微软雅黑" w:hAnsi="微软雅黑" w:eastAsia="微软雅黑"/>
          <w:b/>
          <w:i w:val="0"/>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line="276" w:lineRule="auto"/>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keepNext/>
        <w:spacing w:before="120" w:after="60" w:line="252" w:lineRule="auto"/>
      </w:pPr>
      <w:r>
        <w:rPr>
          <w:rFonts w:ascii="微软雅黑" w:hAnsi="微软雅黑" w:eastAsia="微软雅黑"/>
          <w:b/>
          <w:i w:val="0"/>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line="276" w:lineRule="auto"/>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keepNext/>
        <w:spacing w:before="120" w:after="60" w:line="252" w:lineRule="auto"/>
      </w:pPr>
      <w:r>
        <w:rPr>
          <w:rFonts w:ascii="微软雅黑" w:hAnsi="微软雅黑" w:eastAsia="微软雅黑"/>
          <w:b/>
          <w:i w:val="0"/>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line="276" w:lineRule="auto"/>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keepNext/>
        <w:spacing w:before="120" w:after="60" w:line="252" w:lineRule="auto"/>
      </w:pPr>
      <w:r>
        <w:rPr>
          <w:rFonts w:ascii="微软雅黑" w:hAnsi="微软雅黑" w:eastAsia="微软雅黑"/>
          <w:b/>
          <w:i w:val="0"/>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line="276" w:lineRule="auto"/>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54061"/>
          <w:sz w:val="30"/>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64B120F5">
      <w:pPr>
        <w:spacing w:after="60" w:line="276" w:lineRule="auto"/>
      </w:pPr>
      <w:r>
        <w:rPr>
          <w:rFonts w:ascii="微软雅黑" w:hAnsi="微软雅黑" w:eastAsia="微软雅黑"/>
          <w:b w:val="0"/>
          <w:sz w:val="20"/>
        </w:rPr>
        <w:t>提现参数设置弹窗用于统一控制会员提现验证、并发申请、审核路径以及常规或独立提现规则。参数按站点生效，提交后会影响会员端发起条件和后台审核流程。</w:t>
      </w:r>
    </w:p>
    <w:p w14:paraId="7FB9B072">
      <w:pPr>
        <w:spacing w:after="40"/>
        <w:jc w:val="center"/>
      </w:pPr>
      <w:r>
        <w:drawing>
          <wp:inline distT="0" distB="0" distL="114300" distR="114300">
            <wp:extent cx="5852160" cy="5016500"/>
            <wp:effectExtent l="0" t="0" r="15240" b="1270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pic:cNvPicPr>
                      <a:picLocks noChangeAspect="1"/>
                    </pic:cNvPicPr>
                  </pic:nvPicPr>
                  <pic:blipFill>
                    <a:blip r:embed="rId73"/>
                    <a:stretch>
                      <a:fillRect/>
                    </a:stretch>
                  </pic:blipFill>
                  <pic:spPr>
                    <a:xfrm>
                      <a:off x="0" y="0"/>
                      <a:ext cx="5852160" cy="5017099"/>
                    </a:xfrm>
                    <a:prstGeom prst="rect">
                      <a:avLst/>
                    </a:prstGeom>
                  </pic:spPr>
                </pic:pic>
              </a:graphicData>
            </a:graphic>
          </wp:inline>
        </w:drawing>
      </w:r>
    </w:p>
    <w:p w14:paraId="35A833D5">
      <w:pPr>
        <w:pStyle w:val="15"/>
        <w:spacing w:after="120"/>
        <w:jc w:val="center"/>
      </w:pPr>
      <w:r>
        <w:rPr>
          <w:rFonts w:ascii="微软雅黑" w:hAnsi="微软雅黑" w:eastAsia="微软雅黑"/>
          <w:b w:val="0"/>
          <w:color w:val="707E92"/>
          <w:sz w:val="18"/>
        </w:rPr>
        <w:t>图：提现参数设置弹窗，用于配置提现密码、并行提现笔数、审核流程以及常规或独立提现规则。</w:t>
      </w:r>
    </w:p>
    <w:p w14:paraId="0F1B436E">
      <w:pPr>
        <w:pStyle w:val="16"/>
        <w:spacing w:after="60" w:line="276" w:lineRule="auto"/>
      </w:pPr>
      <w:r>
        <w:rPr>
          <w:rFonts w:ascii="微软雅黑" w:hAnsi="微软雅黑" w:eastAsia="微软雅黑"/>
          <w:b/>
          <w:color w:val="2F5597"/>
          <w:sz w:val="20"/>
        </w:rPr>
        <w:t>提现密码</w:t>
      </w:r>
      <w:r>
        <w:rPr>
          <w:rFonts w:ascii="微软雅黑" w:hAnsi="微软雅黑" w:eastAsia="微软雅黑"/>
          <w:b w:val="0"/>
          <w:sz w:val="20"/>
        </w:rPr>
        <w:t>：开启提现密码后，会员申请提现时需要验证提现密码，会员端同时展示密码设置入口；关闭后不验证并隐藏入口。</w:t>
      </w:r>
    </w:p>
    <w:p w14:paraId="24EFBA9A">
      <w:pPr>
        <w:pStyle w:val="16"/>
        <w:spacing w:after="60" w:line="276" w:lineRule="auto"/>
      </w:pPr>
      <w:r>
        <w:rPr>
          <w:rFonts w:ascii="微软雅黑" w:hAnsi="微软雅黑" w:eastAsia="微软雅黑"/>
          <w:b/>
          <w:color w:val="2F5597"/>
          <w:sz w:val="20"/>
        </w:rPr>
        <w:t>并行笔数</w:t>
      </w:r>
      <w:r>
        <w:rPr>
          <w:rFonts w:hint="eastAsia"/>
          <w:b/>
          <w:color w:val="2F5597"/>
          <w:sz w:val="20"/>
          <w:lang w:eastAsia="zh-CN"/>
        </w:rPr>
        <w:t>：</w:t>
      </w:r>
      <w:r>
        <w:rPr>
          <w:rFonts w:ascii="微软雅黑" w:hAnsi="微软雅黑" w:eastAsia="微软雅黑"/>
          <w:b w:val="0"/>
          <w:sz w:val="20"/>
        </w:rPr>
        <w:t>“会员可同时进行提现笔数”用于限制进行中的申请数量，填 1 表示上一笔完成审核并出账后才能发起下一笔，填 0 表示不限制。</w:t>
      </w:r>
    </w:p>
    <w:p w14:paraId="21108467">
      <w:pPr>
        <w:pStyle w:val="16"/>
        <w:spacing w:after="60" w:line="276" w:lineRule="auto"/>
      </w:pPr>
      <w:r>
        <w:rPr>
          <w:rFonts w:ascii="微软雅黑" w:hAnsi="微软雅黑" w:eastAsia="微软雅黑"/>
          <w:b/>
          <w:color w:val="2F5597"/>
          <w:sz w:val="20"/>
        </w:rPr>
        <w:t>审核流程</w:t>
      </w:r>
      <w:r>
        <w:rPr>
          <w:rFonts w:ascii="微软雅黑" w:hAnsi="微软雅黑" w:eastAsia="微软雅黑"/>
          <w:b w:val="0"/>
          <w:sz w:val="20"/>
        </w:rPr>
        <w:t>：审核区域用于决定提现申请是否增加初审环节。开启风控审核后，订单需先经过风控再流转至财务；开启提现初审后，订单依次完成初审和复审，且同一笔提现的两次审核必须由不同后台账号操作。</w:t>
      </w:r>
    </w:p>
    <w:p w14:paraId="3499C026">
      <w:pPr>
        <w:pStyle w:val="16"/>
        <w:spacing w:after="60" w:line="276" w:lineRule="auto"/>
      </w:pPr>
      <w:r>
        <w:rPr>
          <w:rFonts w:ascii="微软雅黑" w:hAnsi="微软雅黑" w:eastAsia="微软雅黑"/>
          <w:b/>
          <w:color w:val="2F5597"/>
          <w:sz w:val="20"/>
        </w:rPr>
        <w:t>免</w:t>
      </w:r>
      <w:r>
        <w:rPr>
          <w:rFonts w:hint="eastAsia"/>
          <w:b/>
          <w:color w:val="2F5597"/>
          <w:sz w:val="20"/>
          <w:lang w:val="en-US" w:eastAsia="zh-CN"/>
        </w:rPr>
        <w:t>初审</w:t>
      </w:r>
      <w:r>
        <w:rPr>
          <w:rFonts w:ascii="微软雅黑" w:hAnsi="微软雅黑" w:eastAsia="微软雅黑"/>
          <w:b/>
          <w:color w:val="2F5597"/>
          <w:sz w:val="20"/>
        </w:rPr>
        <w:t>条件</w:t>
      </w:r>
      <w:r>
        <w:rPr>
          <w:rFonts w:ascii="微软雅黑" w:hAnsi="微软雅黑" w:eastAsia="微软雅黑"/>
          <w:b w:val="0"/>
          <w:sz w:val="20"/>
        </w:rPr>
        <w:t>：免初审条件由累计提现次数、本次提现金额和会员层级共同组成，三项为“且”关系，全部满足时才可跳过对应审核环节。若要求所有提现都进入</w:t>
      </w:r>
      <w:r>
        <w:rPr>
          <w:rFonts w:hint="eastAsia"/>
          <w:b w:val="0"/>
          <w:sz w:val="20"/>
          <w:lang w:val="en-US" w:eastAsia="zh-CN"/>
        </w:rPr>
        <w:t>初</w:t>
      </w:r>
      <w:r>
        <w:rPr>
          <w:rFonts w:ascii="微软雅黑" w:hAnsi="微软雅黑" w:eastAsia="微软雅黑"/>
          <w:b w:val="0"/>
          <w:sz w:val="20"/>
        </w:rPr>
        <w:t>审，不要配置可免</w:t>
      </w:r>
      <w:r>
        <w:rPr>
          <w:rFonts w:hint="eastAsia"/>
          <w:b w:val="0"/>
          <w:sz w:val="20"/>
          <w:lang w:val="en-US" w:eastAsia="zh-CN"/>
        </w:rPr>
        <w:t>初审</w:t>
      </w:r>
      <w:r>
        <w:rPr>
          <w:rFonts w:ascii="微软雅黑" w:hAnsi="微软雅黑" w:eastAsia="微软雅黑"/>
          <w:b w:val="0"/>
          <w:sz w:val="20"/>
        </w:rPr>
        <w:t>的会员层级。</w:t>
      </w:r>
    </w:p>
    <w:p w14:paraId="314A824E">
      <w:pPr>
        <w:pStyle w:val="16"/>
        <w:spacing w:after="60" w:line="276" w:lineRule="auto"/>
      </w:pPr>
      <w:r>
        <w:rPr>
          <w:rFonts w:ascii="微软雅黑" w:hAnsi="微软雅黑" w:eastAsia="微软雅黑"/>
          <w:b/>
          <w:color w:val="2F5597"/>
          <w:sz w:val="20"/>
        </w:rPr>
        <w:t>常规提现规则</w:t>
      </w:r>
      <w:r>
        <w:rPr>
          <w:rFonts w:ascii="微软雅黑" w:hAnsi="微软雅黑" w:eastAsia="微软雅黑"/>
          <w:b w:val="0"/>
          <w:sz w:val="20"/>
        </w:rPr>
        <w:t>：常规模式可设置会员首次提现所需的累计充值金额、首次提现最低金额、单笔最高与最低提现金额，以及未充值会员的累计提现上限。配置时应同步核对 VIP 提现限制，避免上下限口径冲突。</w:t>
      </w:r>
    </w:p>
    <w:p w14:paraId="7F57A76F">
      <w:pPr>
        <w:pStyle w:val="16"/>
        <w:spacing w:after="60" w:line="276" w:lineRule="auto"/>
      </w:pPr>
      <w:r>
        <w:rPr>
          <w:rFonts w:ascii="微软雅黑" w:hAnsi="微软雅黑" w:eastAsia="微软雅黑"/>
          <w:b/>
          <w:color w:val="2F5597"/>
          <w:sz w:val="20"/>
        </w:rPr>
        <w:t>独立规则-免费玩家</w:t>
      </w:r>
      <w:r>
        <w:rPr>
          <w:rFonts w:ascii="微软雅黑" w:hAnsi="微软雅黑" w:eastAsia="微软雅黑"/>
          <w:b w:val="0"/>
          <w:sz w:val="20"/>
        </w:rPr>
        <w:t>：独立模式下，免费玩家可配置余额提现门槛、最后一次领奖成功时余额的打码倍数和固定提现金额；提现成功后余额清零。该模式不遵循常规提现规则的单笔上下限和打码规则，也不受 VIP 提现限制中的单笔上下限约束。</w:t>
      </w:r>
    </w:p>
    <w:p w14:paraId="19263CF9">
      <w:pPr>
        <w:pStyle w:val="16"/>
        <w:spacing w:after="60" w:line="276" w:lineRule="auto"/>
      </w:pPr>
      <w:r>
        <w:rPr>
          <w:rFonts w:ascii="微软雅黑" w:hAnsi="微软雅黑" w:eastAsia="微软雅黑"/>
          <w:b/>
          <w:color w:val="2F5597"/>
          <w:sz w:val="20"/>
        </w:rPr>
        <w:t>独立规则-充值玩家</w:t>
      </w:r>
      <w:r>
        <w:rPr>
          <w:rFonts w:ascii="微软雅黑" w:hAnsi="微软雅黑" w:eastAsia="微软雅黑"/>
          <w:b w:val="0"/>
          <w:sz w:val="20"/>
        </w:rPr>
        <w:t>：充值玩家可设置最后一次充值成功后余额的打码倍数，并将提现金额下限设置为最后一次充值金额的指定倍数。调整倍数前应确认活动流水要求和财务审核口径。</w:t>
      </w:r>
    </w:p>
    <w:p w14:paraId="023F9362">
      <w:pPr>
        <w:pStyle w:val="16"/>
        <w:spacing w:after="60" w:line="276" w:lineRule="auto"/>
      </w:pPr>
      <w:r>
        <w:rPr>
          <w:rFonts w:ascii="微软雅黑" w:hAnsi="微软雅黑" w:eastAsia="微软雅黑"/>
          <w:b/>
          <w:color w:val="2F5597"/>
          <w:sz w:val="20"/>
        </w:rPr>
        <w:t>提交与检查</w:t>
      </w:r>
      <w:r>
        <w:rPr>
          <w:rFonts w:ascii="微软雅黑" w:hAnsi="微软雅黑" w:eastAsia="微软雅黑"/>
          <w:b w:val="0"/>
          <w:sz w:val="20"/>
        </w:rPr>
        <w:t>：配置完成后点击“提交”保存。保存前重点检查审核开关与免审核层级、常规与独立模式、VIP 提现限制及免审自动出款条件是否互相冲突；涉及审核路径切换时，应同步确认财务和风控人员的处理流程。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54061"/>
          <w:sz w:val="30"/>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w:t>
      </w:r>
      <w:r>
        <w:rPr>
          <w:rFonts w:hint="eastAsia" w:ascii="微软雅黑" w:hAnsi="微软雅黑" w:eastAsia="微软雅黑"/>
          <w:b/>
          <w:i w:val="0"/>
          <w:color w:val="2F5597"/>
          <w:sz w:val="25"/>
          <w:lang w:val="en-US" w:eastAsia="zh-CN"/>
        </w:rPr>
        <w:t>报</w:t>
      </w:r>
      <w:r>
        <w:rPr>
          <w:rFonts w:ascii="微软雅黑" w:hAnsi="微软雅黑" w:eastAsia="微软雅黑"/>
          <w:b/>
          <w:i w:val="0"/>
          <w:color w:val="2F5597"/>
          <w:sz w:val="25"/>
        </w:rPr>
        <w:t>表</w:t>
      </w:r>
    </w:p>
    <w:p w14:paraId="110029F9">
      <w:pPr>
        <w:spacing w:after="60" w:line="276" w:lineRule="auto"/>
      </w:pPr>
      <w:r>
        <w:rPr>
          <w:rFonts w:ascii="微软雅黑" w:hAnsi="微软雅黑" w:eastAsia="微软雅黑"/>
          <w:b w:val="0"/>
          <w:sz w:val="20"/>
        </w:rPr>
        <w:t>游戏人数</w:t>
      </w:r>
      <w:r>
        <w:rPr>
          <w:rFonts w:hint="eastAsia"/>
          <w:b w:val="0"/>
          <w:sz w:val="20"/>
          <w:lang w:val="en-US" w:eastAsia="zh-CN"/>
        </w:rPr>
        <w:t>报</w:t>
      </w:r>
      <w:r>
        <w:rPr>
          <w:rFonts w:ascii="微软雅黑" w:hAnsi="微软雅黑" w:eastAsia="微软雅黑"/>
          <w:b w:val="0"/>
          <w:sz w:val="20"/>
        </w:rPr>
        <w:t>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54061"/>
          <w:sz w:val="30"/>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54061"/>
          <w:sz w:val="30"/>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54061"/>
          <w:sz w:val="30"/>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投放管理</w:t>
      </w:r>
    </w:p>
    <w:p w14:paraId="409CA573">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广告消耗数据</w:t>
      </w:r>
    </w:p>
    <w:p w14:paraId="36378202">
      <w:pPr>
        <w:spacing w:after="60" w:line="276" w:lineRule="auto"/>
      </w:pPr>
      <w:r>
        <w:rPr>
          <w:rFonts w:ascii="微软雅黑" w:hAnsi="微软雅黑" w:eastAsia="微软雅黑"/>
          <w:b w:val="0"/>
          <w:sz w:val="20"/>
        </w:rPr>
        <w:t>广告消耗数据用于录入和核对各投放渠道的实际消耗，为投放报表中的成本、注册成本和充值成本提供基础数据。</w:t>
      </w:r>
    </w:p>
    <w:p w14:paraId="0B711540">
      <w:pPr>
        <w:spacing w:after="40"/>
        <w:jc w:val="center"/>
      </w:pPr>
      <w:r>
        <w:drawing>
          <wp:inline distT="0" distB="0" distL="114300" distR="114300">
            <wp:extent cx="5852160" cy="1259840"/>
            <wp:effectExtent l="0" t="0" r="15240" b="165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pic:cNvPicPr>
                      <a:picLocks noChangeAspect="1"/>
                    </pic:cNvPicPr>
                  </pic:nvPicPr>
                  <pic:blipFill>
                    <a:blip r:embed="rId134"/>
                    <a:stretch>
                      <a:fillRect/>
                    </a:stretch>
                  </pic:blipFill>
                  <pic:spPr>
                    <a:xfrm>
                      <a:off x="0" y="0"/>
                      <a:ext cx="5852160" cy="1260034"/>
                    </a:xfrm>
                    <a:prstGeom prst="rect">
                      <a:avLst/>
                    </a:prstGeom>
                  </pic:spPr>
                </pic:pic>
              </a:graphicData>
            </a:graphic>
          </wp:inline>
        </w:drawing>
      </w:r>
    </w:p>
    <w:p w14:paraId="601F0496">
      <w:pPr>
        <w:pStyle w:val="15"/>
        <w:spacing w:after="120"/>
        <w:jc w:val="center"/>
      </w:pPr>
      <w:r>
        <w:rPr>
          <w:rFonts w:ascii="微软雅黑" w:hAnsi="微软雅黑" w:eastAsia="微软雅黑"/>
          <w:b w:val="0"/>
          <w:color w:val="707E92"/>
          <w:sz w:val="18"/>
        </w:rPr>
        <w:t>图：广告消耗数据列表，用于查看渠道每日消耗记录。</w:t>
      </w:r>
    </w:p>
    <w:p w14:paraId="2264890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：可按开始日期、结束日期和渠道筛选消耗记录；点击“搜索”执行查询，点击“重置”清空条件并恢复默认列表。</w:t>
      </w:r>
    </w:p>
    <w:p w14:paraId="0CA72B8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：列表展示消耗日期、渠道名称、渠道编码、消耗金额（USDT）、备注、操作人和最后更新时间，便于核对录入来源、金额和更新时间。</w:t>
      </w:r>
    </w:p>
    <w:p w14:paraId="2DB88B8A">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消耗日期表示广告成本归属的自然日；渠道名称和渠道编码用于关联渠道报表；消耗金额（USDT）是广告平台实际成本；备注记录账单编号、投放活动或异常调整原因；操作人和最后更新时间用于追溯录入及修改记录。</w:t>
      </w:r>
    </w:p>
    <w:p w14:paraId="1E9C8816">
      <w:pPr>
        <w:spacing w:after="40"/>
        <w:jc w:val="center"/>
      </w:pPr>
      <w:r>
        <w:drawing>
          <wp:inline distT="0" distB="0" distL="114300" distR="114300">
            <wp:extent cx="5852160" cy="4655185"/>
            <wp:effectExtent l="0" t="0" r="15240" b="1206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pic:cNvPicPr>
                  </pic:nvPicPr>
                  <pic:blipFill>
                    <a:blip r:embed="rId135"/>
                    <a:stretch>
                      <a:fillRect/>
                    </a:stretch>
                  </pic:blipFill>
                  <pic:spPr>
                    <a:xfrm>
                      <a:off x="0" y="0"/>
                      <a:ext cx="5852160" cy="4655718"/>
                    </a:xfrm>
                    <a:prstGeom prst="rect">
                      <a:avLst/>
                    </a:prstGeom>
                  </pic:spPr>
                </pic:pic>
              </a:graphicData>
            </a:graphic>
          </wp:inline>
        </w:drawing>
      </w:r>
    </w:p>
    <w:p w14:paraId="5C752DF8">
      <w:pPr>
        <w:pStyle w:val="15"/>
        <w:spacing w:after="120"/>
        <w:jc w:val="center"/>
      </w:pPr>
      <w:r>
        <w:rPr>
          <w:rFonts w:ascii="微软雅黑" w:hAnsi="微软雅黑" w:eastAsia="微软雅黑"/>
          <w:b w:val="0"/>
          <w:color w:val="707E92"/>
          <w:sz w:val="18"/>
        </w:rPr>
        <w:t>图：新增渠道消耗弹窗，用于补录指定日期和渠道的消耗金额。</w:t>
      </w:r>
    </w:p>
    <w:p w14:paraId="41A10B3E">
      <w:pPr>
        <w:pStyle w:val="16"/>
        <w:spacing w:after="60" w:line="276" w:lineRule="auto"/>
      </w:pPr>
      <w:r>
        <w:rPr>
          <w:rFonts w:ascii="微软雅黑" w:hAnsi="微软雅黑" w:eastAsia="微软雅黑"/>
          <w:b/>
          <w:color w:val="2F5597"/>
          <w:sz w:val="20"/>
        </w:rPr>
        <w:t>新增消耗</w:t>
      </w:r>
      <w:r>
        <w:rPr>
          <w:rFonts w:ascii="微软雅黑" w:hAnsi="微软雅黑" w:eastAsia="微软雅黑"/>
          <w:b w:val="0"/>
          <w:sz w:val="20"/>
        </w:rPr>
        <w:t>：点击“新增渠道消耗”，在弹窗中选择渠道名称，系统带出或校验渠道编码，再填写消耗金额（USDT）、消耗日期和备注后提交。渠道名称、渠道编码、金额和日期为必填项，备注最多 100 个字符，用于记录投放活动或对账说明。</w:t>
      </w:r>
    </w:p>
    <w:p w14:paraId="0FACC37F">
      <w:pPr>
        <w:spacing w:after="40"/>
        <w:jc w:val="center"/>
      </w:pPr>
      <w:r>
        <w:drawing>
          <wp:inline distT="0" distB="0" distL="114300" distR="114300">
            <wp:extent cx="5852160" cy="4681220"/>
            <wp:effectExtent l="0" t="0" r="1524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a:picLocks noChangeAspect="1"/>
                    </pic:cNvPicPr>
                  </pic:nvPicPr>
                  <pic:blipFill>
                    <a:blip r:embed="rId136"/>
                    <a:stretch>
                      <a:fillRect/>
                    </a:stretch>
                  </pic:blipFill>
                  <pic:spPr>
                    <a:xfrm>
                      <a:off x="0" y="0"/>
                      <a:ext cx="5852160" cy="4681728"/>
                    </a:xfrm>
                    <a:prstGeom prst="rect">
                      <a:avLst/>
                    </a:prstGeom>
                  </pic:spPr>
                </pic:pic>
              </a:graphicData>
            </a:graphic>
          </wp:inline>
        </w:drawing>
      </w:r>
    </w:p>
    <w:p w14:paraId="32F1E0CB">
      <w:pPr>
        <w:pStyle w:val="15"/>
        <w:spacing w:after="120"/>
        <w:jc w:val="center"/>
      </w:pPr>
      <w:r>
        <w:rPr>
          <w:rFonts w:ascii="微软雅黑" w:hAnsi="微软雅黑" w:eastAsia="微软雅黑"/>
          <w:b w:val="0"/>
          <w:color w:val="707E92"/>
          <w:sz w:val="18"/>
        </w:rPr>
        <w:t>图：编辑渠道消耗弹窗，用于修正已有消耗记录。</w:t>
      </w:r>
    </w:p>
    <w:p w14:paraId="1B7A43FD">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：点击行内“编辑”可修正日期、渠道、金额或备注；点击“删除”前应确认该记录尚未用于结算或报表分析，删除后相关成本指标会重新计算。</w:t>
      </w:r>
    </w:p>
    <w:p w14:paraId="075A5C9F">
      <w:pPr>
        <w:pStyle w:val="16"/>
        <w:spacing w:after="60" w:line="276" w:lineRule="auto"/>
      </w:pPr>
      <w:r>
        <w:rPr>
          <w:rFonts w:ascii="微软雅黑" w:hAnsi="微软雅黑" w:eastAsia="微软雅黑"/>
          <w:b/>
          <w:color w:val="2F5597"/>
          <w:sz w:val="20"/>
        </w:rPr>
        <w:t>分页与使用要点</w:t>
      </w:r>
      <w:r>
        <w:rPr>
          <w:rFonts w:ascii="微软雅黑" w:hAnsi="微软雅黑" w:eastAsia="微软雅黑"/>
          <w:b w:val="0"/>
          <w:sz w:val="20"/>
        </w:rPr>
        <w:t>：列表支持切换每页 20 条或 50 条并使用首页、上一页、下一页、尾页翻页。消耗金额以 USDT 录入，投放数据报表会按本地币汇率换算展示；同一渠道同一日期应避免重复录入，修改后需重新核对投放报表的成本和 ROI。</w:t>
      </w:r>
    </w:p>
    <w:p w14:paraId="58A00AE1">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投放数据报表</w:t>
      </w:r>
    </w:p>
    <w:p w14:paraId="3FAA9F3E">
      <w:pPr>
        <w:spacing w:after="60" w:line="276" w:lineRule="auto"/>
      </w:pPr>
      <w:r>
        <w:rPr>
          <w:rFonts w:ascii="微软雅黑" w:hAnsi="微软雅黑" w:eastAsia="微软雅黑"/>
          <w:b w:val="0"/>
          <w:sz w:val="20"/>
        </w:rPr>
        <w:t>投放数据报表按日期汇总投放成本、注册、充值和回收表现，用于评估投放效率和不同回收周期的 ROI。</w:t>
      </w:r>
    </w:p>
    <w:p w14:paraId="035E8935">
      <w:pPr>
        <w:spacing w:after="40"/>
        <w:jc w:val="center"/>
      </w:pPr>
      <w:r>
        <w:drawing>
          <wp:inline distT="0" distB="0" distL="114300" distR="114300">
            <wp:extent cx="5852160" cy="2331720"/>
            <wp:effectExtent l="0" t="0" r="15240" b="1143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a:picLocks noChangeAspect="1"/>
                    </pic:cNvPicPr>
                  </pic:nvPicPr>
                  <pic:blipFill>
                    <a:blip r:embed="rId137"/>
                    <a:stretch>
                      <a:fillRect/>
                    </a:stretch>
                  </pic:blipFill>
                  <pic:spPr>
                    <a:xfrm>
                      <a:off x="0" y="0"/>
                      <a:ext cx="5852160" cy="2332305"/>
                    </a:xfrm>
                    <a:prstGeom prst="rect">
                      <a:avLst/>
                    </a:prstGeom>
                  </pic:spPr>
                </pic:pic>
              </a:graphicData>
            </a:graphic>
          </wp:inline>
        </w:drawing>
      </w:r>
    </w:p>
    <w:p w14:paraId="0A1E51B0">
      <w:pPr>
        <w:pStyle w:val="15"/>
        <w:spacing w:after="120"/>
        <w:jc w:val="center"/>
      </w:pPr>
      <w:r>
        <w:rPr>
          <w:rFonts w:ascii="微软雅黑" w:hAnsi="微软雅黑" w:eastAsia="微软雅黑"/>
          <w:b w:val="0"/>
          <w:color w:val="707E92"/>
          <w:sz w:val="18"/>
        </w:rPr>
        <w:t>图：投放数据报表，用于按日期查看投放成本、转化和回收指标。</w:t>
      </w:r>
    </w:p>
    <w:p w14:paraId="51E8B71B">
      <w:pPr>
        <w:pStyle w:val="16"/>
        <w:spacing w:after="60" w:line="276" w:lineRule="auto"/>
      </w:pPr>
      <w:r>
        <w:rPr>
          <w:rFonts w:ascii="微软雅黑" w:hAnsi="微软雅黑" w:eastAsia="微软雅黑"/>
          <w:b/>
          <w:color w:val="2F5597"/>
          <w:sz w:val="20"/>
        </w:rPr>
        <w:t>查询与导出</w:t>
      </w:r>
      <w:r>
        <w:rPr>
          <w:rFonts w:ascii="微软雅黑" w:hAnsi="微软雅黑" w:eastAsia="微软雅黑"/>
          <w:b w:val="0"/>
          <w:sz w:val="20"/>
        </w:rPr>
        <w:t>：选择开始日期和结束日期后点击“搜索”查看区间数据；“重置”恢复默认日期范围；点击“导出表格”导出当前查询结果，导出前应确认日期和数据更新时间。</w:t>
      </w:r>
    </w:p>
    <w:p w14:paraId="38BF1022">
      <w:pPr>
        <w:pStyle w:val="16"/>
        <w:spacing w:after="60" w:line="276" w:lineRule="auto"/>
      </w:pPr>
      <w:r>
        <w:rPr>
          <w:rFonts w:ascii="微软雅黑" w:hAnsi="微软雅黑" w:eastAsia="微软雅黑"/>
          <w:b/>
          <w:color w:val="2F5597"/>
          <w:sz w:val="20"/>
        </w:rPr>
        <w:t>核心字段</w:t>
      </w:r>
      <w:r>
        <w:rPr>
          <w:rFonts w:ascii="微软雅黑" w:hAnsi="微软雅黑" w:eastAsia="微软雅黑"/>
          <w:b w:val="0"/>
          <w:sz w:val="20"/>
        </w:rPr>
        <w:t>：表格包含日期、消耗金额（本地币）、注册人数、当日注册充值人数、新增充值人数、注册成本、充值成本、累计充值金额、累计提现金额、当日 ROI、3 日 ROI、7 日 ROI、15 日 ROI 和 30 日 ROI，用于比较每日获客和不同回收周期的表现。</w:t>
      </w:r>
    </w:p>
    <w:p w14:paraId="02F0B4C2">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注册人数表示当日完成注册的用户数；当日注册充值人数表示当日注册且发生充值的用户数；新增充值人数表示截至当前时间的首充人数汇总，不要求用户必须在注册当天完成首充；累计充值金额和累计提现金额用于观察投放用户的资金回收；各 ROI 字段分别对应当日、3 日、7 日、15 日和 30 日观察窗口。</w:t>
      </w:r>
    </w:p>
    <w:p w14:paraId="1943FF3B">
      <w:pPr>
        <w:pStyle w:val="16"/>
        <w:spacing w:after="60" w:line="276" w:lineRule="auto"/>
      </w:pPr>
      <w:r>
        <w:rPr>
          <w:rFonts w:ascii="微软雅黑" w:hAnsi="微软雅黑" w:eastAsia="微软雅黑"/>
          <w:b/>
          <w:color w:val="2F5597"/>
          <w:sz w:val="20"/>
        </w:rPr>
        <w:t>成本口径</w:t>
      </w:r>
      <w:r>
        <w:rPr>
          <w:rFonts w:ascii="微软雅黑" w:hAnsi="微软雅黑" w:eastAsia="微软雅黑"/>
          <w:b w:val="0"/>
          <w:sz w:val="20"/>
        </w:rPr>
        <w:t>：消耗金额按已录入的 USDT 成本和本地币汇率换算；注册成本=消耗金额/当日注册人数，充值成本=消耗金额/新增充值人数，分母为 0 时不应据此判断渠道效果。</w:t>
      </w:r>
    </w:p>
    <w:p w14:paraId="0DDF49C3">
      <w:pPr>
        <w:pStyle w:val="16"/>
        <w:spacing w:after="60" w:line="276" w:lineRule="auto"/>
      </w:pPr>
      <w:r>
        <w:rPr>
          <w:rFonts w:ascii="微软雅黑" w:hAnsi="微软雅黑" w:eastAsia="微软雅黑"/>
          <w:b/>
          <w:color w:val="2F5597"/>
          <w:sz w:val="20"/>
        </w:rPr>
        <w:t>ROI 口径</w:t>
      </w:r>
      <w:r>
        <w:rPr>
          <w:rFonts w:ascii="微软雅黑" w:hAnsi="微软雅黑" w:eastAsia="微软雅黑"/>
          <w:b w:val="0"/>
          <w:sz w:val="20"/>
        </w:rPr>
        <w:t>：当日 ROI 按（投放当日累计充值金额-投放当日累计提现金额）/消耗金额计算；3 日、7 日、15 日和 30 日 ROI 分别按投放后对应周期内的累计充值与累计提现计算，未达到回收周期时显示“--”。表头问号可查看当前指标的计算提示。</w:t>
      </w:r>
    </w:p>
    <w:p w14:paraId="15A0D88C">
      <w:pPr>
        <w:pStyle w:val="16"/>
        <w:spacing w:after="60" w:line="276" w:lineRule="auto"/>
      </w:pPr>
      <w:r>
        <w:rPr>
          <w:rFonts w:ascii="微软雅黑" w:hAnsi="微软雅黑" w:eastAsia="微软雅黑"/>
          <w:b/>
          <w:color w:val="2F5597"/>
          <w:sz w:val="20"/>
        </w:rPr>
        <w:t>数据说明</w:t>
      </w:r>
      <w:r>
        <w:rPr>
          <w:rFonts w:ascii="微软雅黑" w:hAnsi="微软雅黑" w:eastAsia="微软雅黑"/>
          <w:b w:val="0"/>
          <w:sz w:val="20"/>
        </w:rPr>
        <w:t>：总计数据为查询结果的直接汇总，不做去重；页面显示实时更新时间。分析时应结合广告消耗数据的录入时间，避免将尚未达到回收周期的数据与完整周期数据直接比较。</w:t>
      </w:r>
    </w:p>
    <w:p w14:paraId="6B69458B">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w:t>
      </w:r>
    </w:p>
    <w:p w14:paraId="3A3B7E66">
      <w:pPr>
        <w:spacing w:after="60" w:line="276" w:lineRule="auto"/>
      </w:pPr>
      <w:r>
        <w:rPr>
          <w:rFonts w:ascii="微软雅黑" w:hAnsi="微软雅黑" w:eastAsia="微软雅黑"/>
          <w:b w:val="0"/>
          <w:sz w:val="20"/>
        </w:rPr>
        <w:t>渠道报表按渠道汇总访问、注册、首充和复充表现，用于比较渠道质量并定位需要进一步拆分的媒体或广告链接。</w:t>
      </w:r>
    </w:p>
    <w:p w14:paraId="7C965CD6">
      <w:pPr>
        <w:spacing w:after="40"/>
        <w:jc w:val="center"/>
      </w:pPr>
      <w:r>
        <w:drawing>
          <wp:inline distT="0" distB="0" distL="114300" distR="114300">
            <wp:extent cx="5852160" cy="2632710"/>
            <wp:effectExtent l="0" t="0" r="15240" b="1524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pic:cNvPicPr>
                      <a:picLocks noChangeAspect="1"/>
                    </pic:cNvPicPr>
                  </pic:nvPicPr>
                  <pic:blipFill>
                    <a:blip r:embed="rId138"/>
                    <a:stretch>
                      <a:fillRect/>
                    </a:stretch>
                  </pic:blipFill>
                  <pic:spPr>
                    <a:xfrm>
                      <a:off x="0" y="0"/>
                      <a:ext cx="5852160" cy="2633119"/>
                    </a:xfrm>
                    <a:prstGeom prst="rect">
                      <a:avLst/>
                    </a:prstGeom>
                  </pic:spPr>
                </pic:pic>
              </a:graphicData>
            </a:graphic>
          </wp:inline>
        </w:drawing>
      </w:r>
    </w:p>
    <w:p w14:paraId="0E525136">
      <w:pPr>
        <w:pStyle w:val="15"/>
        <w:spacing w:after="120"/>
        <w:jc w:val="center"/>
      </w:pPr>
      <w:r>
        <w:rPr>
          <w:rFonts w:ascii="微软雅黑" w:hAnsi="微软雅黑" w:eastAsia="微软雅黑"/>
          <w:b w:val="0"/>
          <w:color w:val="707E92"/>
          <w:sz w:val="18"/>
        </w:rPr>
        <w:t>图：渠道报表，用于按渠道汇总流量、注册、充值和复充指标。</w:t>
      </w:r>
    </w:p>
    <w:p w14:paraId="646CF9A1">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：选择日期范围后，可按渠道、媒体和广告链接筛选；点击“查询”加载结果，“重置”清空筛选条件，“导出数据”导出当前汇总结果。</w:t>
      </w:r>
    </w:p>
    <w:p w14:paraId="1B168590">
      <w:pPr>
        <w:pStyle w:val="16"/>
        <w:spacing w:after="60" w:line="276" w:lineRule="auto"/>
      </w:pPr>
      <w:r>
        <w:rPr>
          <w:rFonts w:ascii="微软雅黑" w:hAnsi="微软雅黑" w:eastAsia="微软雅黑"/>
          <w:b/>
          <w:color w:val="2F5597"/>
          <w:sz w:val="20"/>
        </w:rPr>
        <w:t>筛选字段</w:t>
      </w:r>
      <w:r>
        <w:rPr>
          <w:rFonts w:ascii="微软雅黑" w:hAnsi="微软雅黑" w:eastAsia="微软雅黑"/>
          <w:b w:val="0"/>
          <w:sz w:val="20"/>
        </w:rPr>
        <w:t>：渠道用于定位推广渠道主体，媒体用于区分 Facebook、TikTok、Google 等投放媒体，广告链接用于进一步区分具体落地页或广告素材链接；三类条件可组合使用，适合从总渠道逐级定位到具体投放链接。</w:t>
      </w:r>
    </w:p>
    <w:p w14:paraId="19B992F0">
      <w:pPr>
        <w:pStyle w:val="16"/>
        <w:spacing w:after="60" w:line="276" w:lineRule="auto"/>
      </w:pPr>
      <w:r>
        <w:rPr>
          <w:rFonts w:ascii="微软雅黑" w:hAnsi="微软雅黑" w:eastAsia="微软雅黑"/>
          <w:b/>
          <w:color w:val="2F5597"/>
          <w:sz w:val="20"/>
        </w:rPr>
        <w:t>流量与注册字段</w:t>
      </w:r>
      <w:r>
        <w:rPr>
          <w:rFonts w:ascii="微软雅黑" w:hAnsi="微软雅黑" w:eastAsia="微软雅黑"/>
          <w:b w:val="0"/>
          <w:sz w:val="20"/>
        </w:rPr>
        <w:t>：访问人数、 新增、累计注册和注册转化率反映渠道的引流和注册能力；注册转化率=新增/访问人数，需结合日期范围判断。</w:t>
      </w:r>
    </w:p>
    <w:p w14:paraId="31973E1E">
      <w:pPr>
        <w:pStyle w:val="16"/>
        <w:spacing w:after="60" w:line="276" w:lineRule="auto"/>
      </w:pPr>
      <w:r>
        <w:rPr>
          <w:rFonts w:ascii="微软雅黑" w:hAnsi="微软雅黑" w:eastAsia="微软雅黑"/>
          <w:b/>
          <w:color w:val="2F5597"/>
          <w:sz w:val="20"/>
        </w:rPr>
        <w:t>充值字段</w:t>
      </w:r>
      <w:r>
        <w:rPr>
          <w:rFonts w:ascii="微软雅黑" w:hAnsi="微软雅黑" w:eastAsia="微软雅黑"/>
          <w:b w:val="0"/>
          <w:sz w:val="20"/>
        </w:rPr>
        <w:t>：PWA 安装数、首充人数、首充金额、访问-首充转化率、注册-首充转化率、充值人数、充值转化率、充值金额和充值次数用于衡量注册后的付费转化；访问-首充转化率=首充人数/访问人数，注册-首充转化率=首充人数/新增，充值转化率按页面提示口径计算。</w:t>
      </w:r>
    </w:p>
    <w:p w14:paraId="107DE48E">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：人均充值、提现金额、提现次数、充提差和有效投注额用于评估用户后续价值；人均充值反映单个充值用户的平均贡献，充提差用于比较充值与提现差额，有效投注额用于观察真实投注规模。</w:t>
      </w:r>
    </w:p>
    <w:p w14:paraId="38EA549C">
      <w:pPr>
        <w:pStyle w:val="16"/>
        <w:spacing w:after="60" w:line="276" w:lineRule="auto"/>
      </w:pPr>
      <w:r>
        <w:rPr>
          <w:rFonts w:ascii="微软雅黑" w:hAnsi="微软雅黑" w:eastAsia="微软雅黑"/>
          <w:b/>
          <w:color w:val="2F5597"/>
          <w:sz w:val="20"/>
        </w:rPr>
        <w:t>复充字段</w:t>
      </w:r>
      <w:r>
        <w:rPr>
          <w:rFonts w:ascii="微软雅黑" w:hAnsi="微软雅黑" w:eastAsia="微软雅黑"/>
          <w:b w:val="0"/>
          <w:sz w:val="20"/>
        </w:rPr>
        <w:t>：次日、3 日和 7 日复充占比按首充用户在对应周期内再次充值的人数占比计算；周期未完成时应结合数据更新时间谨慎解读。</w:t>
      </w:r>
    </w:p>
    <w:p w14:paraId="53E3050E">
      <w:pPr>
        <w:pStyle w:val="16"/>
        <w:spacing w:after="60" w:line="276" w:lineRule="auto"/>
      </w:pPr>
      <w:r>
        <w:rPr>
          <w:rFonts w:ascii="微软雅黑" w:hAnsi="微软雅黑" w:eastAsia="微软雅黑"/>
          <w:b/>
          <w:color w:val="2F5597"/>
          <w:sz w:val="20"/>
        </w:rPr>
        <w:t>查看明细</w:t>
      </w:r>
      <w:r>
        <w:rPr>
          <w:rFonts w:ascii="微软雅黑" w:hAnsi="微软雅黑" w:eastAsia="微软雅黑"/>
          <w:b w:val="0"/>
          <w:sz w:val="20"/>
        </w:rPr>
        <w:t>：点击操作列进入渠道报表明细，可按同一日期范围查看该渠道每日表现；从汇总页进入明细后，应核对渠道、媒体和广告链接上下文是否一致。</w:t>
      </w:r>
    </w:p>
    <w:p w14:paraId="6082D7B2">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渠道报表明细</w:t>
      </w:r>
    </w:p>
    <w:p w14:paraId="11D03645">
      <w:pPr>
        <w:spacing w:after="60" w:line="276" w:lineRule="auto"/>
      </w:pPr>
      <w:r>
        <w:rPr>
          <w:rFonts w:ascii="微软雅黑" w:hAnsi="微软雅黑" w:eastAsia="微软雅黑"/>
          <w:b w:val="0"/>
          <w:sz w:val="20"/>
        </w:rPr>
        <w:t>渠道报表明细用于查看单个渠道按日期拆分的流量、注册、充值、提现和投注数据，适合定位渠道表现波动并与渠道汇总结果交叉核对。</w:t>
      </w:r>
    </w:p>
    <w:p w14:paraId="138DB3F5">
      <w:pPr>
        <w:spacing w:after="40"/>
        <w:jc w:val="center"/>
      </w:pPr>
      <w:r>
        <w:drawing>
          <wp:inline distT="0" distB="0" distL="114300" distR="114300">
            <wp:extent cx="5852160" cy="2411730"/>
            <wp:effectExtent l="0" t="0" r="15240" b="762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pic:cNvPicPr>
                      <a:picLocks noChangeAspect="1"/>
                    </pic:cNvPicPr>
                  </pic:nvPicPr>
                  <pic:blipFill>
                    <a:blip r:embed="rId139"/>
                    <a:stretch>
                      <a:fillRect/>
                    </a:stretch>
                  </pic:blipFill>
                  <pic:spPr>
                    <a:xfrm>
                      <a:off x="0" y="0"/>
                      <a:ext cx="5852160" cy="2412206"/>
                    </a:xfrm>
                    <a:prstGeom prst="rect">
                      <a:avLst/>
                    </a:prstGeom>
                  </pic:spPr>
                </pic:pic>
              </a:graphicData>
            </a:graphic>
          </wp:inline>
        </w:drawing>
      </w:r>
    </w:p>
    <w:p w14:paraId="6B9CD304">
      <w:pPr>
        <w:pStyle w:val="15"/>
        <w:spacing w:after="120"/>
        <w:jc w:val="center"/>
      </w:pPr>
      <w:r>
        <w:rPr>
          <w:rFonts w:ascii="微软雅黑" w:hAnsi="微软雅黑" w:eastAsia="微软雅黑"/>
          <w:b w:val="0"/>
          <w:color w:val="707E92"/>
          <w:sz w:val="18"/>
        </w:rPr>
        <w:t>图：渠道报表明细，用于查看指定渠道每日投放和业务指标。</w:t>
      </w:r>
    </w:p>
    <w:p w14:paraId="7A0D499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：选择日期范围、渠道、媒体和广告链接后点击“查询”；“重置”恢复默认条件；点击“返回汇总”回到渠道报表。</w:t>
      </w:r>
    </w:p>
    <w:p w14:paraId="15A8D689">
      <w:pPr>
        <w:pStyle w:val="16"/>
        <w:spacing w:after="60" w:line="276" w:lineRule="auto"/>
      </w:pPr>
      <w:r>
        <w:rPr>
          <w:rFonts w:ascii="微软雅黑" w:hAnsi="微软雅黑" w:eastAsia="微软雅黑"/>
          <w:b/>
          <w:color w:val="2F5597"/>
          <w:sz w:val="20"/>
        </w:rPr>
        <w:t>上下文确认</w:t>
      </w:r>
      <w:r>
        <w:rPr>
          <w:rFonts w:ascii="微软雅黑" w:hAnsi="微软雅黑" w:eastAsia="微软雅黑"/>
          <w:b w:val="0"/>
          <w:sz w:val="20"/>
        </w:rPr>
        <w:t>：页面顶部展示渠道来源、媒体来源、广告链接和日期范围。查看明细或导出前，应先确认这些条件与要分析的投放批次一致。</w:t>
      </w:r>
    </w:p>
    <w:p w14:paraId="57B4CFEE">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：日期是指标归属日；访问人数是进入投放链路的访问量；新增和累计注册分别表示区间内新增注册与累计注册；PWA 安装数表示完成 PWA 安装的用户数；首充人数和首充金额反映首次付费；充值人数、充值金额和充值次数反映后续充值规模；人均充值用于比较单用户贡献；提现金额反映资金流出；有效投注额反映完成有效投注的规模。</w:t>
      </w:r>
    </w:p>
    <w:p w14:paraId="0548D9EB">
      <w:pPr>
        <w:pStyle w:val="16"/>
        <w:spacing w:after="60" w:line="276" w:lineRule="auto"/>
      </w:pPr>
      <w:r>
        <w:rPr>
          <w:rFonts w:ascii="微软雅黑" w:hAnsi="微软雅黑" w:eastAsia="微软雅黑"/>
          <w:b/>
          <w:color w:val="2F5597"/>
          <w:sz w:val="20"/>
        </w:rPr>
        <w:t>每日指标</w:t>
      </w:r>
      <w:r>
        <w:rPr>
          <w:rFonts w:ascii="微软雅黑" w:hAnsi="微软雅黑" w:eastAsia="微软雅黑"/>
          <w:b w:val="0"/>
          <w:sz w:val="20"/>
        </w:rPr>
        <w:t>：明细按日期展示访问人数、新增、注册转化率、PWA 安装数、首充人数、首充金额、访问-首充转化率、注册-首充转化率、次日复充占比、3 日复充占比和 7 日复充占比，便于定位具体日期的转化变化。</w:t>
      </w:r>
    </w:p>
    <w:p w14:paraId="76FDA693">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：明细同时展示充值人数、充值金额、充值次数、人均充值、提现金额、充提差和有效投注额，反映渠道用户的后续价值；充提差用于比较充值与提现差额，不能替代完整结算口径。</w:t>
      </w:r>
    </w:p>
    <w:p w14:paraId="6C2E3AD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：次日、3 日、7 日复充占比需要等待对应观察周期完成；当明细与汇总页不一致时，先核对日期范围、渠道筛选、数据更新时间和汇总是否包含未完成周期数据。</w:t>
      </w:r>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49B8E3E4">
      <w:pPr>
        <w:spacing w:after="60" w:line="276" w:lineRule="auto"/>
      </w:pPr>
      <w:r>
        <w:rPr>
          <w:rFonts w:ascii="微软雅黑" w:hAnsi="微软雅黑" w:eastAsia="微软雅黑"/>
          <w:b w:val="0"/>
          <w:sz w:val="20"/>
        </w:rPr>
        <w:t>黑名单用于维护需要限制的会员、IP 和设备对象。页面包含会员黑名单与 IP/设备黑名单两个页签，可按风险对象分别执行冻结、禁止领取优惠、禁止提现或禁止注册，并保留操作人、备注和操作时间用于复核。</w:t>
      </w:r>
    </w:p>
    <w:p w14:paraId="35E268FE">
      <w:pPr>
        <w:pStyle w:val="6"/>
        <w:spacing w:after="60" w:line="276" w:lineRule="auto"/>
      </w:pPr>
      <w:r>
        <w:rPr>
          <w:rFonts w:ascii="微软雅黑" w:hAnsi="微软雅黑" w:eastAsia="微软雅黑"/>
          <w:b/>
          <w:i/>
          <w:color w:val="2F5597"/>
          <w:sz w:val="21"/>
        </w:rPr>
        <w:t>会员黑名单列表</w:t>
      </w:r>
    </w:p>
    <w:p w14:paraId="685A2854">
      <w:pPr>
        <w:spacing w:after="60" w:line="276" w:lineRule="auto"/>
      </w:pPr>
      <w:r>
        <w:rPr>
          <w:rFonts w:ascii="微软雅黑" w:hAnsi="微软雅黑" w:eastAsia="微软雅黑"/>
          <w:b w:val="0"/>
          <w:sz w:val="20"/>
        </w:rPr>
        <w:t>会员黑名单列表用于查询已受限会员，并集中执行导出、新增、修改、单条移除和批量移除。</w:t>
      </w:r>
    </w:p>
    <w:p w14:paraId="0781678C">
      <w:pPr>
        <w:spacing w:after="40"/>
        <w:jc w:val="center"/>
      </w:pPr>
      <w:r>
        <w:drawing>
          <wp:inline distT="0" distB="0" distL="114300" distR="114300">
            <wp:extent cx="5852160" cy="2104390"/>
            <wp:effectExtent l="0" t="0" r="15240" b="1016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a:picLocks noChangeAspect="1"/>
                    </pic:cNvPicPr>
                  </pic:nvPicPr>
                  <pic:blipFill>
                    <a:blip r:embed="rId140"/>
                    <a:stretch>
                      <a:fillRect/>
                    </a:stretch>
                  </pic:blipFill>
                  <pic:spPr>
                    <a:xfrm>
                      <a:off x="0" y="0"/>
                      <a:ext cx="5852160" cy="2104694"/>
                    </a:xfrm>
                    <a:prstGeom prst="rect">
                      <a:avLst/>
                    </a:prstGeom>
                  </pic:spPr>
                </pic:pic>
              </a:graphicData>
            </a:graphic>
          </wp:inline>
        </w:drawing>
      </w:r>
    </w:p>
    <w:p w14:paraId="4E82FD0B">
      <w:pPr>
        <w:pStyle w:val="15"/>
        <w:spacing w:after="120"/>
        <w:jc w:val="center"/>
      </w:pPr>
      <w:r>
        <w:rPr>
          <w:rFonts w:ascii="微软雅黑" w:hAnsi="微软雅黑" w:eastAsia="微软雅黑"/>
          <w:b w:val="0"/>
          <w:color w:val="707E92"/>
          <w:sz w:val="18"/>
        </w:rPr>
        <w:t>图：会员黑名单列表，可查询会员限制状态并进入维护操作。</w:t>
      </w:r>
    </w:p>
    <w:p w14:paraId="10653A58">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：输入会员 ID，并按冻结、禁止领取优惠或禁止提现筛选；搜索后可导出当前查询结果，重置用于清空条件。</w:t>
      </w:r>
    </w:p>
    <w:p w14:paraId="0A50606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：重点核对会员 ID、用户名、充提差额、总余额、限制类型、最后登录 IP、操作人、手机号、备注和操作时间，判断限制对象及处理依据是否正确。</w:t>
      </w:r>
    </w:p>
    <w:p w14:paraId="15C58118">
      <w:pPr>
        <w:pStyle w:val="16"/>
        <w:spacing w:after="60" w:line="276" w:lineRule="auto"/>
      </w:pPr>
      <w:r>
        <w:rPr>
          <w:rFonts w:ascii="微软雅黑" w:hAnsi="微软雅黑" w:eastAsia="微软雅黑"/>
          <w:b/>
          <w:color w:val="2F5597"/>
          <w:sz w:val="20"/>
        </w:rPr>
        <w:t>修改与移除</w:t>
      </w:r>
      <w:r>
        <w:rPr>
          <w:rFonts w:ascii="微软雅黑" w:hAnsi="微软雅黑" w:eastAsia="微软雅黑"/>
          <w:b w:val="0"/>
          <w:sz w:val="20"/>
        </w:rPr>
        <w:t>：点击修改可调整限制类型和备注，会员 ID 不可更改；点击移除黑名单后需再次确认。批量移除前先勾选目标记录，避免解除错误会员的限制。</w:t>
      </w:r>
    </w:p>
    <w:p w14:paraId="5DFAFBE7">
      <w:pPr>
        <w:pStyle w:val="6"/>
        <w:spacing w:after="60" w:line="276" w:lineRule="auto"/>
      </w:pPr>
      <w:r>
        <w:rPr>
          <w:rFonts w:ascii="微软雅黑" w:hAnsi="微软雅黑" w:eastAsia="微软雅黑"/>
          <w:b/>
          <w:i/>
          <w:color w:val="2F5597"/>
          <w:sz w:val="21"/>
        </w:rPr>
        <w:t>新增会员黑名单</w:t>
      </w:r>
    </w:p>
    <w:p w14:paraId="4D1B3E2A">
      <w:pPr>
        <w:spacing w:after="60" w:line="276" w:lineRule="auto"/>
      </w:pPr>
      <w:r>
        <w:rPr>
          <w:rFonts w:ascii="微软雅黑" w:hAnsi="微软雅黑" w:eastAsia="微软雅黑"/>
          <w:b w:val="0"/>
          <w:sz w:val="20"/>
        </w:rPr>
        <w:t>新增黑名单弹窗用于指定会员和限制范围，提交后限制立即按所选类型生效。</w:t>
      </w:r>
    </w:p>
    <w:p w14:paraId="3202536C">
      <w:pPr>
        <w:spacing w:after="40"/>
        <w:jc w:val="center"/>
      </w:pPr>
      <w:r>
        <w:drawing>
          <wp:inline distT="0" distB="0" distL="114300" distR="114300">
            <wp:extent cx="4754880" cy="2880360"/>
            <wp:effectExtent l="0" t="0" r="7620" b="1524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41"/>
                    <a:stretch>
                      <a:fillRect/>
                    </a:stretch>
                  </pic:blipFill>
                  <pic:spPr>
                    <a:xfrm>
                      <a:off x="0" y="0"/>
                      <a:ext cx="4754880" cy="2880462"/>
                    </a:xfrm>
                    <a:prstGeom prst="rect">
                      <a:avLst/>
                    </a:prstGeom>
                  </pic:spPr>
                </pic:pic>
              </a:graphicData>
            </a:graphic>
          </wp:inline>
        </w:drawing>
      </w:r>
    </w:p>
    <w:p w14:paraId="12A5BF12">
      <w:pPr>
        <w:pStyle w:val="15"/>
        <w:spacing w:after="120"/>
        <w:jc w:val="center"/>
      </w:pPr>
      <w:r>
        <w:rPr>
          <w:rFonts w:ascii="微软雅黑" w:hAnsi="微软雅黑" w:eastAsia="微软雅黑"/>
          <w:b w:val="0"/>
          <w:color w:val="707E92"/>
          <w:sz w:val="18"/>
        </w:rPr>
        <w:t>图：新增会员黑名单弹窗，用于填写会员 ID、限制类型和备注。</w:t>
      </w:r>
    </w:p>
    <w:p w14:paraId="5122FFC8">
      <w:pPr>
        <w:pStyle w:val="16"/>
        <w:spacing w:after="60" w:line="276" w:lineRule="auto"/>
      </w:pPr>
      <w:r>
        <w:rPr>
          <w:rFonts w:ascii="微软雅黑" w:hAnsi="微软雅黑" w:eastAsia="微软雅黑"/>
          <w:b/>
          <w:color w:val="2F5597"/>
          <w:sz w:val="20"/>
        </w:rPr>
        <w:t>会员与限制类型</w:t>
      </w:r>
      <w:r>
        <w:rPr>
          <w:rFonts w:ascii="微软雅黑" w:hAnsi="微软雅黑" w:eastAsia="微软雅黑"/>
          <w:b w:val="0"/>
          <w:sz w:val="20"/>
        </w:rPr>
        <w:t>：填写准确的会员 ID，可单选或组合选择冻结、禁止领取优惠和禁止提现；选择全部时应再次确认实际影响范围。</w:t>
      </w:r>
    </w:p>
    <w:p w14:paraId="75A2B6C7">
      <w:pPr>
        <w:pStyle w:val="16"/>
        <w:spacing w:after="60" w:line="276" w:lineRule="auto"/>
      </w:pPr>
      <w:r>
        <w:rPr>
          <w:rFonts w:ascii="微软雅黑" w:hAnsi="微软雅黑" w:eastAsia="微软雅黑"/>
          <w:b/>
          <w:color w:val="2F5597"/>
          <w:sz w:val="20"/>
        </w:rPr>
        <w:t>备注</w:t>
      </w:r>
      <w:r>
        <w:rPr>
          <w:rFonts w:ascii="微软雅黑" w:hAnsi="微软雅黑" w:eastAsia="微软雅黑"/>
          <w:b w:val="0"/>
          <w:sz w:val="20"/>
        </w:rPr>
        <w:t>：备注最多 255 字，建议写明命中规则、关联对象、处理原因和复核信息，便于后续修改或解除。</w:t>
      </w:r>
    </w:p>
    <w:p w14:paraId="57C0663D">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：点击确定前核对会员 ID 与限制类型；取消或关闭弹窗不会保存本次录入。</w:t>
      </w:r>
    </w:p>
    <w:p w14:paraId="59B9E615">
      <w:pPr>
        <w:pStyle w:val="6"/>
        <w:spacing w:after="60" w:line="276" w:lineRule="auto"/>
      </w:pPr>
      <w:r>
        <w:rPr>
          <w:rFonts w:ascii="微软雅黑" w:hAnsi="微软雅黑" w:eastAsia="微软雅黑"/>
          <w:b/>
          <w:i/>
          <w:color w:val="2F5597"/>
          <w:sz w:val="21"/>
        </w:rPr>
        <w:t>IP/设备黑名单列表</w:t>
      </w:r>
    </w:p>
    <w:p w14:paraId="5A770C68">
      <w:pPr>
        <w:spacing w:after="60" w:line="276" w:lineRule="auto"/>
      </w:pPr>
      <w:r>
        <w:rPr>
          <w:rFonts w:ascii="微软雅黑" w:hAnsi="微软雅黑" w:eastAsia="微软雅黑"/>
          <w:b w:val="0"/>
          <w:sz w:val="20"/>
        </w:rPr>
        <w:t>IP/设备黑名单用于限制特定网络地址或设备，适合处理批量注册、同设备多账号和异常登录来源。</w:t>
      </w:r>
    </w:p>
    <w:p w14:paraId="53DA5DD8">
      <w:pPr>
        <w:spacing w:after="40"/>
        <w:jc w:val="center"/>
      </w:pPr>
      <w:r>
        <w:drawing>
          <wp:inline distT="0" distB="0" distL="114300" distR="114300">
            <wp:extent cx="5852160" cy="995680"/>
            <wp:effectExtent l="0" t="0" r="15240" b="1397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pic:cNvPicPr>
                      <a:picLocks noChangeAspect="1"/>
                    </pic:cNvPicPr>
                  </pic:nvPicPr>
                  <pic:blipFill>
                    <a:blip r:embed="rId142"/>
                    <a:stretch>
                      <a:fillRect/>
                    </a:stretch>
                  </pic:blipFill>
                  <pic:spPr>
                    <a:xfrm>
                      <a:off x="0" y="0"/>
                      <a:ext cx="5852160" cy="996112"/>
                    </a:xfrm>
                    <a:prstGeom prst="rect">
                      <a:avLst/>
                    </a:prstGeom>
                  </pic:spPr>
                </pic:pic>
              </a:graphicData>
            </a:graphic>
          </wp:inline>
        </w:drawing>
      </w:r>
    </w:p>
    <w:p w14:paraId="19EFED19">
      <w:pPr>
        <w:pStyle w:val="15"/>
        <w:spacing w:after="120"/>
        <w:jc w:val="center"/>
      </w:pPr>
      <w:r>
        <w:rPr>
          <w:rFonts w:ascii="微软雅黑" w:hAnsi="微软雅黑" w:eastAsia="微软雅黑"/>
          <w:b w:val="0"/>
          <w:color w:val="707E92"/>
          <w:sz w:val="18"/>
        </w:rPr>
        <w:t>图：IP/设备黑名单列表，可查看限制地址、限制类型和操作记录。</w:t>
      </w:r>
    </w:p>
    <w:p w14:paraId="4C06940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：表格展示记录 ID、黑名单类型、限制地址、限制类型、备注、操作人和操作时间；先通过黑名单类型确认当前值是 IP 还是设备号。</w:t>
      </w:r>
    </w:p>
    <w:p w14:paraId="2EA7EF7E">
      <w:pPr>
        <w:pStyle w:val="16"/>
        <w:spacing w:after="60" w:line="276" w:lineRule="auto"/>
      </w:pPr>
      <w:r>
        <w:rPr>
          <w:rFonts w:ascii="微软雅黑" w:hAnsi="微软雅黑" w:eastAsia="微软雅黑"/>
          <w:b/>
          <w:color w:val="2F5597"/>
          <w:sz w:val="20"/>
        </w:rPr>
        <w:t>维护操作</w:t>
      </w:r>
      <w:r>
        <w:rPr>
          <w:rFonts w:ascii="微软雅黑" w:hAnsi="微软雅黑" w:eastAsia="微软雅黑"/>
          <w:b w:val="0"/>
          <w:sz w:val="20"/>
        </w:rPr>
        <w:t>：页面支持导出报表、新增、修改、单条移除和批量移除。修改时类型与黑名单值保持锁定，只调整限制类型和备注。</w:t>
      </w:r>
    </w:p>
    <w:p w14:paraId="29079F8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：移除记录会解除对应 IP 或设备限制；批量处理前应核对限制地址，避免同一网络环境或共享设备被误解除。</w:t>
      </w:r>
    </w:p>
    <w:p w14:paraId="2AC9E49B">
      <w:pPr>
        <w:pStyle w:val="6"/>
        <w:spacing w:after="60" w:line="276" w:lineRule="auto"/>
      </w:pPr>
      <w:r>
        <w:rPr>
          <w:rFonts w:ascii="微软雅黑" w:hAnsi="微软雅黑" w:eastAsia="微软雅黑"/>
          <w:b/>
          <w:i/>
          <w:color w:val="2F5597"/>
          <w:sz w:val="21"/>
        </w:rPr>
        <w:t>新增 IP/设备黑名单</w:t>
      </w:r>
    </w:p>
    <w:p w14:paraId="42B24711">
      <w:pPr>
        <w:spacing w:after="60" w:line="276" w:lineRule="auto"/>
      </w:pPr>
      <w:r>
        <w:rPr>
          <w:rFonts w:ascii="微软雅黑" w:hAnsi="微软雅黑" w:eastAsia="微软雅黑"/>
          <w:b w:val="0"/>
          <w:sz w:val="20"/>
        </w:rPr>
        <w:t>新增弹窗用于选择 IP 或设备类型、录入黑名单值并设置冻结或禁止注册。</w:t>
      </w:r>
    </w:p>
    <w:p w14:paraId="29F8504F">
      <w:pPr>
        <w:spacing w:after="40"/>
        <w:jc w:val="center"/>
      </w:pPr>
      <w:r>
        <w:drawing>
          <wp:inline distT="0" distB="0" distL="114300" distR="114300">
            <wp:extent cx="4754880" cy="3416935"/>
            <wp:effectExtent l="0" t="0" r="7620" b="1206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pic:cNvPicPr>
                      <a:picLocks noChangeAspect="1"/>
                    </pic:cNvPicPr>
                  </pic:nvPicPr>
                  <pic:blipFill>
                    <a:blip r:embed="rId143"/>
                    <a:stretch>
                      <a:fillRect/>
                    </a:stretch>
                  </pic:blipFill>
                  <pic:spPr>
                    <a:xfrm>
                      <a:off x="0" y="0"/>
                      <a:ext cx="4754880" cy="3417243"/>
                    </a:xfrm>
                    <a:prstGeom prst="rect">
                      <a:avLst/>
                    </a:prstGeom>
                  </pic:spPr>
                </pic:pic>
              </a:graphicData>
            </a:graphic>
          </wp:inline>
        </w:drawing>
      </w:r>
    </w:p>
    <w:p w14:paraId="71BEAAA3">
      <w:pPr>
        <w:pStyle w:val="15"/>
        <w:spacing w:after="120"/>
        <w:jc w:val="center"/>
      </w:pPr>
      <w:r>
        <w:rPr>
          <w:rFonts w:ascii="微软雅黑" w:hAnsi="微软雅黑" w:eastAsia="微软雅黑"/>
          <w:b w:val="0"/>
          <w:color w:val="707E92"/>
          <w:sz w:val="18"/>
        </w:rPr>
        <w:t>图：新增 IP/设备黑名单弹窗，用于录入黑名单值和限制类型。</w:t>
      </w:r>
    </w:p>
    <w:p w14:paraId="4C701C73">
      <w:pPr>
        <w:pStyle w:val="16"/>
        <w:spacing w:after="60" w:line="276" w:lineRule="auto"/>
      </w:pPr>
      <w:r>
        <w:rPr>
          <w:rFonts w:ascii="微软雅黑" w:hAnsi="微软雅黑" w:eastAsia="微软雅黑"/>
          <w:b/>
          <w:color w:val="2F5597"/>
          <w:sz w:val="20"/>
        </w:rPr>
        <w:t>添加类型与黑名单值</w:t>
      </w:r>
      <w:r>
        <w:rPr>
          <w:rFonts w:ascii="微软雅黑" w:hAnsi="微软雅黑" w:eastAsia="微软雅黑"/>
          <w:b w:val="0"/>
          <w:sz w:val="20"/>
        </w:rPr>
        <w:t>：先选择 IP 或设备，再填写对应地址或设备标识；类型和值保存后不可在修改弹窗中替换，填错时应移除后重新新增。</w:t>
      </w:r>
    </w:p>
    <w:p w14:paraId="70DC0189">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：可选择冻结、禁止注册或全部。冻结用于阻止对象继续使用账户，禁止注册用于阻断该 IP 或设备创建新账号。</w:t>
      </w:r>
    </w:p>
    <w:p w14:paraId="73F2EE2B">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：补充限制原因和关联会员后点击确定；提交前检查 IP 格式或设备标识是否完整，避免因值不准确导致规则未命中。</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5F88EB7D">
      <w:pPr>
        <w:spacing w:after="60" w:line="276" w:lineRule="auto"/>
      </w:pPr>
      <w:r>
        <w:rPr>
          <w:rFonts w:ascii="微软雅黑" w:hAnsi="微软雅黑" w:eastAsia="微软雅黑"/>
          <w:b w:val="0"/>
          <w:sz w:val="20"/>
        </w:rPr>
        <w:t>刷子监控用于识别同 IP、同设备和同提现名称等关联风险，并把自动命中、拉黑和人工处罚结果集中留痕。页面包含同关联监控与同关联处罚记录两个页签，日常处理顺序通常为查询风险对象、核对关联数量、执行拉黑或处罚、再到处罚记录复核结果。</w:t>
      </w:r>
    </w:p>
    <w:p w14:paraId="6C780A50">
      <w:pPr>
        <w:pStyle w:val="6"/>
        <w:spacing w:after="60" w:line="276" w:lineRule="auto"/>
      </w:pPr>
      <w:r>
        <w:rPr>
          <w:rFonts w:ascii="微软雅黑" w:hAnsi="微软雅黑" w:eastAsia="微软雅黑"/>
          <w:b/>
          <w:i/>
          <w:color w:val="2F5597"/>
          <w:sz w:val="21"/>
        </w:rPr>
        <w:t>同关联监控列表</w:t>
      </w:r>
    </w:p>
    <w:p w14:paraId="353BAC71">
      <w:pPr>
        <w:spacing w:after="60" w:line="276" w:lineRule="auto"/>
      </w:pPr>
      <w:r>
        <w:rPr>
          <w:rFonts w:ascii="微软雅黑" w:hAnsi="微软雅黑" w:eastAsia="微软雅黑"/>
          <w:b w:val="0"/>
          <w:sz w:val="20"/>
        </w:rPr>
        <w:t>同关联监控展示已命中的关联对象及其风险规模，可按时间、风险类型和关联标识值定位目标记录。</w:t>
      </w:r>
    </w:p>
    <w:p w14:paraId="7999CC35">
      <w:pPr>
        <w:spacing w:after="40"/>
        <w:jc w:val="center"/>
      </w:pPr>
      <w:r>
        <w:drawing>
          <wp:inline distT="0" distB="0" distL="114300" distR="114300">
            <wp:extent cx="5852160" cy="2500630"/>
            <wp:effectExtent l="0" t="0" r="15240" b="1397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pic:cNvPicPr>
                      <a:picLocks noChangeAspect="1"/>
                    </pic:cNvPicPr>
                  </pic:nvPicPr>
                  <pic:blipFill>
                    <a:blip r:embed="rId144"/>
                    <a:stretch>
                      <a:fillRect/>
                    </a:stretch>
                  </pic:blipFill>
                  <pic:spPr>
                    <a:xfrm>
                      <a:off x="0" y="0"/>
                      <a:ext cx="5852160" cy="2500953"/>
                    </a:xfrm>
                    <a:prstGeom prst="rect">
                      <a:avLst/>
                    </a:prstGeom>
                  </pic:spPr>
                </pic:pic>
              </a:graphicData>
            </a:graphic>
          </wp:inline>
        </w:drawing>
      </w:r>
    </w:p>
    <w:p w14:paraId="15E0E45C">
      <w:pPr>
        <w:pStyle w:val="15"/>
        <w:spacing w:after="120"/>
        <w:jc w:val="center"/>
      </w:pPr>
      <w:r>
        <w:rPr>
          <w:rFonts w:ascii="微软雅黑" w:hAnsi="微软雅黑" w:eastAsia="微软雅黑"/>
          <w:b w:val="0"/>
          <w:color w:val="707E92"/>
          <w:sz w:val="18"/>
        </w:rPr>
        <w:t>图：同关联监控列表，可查看风险值、同关联数量、触发方式和处理入口。</w:t>
      </w:r>
    </w:p>
    <w:p w14:paraId="08D7B6E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：选择起止时间和风险类型，或输入关联标识值后搜索；风险类型包括 IP、设备及提现名称，重置可恢复默认条件。</w:t>
      </w:r>
    </w:p>
    <w:p w14:paraId="2872090C">
      <w:pPr>
        <w:pStyle w:val="16"/>
        <w:spacing w:after="60" w:line="276" w:lineRule="auto"/>
      </w:pPr>
      <w:r>
        <w:rPr>
          <w:rFonts w:ascii="微软雅黑" w:hAnsi="微软雅黑" w:eastAsia="微软雅黑"/>
          <w:b/>
          <w:color w:val="2F5597"/>
          <w:sz w:val="20"/>
        </w:rPr>
        <w:t>风险判断</w:t>
      </w:r>
      <w:r>
        <w:rPr>
          <w:rFonts w:ascii="微软雅黑" w:hAnsi="微软雅黑" w:eastAsia="微软雅黑"/>
          <w:b w:val="0"/>
          <w:sz w:val="20"/>
        </w:rPr>
        <w:t>：列表重点查看风险类型、风险值、同关联数量、触发方式、创建时间和更新时间。同关联数量越高，越应先核对是否为共享网络、共用设备或真实关联账户。</w:t>
      </w:r>
    </w:p>
    <w:p w14:paraId="5B79E7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：IP 记录可执行 IP 拉黑，设备记录可执行设备拉黑；所有可处理记录均可进入手动风控处罚。操作前先确认风险值与目标对象一致。</w:t>
      </w:r>
    </w:p>
    <w:p w14:paraId="5B115286">
      <w:pPr>
        <w:pStyle w:val="6"/>
        <w:spacing w:after="60" w:line="276" w:lineRule="auto"/>
      </w:pPr>
      <w:r>
        <w:rPr>
          <w:rFonts w:ascii="微软雅黑" w:hAnsi="微软雅黑" w:eastAsia="微软雅黑"/>
          <w:b/>
          <w:i/>
          <w:color w:val="2F5597"/>
          <w:sz w:val="21"/>
        </w:rPr>
        <w:t>默认自动规则</w:t>
      </w:r>
    </w:p>
    <w:p w14:paraId="68DCE75F">
      <w:pPr>
        <w:spacing w:after="60" w:line="276" w:lineRule="auto"/>
      </w:pPr>
      <w:r>
        <w:rPr>
          <w:rFonts w:ascii="微软雅黑" w:hAnsi="微软雅黑" w:eastAsia="微软雅黑"/>
          <w:b w:val="0"/>
          <w:sz w:val="20"/>
        </w:rPr>
        <w:t>默认自动规则用于维护同 IP、同设备号和同提现名称的预警及处罚阈值，决定后续关联风险如何自动触发。</w:t>
      </w:r>
    </w:p>
    <w:p w14:paraId="3CA28973">
      <w:pPr>
        <w:spacing w:after="40"/>
        <w:jc w:val="center"/>
      </w:pPr>
      <w:r>
        <w:drawing>
          <wp:inline distT="0" distB="0" distL="114300" distR="114300">
            <wp:extent cx="5394960" cy="1859280"/>
            <wp:effectExtent l="0" t="0" r="15240" b="762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pic:cNvPicPr>
                      <a:picLocks noChangeAspect="1"/>
                    </pic:cNvPicPr>
                  </pic:nvPicPr>
                  <pic:blipFill>
                    <a:blip r:embed="rId145"/>
                    <a:stretch>
                      <a:fillRect/>
                    </a:stretch>
                  </pic:blipFill>
                  <pic:spPr>
                    <a:xfrm>
                      <a:off x="0" y="0"/>
                      <a:ext cx="5394960" cy="1859892"/>
                    </a:xfrm>
                    <a:prstGeom prst="rect">
                      <a:avLst/>
                    </a:prstGeom>
                  </pic:spPr>
                </pic:pic>
              </a:graphicData>
            </a:graphic>
          </wp:inline>
        </w:drawing>
      </w:r>
    </w:p>
    <w:p w14:paraId="634A91CE">
      <w:pPr>
        <w:pStyle w:val="15"/>
        <w:spacing w:after="120"/>
        <w:jc w:val="center"/>
      </w:pPr>
      <w:r>
        <w:rPr>
          <w:rFonts w:ascii="微软雅黑" w:hAnsi="微软雅黑" w:eastAsia="微软雅黑"/>
          <w:b w:val="0"/>
          <w:color w:val="707E92"/>
          <w:sz w:val="18"/>
        </w:rPr>
        <w:t>图：默认自动规则弹窗，可配置预警值、处罚触发值、处罚范围和处罚方式。</w:t>
      </w:r>
    </w:p>
    <w:p w14:paraId="3958B62F">
      <w:pPr>
        <w:pStyle w:val="16"/>
        <w:spacing w:after="60" w:line="276" w:lineRule="auto"/>
      </w:pPr>
      <w:r>
        <w:rPr>
          <w:rFonts w:ascii="微软雅黑" w:hAnsi="微软雅黑" w:eastAsia="微软雅黑"/>
          <w:b/>
          <w:color w:val="2F5597"/>
          <w:sz w:val="20"/>
        </w:rPr>
        <w:t>阈值设置</w:t>
      </w:r>
      <w:r>
        <w:rPr>
          <w:rFonts w:ascii="微软雅黑" w:hAnsi="微软雅黑" w:eastAsia="微软雅黑"/>
          <w:b w:val="0"/>
          <w:sz w:val="20"/>
        </w:rPr>
        <w:t>：处罚触发值决定达到多少个关联账号后执行规则</w:t>
      </w:r>
      <w:r>
        <w:rPr>
          <w:rFonts w:hint="eastAsia"/>
          <w:b w:val="0"/>
          <w:sz w:val="20"/>
          <w:lang w:val="en-US" w:eastAsia="zh-CN"/>
        </w:rPr>
        <w:t>.</w:t>
      </w:r>
    </w:p>
    <w:p w14:paraId="5A1C5E30">
      <w:pPr>
        <w:pStyle w:val="16"/>
        <w:spacing w:after="60" w:line="276" w:lineRule="auto"/>
      </w:pPr>
      <w:r>
        <w:rPr>
          <w:rFonts w:ascii="微软雅黑" w:hAnsi="微软雅黑" w:eastAsia="微软雅黑"/>
          <w:b/>
          <w:color w:val="2F5597"/>
          <w:sz w:val="20"/>
        </w:rPr>
        <w:t>限制人数</w:t>
      </w:r>
      <w:r>
        <w:rPr>
          <w:rFonts w:ascii="微软雅黑" w:hAnsi="微软雅黑" w:eastAsia="微软雅黑"/>
          <w:b w:val="0"/>
          <w:sz w:val="20"/>
        </w:rPr>
        <w:t>：用于</w:t>
      </w:r>
      <w:r>
        <w:rPr>
          <w:rFonts w:hint="eastAsia"/>
          <w:b w:val="0"/>
          <w:sz w:val="20"/>
          <w:lang w:val="en-US" w:eastAsia="zh-CN"/>
        </w:rPr>
        <w:t>该IP或者设备可以注册的总人数，超出这个人数将不能注册。0不限制。</w:t>
      </w:r>
    </w:p>
    <w:p w14:paraId="40DF4439">
      <w:pPr>
        <w:pStyle w:val="16"/>
        <w:spacing w:after="60" w:line="276" w:lineRule="auto"/>
      </w:pPr>
      <w:r>
        <w:rPr>
          <w:rFonts w:ascii="微软雅黑" w:hAnsi="微软雅黑" w:eastAsia="微软雅黑"/>
          <w:b/>
          <w:color w:val="2F5597"/>
          <w:sz w:val="20"/>
        </w:rPr>
        <w:t>预警值</w:t>
      </w:r>
      <w:r>
        <w:rPr>
          <w:rFonts w:ascii="微软雅黑" w:hAnsi="微软雅黑" w:eastAsia="微软雅黑"/>
          <w:b w:val="0"/>
          <w:sz w:val="20"/>
        </w:rPr>
        <w:t>：用于</w:t>
      </w:r>
      <w:r>
        <w:rPr>
          <w:rFonts w:hint="eastAsia"/>
          <w:b w:val="0"/>
          <w:sz w:val="20"/>
          <w:lang w:val="en-US" w:eastAsia="zh-CN"/>
        </w:rPr>
        <w:t>设置进入列表的数值</w:t>
      </w:r>
      <w:r>
        <w:rPr>
          <w:rFonts w:ascii="微软雅黑" w:hAnsi="微软雅黑" w:eastAsia="微软雅黑"/>
          <w:b w:val="0"/>
          <w:sz w:val="20"/>
        </w:rPr>
        <w:t>，各数值应保持预警值不高于处罚触发值。</w:t>
      </w:r>
    </w:p>
    <w:p w14:paraId="32941B56">
      <w:pPr>
        <w:pStyle w:val="16"/>
        <w:spacing w:after="60" w:line="276" w:lineRule="auto"/>
      </w:pPr>
    </w:p>
    <w:p w14:paraId="7E75C882">
      <w:pPr>
        <w:pStyle w:val="16"/>
        <w:spacing w:after="60" w:line="276" w:lineRule="auto"/>
      </w:pPr>
      <w:r>
        <w:rPr>
          <w:rFonts w:ascii="微软雅黑" w:hAnsi="微软雅黑" w:eastAsia="微软雅黑"/>
          <w:b/>
          <w:color w:val="2F5597"/>
          <w:sz w:val="20"/>
        </w:rPr>
        <w:t>处罚范围</w:t>
      </w:r>
      <w:r>
        <w:rPr>
          <w:rFonts w:ascii="微软雅黑" w:hAnsi="微软雅黑" w:eastAsia="微软雅黑"/>
          <w:b w:val="0"/>
          <w:sz w:val="20"/>
        </w:rPr>
        <w:t>：可选择全部处罚或只处罚超出范围的账号。使用全部处罚前应确认共享网络、家庭设备等正常场景不会被整体误伤。</w:t>
      </w:r>
    </w:p>
    <w:p w14:paraId="28255B0C">
      <w:pPr>
        <w:pStyle w:val="16"/>
        <w:spacing w:after="60" w:line="276" w:lineRule="auto"/>
      </w:pPr>
      <w:r>
        <w:rPr>
          <w:rFonts w:ascii="微软雅黑" w:hAnsi="微软雅黑" w:eastAsia="微软雅黑"/>
          <w:b/>
          <w:color w:val="2F5597"/>
          <w:sz w:val="20"/>
        </w:rPr>
        <w:t>处罚方式</w:t>
      </w:r>
      <w:r>
        <w:rPr>
          <w:rFonts w:ascii="微软雅黑" w:hAnsi="微软雅黑" w:eastAsia="微软雅黑"/>
          <w:b w:val="0"/>
          <w:sz w:val="20"/>
        </w:rPr>
        <w:t>：按关联类型选择冻结账户、限制领取优惠等处理方式；同提现名称等高风险关系应结合实际业务口径设置。点击提交后新阈值用于后续监控。</w:t>
      </w:r>
    </w:p>
    <w:p w14:paraId="589E6074">
      <w:pPr>
        <w:pStyle w:val="6"/>
        <w:spacing w:after="60" w:line="276" w:lineRule="auto"/>
      </w:pPr>
      <w:r>
        <w:rPr>
          <w:rFonts w:ascii="微软雅黑" w:hAnsi="微软雅黑" w:eastAsia="微软雅黑"/>
          <w:b/>
          <w:i/>
          <w:color w:val="2F5597"/>
          <w:sz w:val="21"/>
        </w:rPr>
        <w:t>IP 拉黑</w:t>
      </w:r>
    </w:p>
    <w:p w14:paraId="7621991E">
      <w:pPr>
        <w:spacing w:after="60" w:line="276" w:lineRule="auto"/>
      </w:pPr>
      <w:r>
        <w:rPr>
          <w:rFonts w:ascii="微软雅黑" w:hAnsi="微软雅黑" w:eastAsia="微软雅黑"/>
          <w:b w:val="0"/>
          <w:sz w:val="20"/>
        </w:rPr>
        <w:t>点击同关联监控行内的 IP 拉黑后，系统会带入当前 IP，操作人员只需选择限制类型并补充备注。</w:t>
      </w:r>
    </w:p>
    <w:p w14:paraId="7511DBCB">
      <w:pPr>
        <w:spacing w:after="40"/>
        <w:jc w:val="center"/>
      </w:pPr>
      <w:r>
        <w:drawing>
          <wp:inline distT="0" distB="0" distL="114300" distR="114300">
            <wp:extent cx="4023360" cy="3006090"/>
            <wp:effectExtent l="0" t="0" r="15240" b="381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pic:cNvPicPr>
                      <a:picLocks noChangeAspect="1"/>
                    </pic:cNvPicPr>
                  </pic:nvPicPr>
                  <pic:blipFill>
                    <a:blip r:embed="rId146"/>
                    <a:stretch>
                      <a:fillRect/>
                    </a:stretch>
                  </pic:blipFill>
                  <pic:spPr>
                    <a:xfrm>
                      <a:off x="0" y="0"/>
                      <a:ext cx="4023360" cy="3006269"/>
                    </a:xfrm>
                    <a:prstGeom prst="rect">
                      <a:avLst/>
                    </a:prstGeom>
                  </pic:spPr>
                </pic:pic>
              </a:graphicData>
            </a:graphic>
          </wp:inline>
        </w:drawing>
      </w:r>
    </w:p>
    <w:p w14:paraId="606C58FD">
      <w:pPr>
        <w:pStyle w:val="15"/>
        <w:spacing w:after="120"/>
        <w:jc w:val="center"/>
      </w:pPr>
      <w:r>
        <w:rPr>
          <w:rFonts w:ascii="微软雅黑" w:hAnsi="微软雅黑" w:eastAsia="微软雅黑"/>
          <w:b w:val="0"/>
          <w:color w:val="707E92"/>
          <w:sz w:val="18"/>
        </w:rPr>
        <w:t>图：IP 拉黑弹窗，可对命中的 IP 设置冻结或禁止注册。</w:t>
      </w:r>
    </w:p>
    <w:p w14:paraId="0A38654C">
      <w:pPr>
        <w:pStyle w:val="16"/>
        <w:spacing w:after="60" w:line="276" w:lineRule="auto"/>
      </w:pPr>
      <w:r>
        <w:rPr>
          <w:rFonts w:ascii="微软雅黑" w:hAnsi="微软雅黑" w:eastAsia="微软雅黑"/>
          <w:b/>
          <w:color w:val="2F5597"/>
          <w:sz w:val="20"/>
        </w:rPr>
        <w:t>带入信息</w:t>
      </w:r>
      <w:r>
        <w:rPr>
          <w:rFonts w:ascii="微软雅黑" w:hAnsi="微软雅黑" w:eastAsia="微软雅黑"/>
          <w:b w:val="0"/>
          <w:sz w:val="20"/>
        </w:rPr>
        <w:t>：添加类型固定为 IP，黑名单值由当前监控记录自动带入且不可编辑；提交前仍需与列表中的风险值核对。</w:t>
      </w:r>
    </w:p>
    <w:p w14:paraId="24187316">
      <w:pPr>
        <w:pStyle w:val="16"/>
        <w:spacing w:after="60" w:line="276" w:lineRule="auto"/>
      </w:pPr>
      <w:r>
        <w:rPr>
          <w:rFonts w:ascii="微软雅黑" w:hAnsi="微软雅黑" w:eastAsia="微软雅黑"/>
          <w:b/>
          <w:color w:val="2F5597"/>
          <w:sz w:val="20"/>
        </w:rPr>
        <w:t>限制与备注</w:t>
      </w:r>
      <w:r>
        <w:rPr>
          <w:rFonts w:ascii="微软雅黑" w:hAnsi="微软雅黑" w:eastAsia="微软雅黑"/>
          <w:b w:val="0"/>
          <w:sz w:val="20"/>
        </w:rPr>
        <w:t>：至少选择冻结或禁止注册之一，并在备注中说明命中规则、关联数量和处理依据；点击确定后记录会同步进入黑名单管理。</w:t>
      </w:r>
    </w:p>
    <w:p w14:paraId="0A0D01A4">
      <w:pPr>
        <w:pStyle w:val="6"/>
        <w:spacing w:after="60" w:line="276" w:lineRule="auto"/>
      </w:pPr>
      <w:r>
        <w:rPr>
          <w:rFonts w:ascii="微软雅黑" w:hAnsi="微软雅黑" w:eastAsia="微软雅黑"/>
          <w:b/>
          <w:i/>
          <w:color w:val="2F5597"/>
          <w:sz w:val="21"/>
        </w:rPr>
        <w:t>设备拉黑</w:t>
      </w:r>
    </w:p>
    <w:p w14:paraId="0467F01D">
      <w:pPr>
        <w:spacing w:after="60" w:line="276" w:lineRule="auto"/>
      </w:pPr>
      <w:r>
        <w:rPr>
          <w:rFonts w:ascii="微软雅黑" w:hAnsi="微软雅黑" w:eastAsia="微软雅黑"/>
          <w:b w:val="0"/>
          <w:sz w:val="20"/>
        </w:rPr>
        <w:t>点击设备记录的设备拉黑后，系统自动带入设备标识，用于阻断该设备继续登录或注册。</w:t>
      </w:r>
    </w:p>
    <w:p w14:paraId="6ED4E527">
      <w:pPr>
        <w:spacing w:after="40"/>
        <w:jc w:val="center"/>
      </w:pPr>
      <w:r>
        <w:drawing>
          <wp:inline distT="0" distB="0" distL="114300" distR="114300">
            <wp:extent cx="4023360" cy="2985770"/>
            <wp:effectExtent l="0" t="0" r="15240" b="508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pic:cNvPicPr>
                      <a:picLocks noChangeAspect="1"/>
                    </pic:cNvPicPr>
                  </pic:nvPicPr>
                  <pic:blipFill>
                    <a:blip r:embed="rId147"/>
                    <a:stretch>
                      <a:fillRect/>
                    </a:stretch>
                  </pic:blipFill>
                  <pic:spPr>
                    <a:xfrm>
                      <a:off x="0" y="0"/>
                      <a:ext cx="4023360" cy="2986227"/>
                    </a:xfrm>
                    <a:prstGeom prst="rect">
                      <a:avLst/>
                    </a:prstGeom>
                  </pic:spPr>
                </pic:pic>
              </a:graphicData>
            </a:graphic>
          </wp:inline>
        </w:drawing>
      </w:r>
    </w:p>
    <w:p w14:paraId="72B41AC1">
      <w:pPr>
        <w:pStyle w:val="15"/>
        <w:spacing w:after="120"/>
        <w:jc w:val="center"/>
      </w:pPr>
      <w:r>
        <w:rPr>
          <w:rFonts w:ascii="微软雅黑" w:hAnsi="微软雅黑" w:eastAsia="微软雅黑"/>
          <w:b w:val="0"/>
          <w:color w:val="707E92"/>
          <w:sz w:val="18"/>
        </w:rPr>
        <w:t>图：设备拉黑弹窗，可对命中的设备设置冻结或禁止注册。</w:t>
      </w:r>
    </w:p>
    <w:p w14:paraId="75BD5660">
      <w:pPr>
        <w:pStyle w:val="16"/>
        <w:spacing w:after="60" w:line="276" w:lineRule="auto"/>
      </w:pPr>
      <w:r>
        <w:rPr>
          <w:rFonts w:ascii="微软雅黑" w:hAnsi="微软雅黑" w:eastAsia="微软雅黑"/>
          <w:b/>
          <w:color w:val="2F5597"/>
          <w:sz w:val="20"/>
        </w:rPr>
        <w:t>带入信息</w:t>
      </w:r>
      <w:r>
        <w:rPr>
          <w:rFonts w:ascii="微软雅黑" w:hAnsi="微软雅黑" w:eastAsia="微软雅黑"/>
          <w:b w:val="0"/>
          <w:sz w:val="20"/>
        </w:rPr>
        <w:t>：添加类型固定为设备，黑名单值不可编辑。设备标识较长时，应核对开头和结尾字符，确认没有选错记录。</w:t>
      </w:r>
    </w:p>
    <w:p w14:paraId="629EA029">
      <w:pPr>
        <w:pStyle w:val="16"/>
        <w:spacing w:after="60" w:line="276" w:lineRule="auto"/>
      </w:pPr>
      <w:r>
        <w:rPr>
          <w:rFonts w:ascii="微软雅黑" w:hAnsi="微软雅黑" w:eastAsia="微软雅黑"/>
          <w:b/>
          <w:color w:val="2F5597"/>
          <w:sz w:val="20"/>
        </w:rPr>
        <w:t>处理影响</w:t>
      </w:r>
      <w:r>
        <w:rPr>
          <w:rFonts w:ascii="微软雅黑" w:hAnsi="微软雅黑" w:eastAsia="微软雅黑"/>
          <w:b w:val="0"/>
          <w:sz w:val="20"/>
        </w:rPr>
        <w:t>：冻结会影响该设备关联账户，禁止注册会阻止设备创建新账号。补充备注后点击确定，后续可在 IP/设备黑名单中修改或移除。</w:t>
      </w:r>
    </w:p>
    <w:p w14:paraId="15AC847D">
      <w:pPr>
        <w:pStyle w:val="6"/>
        <w:spacing w:after="60" w:line="276" w:lineRule="auto"/>
      </w:pPr>
      <w:r>
        <w:rPr>
          <w:rFonts w:ascii="微软雅黑" w:hAnsi="微软雅黑" w:eastAsia="微软雅黑"/>
          <w:b/>
          <w:i/>
          <w:color w:val="2F5597"/>
          <w:sz w:val="21"/>
        </w:rPr>
        <w:t>手动风控处罚</w:t>
      </w:r>
    </w:p>
    <w:p w14:paraId="73A790D8">
      <w:pPr>
        <w:spacing w:after="60" w:line="276" w:lineRule="auto"/>
      </w:pPr>
      <w:r>
        <w:rPr>
          <w:rFonts w:ascii="微软雅黑" w:hAnsi="微软雅黑" w:eastAsia="微软雅黑"/>
          <w:b w:val="0"/>
          <w:sz w:val="20"/>
        </w:rPr>
        <w:t>手动风控处罚用于对自动规则未覆盖或需要人工复核的对象补充处理结论。</w:t>
      </w:r>
    </w:p>
    <w:p w14:paraId="38B8149C">
      <w:pPr>
        <w:spacing w:after="40"/>
        <w:jc w:val="center"/>
      </w:pPr>
      <w:r>
        <w:drawing>
          <wp:inline distT="0" distB="0" distL="114300" distR="114300">
            <wp:extent cx="3840480" cy="2218690"/>
            <wp:effectExtent l="0" t="0" r="7620" b="1016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pic:cNvPicPr>
                      <a:picLocks noChangeAspect="1"/>
                    </pic:cNvPicPr>
                  </pic:nvPicPr>
                  <pic:blipFill>
                    <a:blip r:embed="rId148"/>
                    <a:stretch>
                      <a:fillRect/>
                    </a:stretch>
                  </pic:blipFill>
                  <pic:spPr>
                    <a:xfrm>
                      <a:off x="0" y="0"/>
                      <a:ext cx="3840480" cy="2218747"/>
                    </a:xfrm>
                    <a:prstGeom prst="rect">
                      <a:avLst/>
                    </a:prstGeom>
                  </pic:spPr>
                </pic:pic>
              </a:graphicData>
            </a:graphic>
          </wp:inline>
        </w:drawing>
      </w:r>
    </w:p>
    <w:p w14:paraId="1E5F1857">
      <w:pPr>
        <w:pStyle w:val="15"/>
        <w:spacing w:after="120"/>
        <w:jc w:val="center"/>
      </w:pPr>
      <w:r>
        <w:rPr>
          <w:rFonts w:ascii="微软雅黑" w:hAnsi="微软雅黑" w:eastAsia="微软雅黑"/>
          <w:b w:val="0"/>
          <w:color w:val="707E92"/>
          <w:sz w:val="18"/>
        </w:rPr>
        <w:t>图：手动风控处罚弹窗，用于选择处罚类型并填写处理备注。</w:t>
      </w:r>
    </w:p>
    <w:p w14:paraId="7924BCF5">
      <w:pPr>
        <w:pStyle w:val="16"/>
        <w:spacing w:after="60" w:line="276" w:lineRule="auto"/>
      </w:pPr>
      <w:r>
        <w:rPr>
          <w:rFonts w:ascii="微软雅黑" w:hAnsi="微软雅黑" w:eastAsia="微软雅黑"/>
          <w:b/>
          <w:color w:val="2F5597"/>
          <w:sz w:val="20"/>
        </w:rPr>
        <w:t>处罚类型</w:t>
      </w:r>
      <w:r>
        <w:rPr>
          <w:rFonts w:ascii="微软雅黑" w:hAnsi="微软雅黑" w:eastAsia="微软雅黑"/>
          <w:b w:val="0"/>
          <w:sz w:val="20"/>
        </w:rPr>
        <w:t>：根据风险对象选择正常、冻结账户、限制领取优惠、限制提现或禁止注册。选择正常表示不继续限制，应仅在确认属于正常关联时使用。</w:t>
      </w:r>
    </w:p>
    <w:p w14:paraId="5B018021">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：备注为必填项，应写明核对结果、关联证据和处罚原因；点击提交后结果进入同关联处罚记录，取消不会保存。</w:t>
      </w:r>
    </w:p>
    <w:p w14:paraId="74832CB5">
      <w:pPr>
        <w:pStyle w:val="6"/>
        <w:spacing w:after="60" w:line="276" w:lineRule="auto"/>
      </w:pPr>
      <w:r>
        <w:rPr>
          <w:rFonts w:ascii="微软雅黑" w:hAnsi="微软雅黑" w:eastAsia="微软雅黑"/>
          <w:b/>
          <w:i/>
          <w:color w:val="2F5597"/>
          <w:sz w:val="21"/>
        </w:rPr>
        <w:t>同关联处罚记录</w:t>
      </w:r>
    </w:p>
    <w:p w14:paraId="6A89D42B">
      <w:pPr>
        <w:spacing w:after="60" w:line="276" w:lineRule="auto"/>
      </w:pPr>
      <w:r>
        <w:rPr>
          <w:rFonts w:ascii="微软雅黑" w:hAnsi="微软雅黑" w:eastAsia="微软雅黑"/>
          <w:b w:val="0"/>
          <w:sz w:val="20"/>
        </w:rPr>
        <w:t>同关联处罚记录用于回溯系统自动处罚和人工处罚结果，并支持按案件条件筛选、导出和再次发起人工处理。</w:t>
      </w:r>
    </w:p>
    <w:p w14:paraId="44E85E00">
      <w:pPr>
        <w:spacing w:after="40"/>
        <w:jc w:val="center"/>
      </w:pPr>
      <w:r>
        <w:drawing>
          <wp:inline distT="0" distB="0" distL="114300" distR="114300">
            <wp:extent cx="5852160" cy="2280920"/>
            <wp:effectExtent l="0" t="0" r="15240" b="508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a:picLocks noChangeAspect="1"/>
                    </pic:cNvPicPr>
                  </pic:nvPicPr>
                  <pic:blipFill>
                    <a:blip r:embed="rId149"/>
                    <a:stretch>
                      <a:fillRect/>
                    </a:stretch>
                  </pic:blipFill>
                  <pic:spPr>
                    <a:xfrm>
                      <a:off x="0" y="0"/>
                      <a:ext cx="5852160" cy="2281112"/>
                    </a:xfrm>
                    <a:prstGeom prst="rect">
                      <a:avLst/>
                    </a:prstGeom>
                  </pic:spPr>
                </pic:pic>
              </a:graphicData>
            </a:graphic>
          </wp:inline>
        </w:drawing>
      </w:r>
    </w:p>
    <w:p w14:paraId="0E6E035B">
      <w:pPr>
        <w:pStyle w:val="15"/>
        <w:spacing w:after="120"/>
        <w:jc w:val="center"/>
      </w:pPr>
      <w:r>
        <w:rPr>
          <w:rFonts w:ascii="微软雅黑" w:hAnsi="微软雅黑" w:eastAsia="微软雅黑"/>
          <w:b w:val="0"/>
          <w:color w:val="707E92"/>
          <w:sz w:val="18"/>
        </w:rPr>
        <w:t>图：同关联处罚记录，可查看触发会员、被处罚会员、处罚范围和处理人。</w:t>
      </w:r>
    </w:p>
    <w:p w14:paraId="5BCDBA2D">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：可按时间范围、风控类型、处罚类型、触发会员 ID 和被处罚会员 ID 查询；导出报表前先确认筛选条件和时间口径。</w:t>
      </w:r>
    </w:p>
    <w:p w14:paraId="53C663EC">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：重点核对商户 ID、触发会员、被处罚会员、风险类型、风险值、同关联数量、触发方式、处罚范围、操作员、备注和创建时间，区分系统自动处理与人工处理。</w:t>
      </w:r>
    </w:p>
    <w:p w14:paraId="07611CC0">
      <w:pPr>
        <w:pStyle w:val="16"/>
        <w:spacing w:after="60" w:line="276" w:lineRule="auto"/>
      </w:pPr>
      <w:r>
        <w:rPr>
          <w:rFonts w:ascii="微软雅黑" w:hAnsi="微软雅黑" w:eastAsia="微软雅黑"/>
          <w:b/>
          <w:color w:val="2F5597"/>
          <w:sz w:val="20"/>
        </w:rPr>
        <w:t>再次处理</w:t>
      </w:r>
      <w:r>
        <w:rPr>
          <w:rFonts w:ascii="微软雅黑" w:hAnsi="微软雅黑" w:eastAsia="微软雅黑"/>
          <w:b w:val="0"/>
          <w:sz w:val="20"/>
        </w:rPr>
        <w:t>：行内手动风控处罚可修正或补充处理结果。再次提交前应参考原处罚范围和备注，避免对同一会员重复施加冲突限制。</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6D9F8B8E">
      <w:pPr>
        <w:spacing w:after="60" w:line="276" w:lineRule="auto"/>
      </w:pPr>
      <w:r>
        <w:rPr>
          <w:rFonts w:ascii="微软雅黑" w:hAnsi="微软雅黑" w:eastAsia="微软雅黑"/>
          <w:b w:val="0"/>
          <w:sz w:val="20"/>
        </w:rPr>
        <w:t>游戏获利监控用于识别大额中奖、高倍爆奖和当日获利比异常的会员记录。操作人员可查看实际游戏参数、审核处理状态，并维护监控阈值和提醒频率。</w:t>
      </w:r>
    </w:p>
    <w:p w14:paraId="120F9FEC">
      <w:pPr>
        <w:pStyle w:val="6"/>
        <w:spacing w:after="60" w:line="276" w:lineRule="auto"/>
      </w:pPr>
      <w:r>
        <w:rPr>
          <w:rFonts w:ascii="微软雅黑" w:hAnsi="微软雅黑" w:eastAsia="微软雅黑"/>
          <w:b/>
          <w:i/>
          <w:color w:val="2F5597"/>
          <w:sz w:val="21"/>
        </w:rPr>
        <w:t>监控列表</w:t>
      </w:r>
    </w:p>
    <w:p w14:paraId="6B53AAFC">
      <w:pPr>
        <w:spacing w:after="60" w:line="276" w:lineRule="auto"/>
      </w:pPr>
      <w:r>
        <w:rPr>
          <w:rFonts w:ascii="微软雅黑" w:hAnsi="微软雅黑" w:eastAsia="微软雅黑"/>
          <w:b w:val="0"/>
          <w:sz w:val="20"/>
        </w:rPr>
        <w:t>监控列表集中展示已触发规则的会员，支持按时间、会员、监控类型和状态筛选。</w:t>
      </w:r>
    </w:p>
    <w:p w14:paraId="4DEB54F1">
      <w:pPr>
        <w:spacing w:after="40"/>
        <w:jc w:val="center"/>
      </w:pPr>
      <w:r>
        <w:drawing>
          <wp:inline distT="0" distB="0" distL="114300" distR="114300">
            <wp:extent cx="5852160" cy="1933575"/>
            <wp:effectExtent l="0" t="0" r="1524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a:picLocks noChangeAspect="1"/>
                    </pic:cNvPicPr>
                  </pic:nvPicPr>
                  <pic:blipFill>
                    <a:blip r:embed="rId150"/>
                    <a:stretch>
                      <a:fillRect/>
                    </a:stretch>
                  </pic:blipFill>
                  <pic:spPr>
                    <a:xfrm>
                      <a:off x="0" y="0"/>
                      <a:ext cx="5852160" cy="1933945"/>
                    </a:xfrm>
                    <a:prstGeom prst="rect">
                      <a:avLst/>
                    </a:prstGeom>
                  </pic:spPr>
                </pic:pic>
              </a:graphicData>
            </a:graphic>
          </wp:inline>
        </w:drawing>
      </w:r>
    </w:p>
    <w:p w14:paraId="7793E4BE">
      <w:pPr>
        <w:pStyle w:val="15"/>
        <w:spacing w:after="120"/>
        <w:jc w:val="center"/>
      </w:pPr>
      <w:r>
        <w:rPr>
          <w:rFonts w:ascii="微软雅黑" w:hAnsi="微软雅黑" w:eastAsia="微软雅黑"/>
          <w:b w:val="0"/>
          <w:color w:val="707E92"/>
          <w:sz w:val="18"/>
        </w:rPr>
        <w:t>图：游戏获利监控列表，可查看命中类型、实际参数和审核入口。</w:t>
      </w:r>
    </w:p>
    <w:p w14:paraId="385DB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：可按起止时间、会员 ID、监控类型和状态查询。监控类型包括大额中奖、高倍爆奖和获利比，状态包括待处理、已忽略、已冻结和禁止领取优惠。</w:t>
      </w:r>
    </w:p>
    <w:p w14:paraId="4F72312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ID、触发会员账号、状态、监控类型、操作人、实际参数、备注、更新时间和操作；优先处理待处理记录。</w:t>
      </w:r>
    </w:p>
    <w:p w14:paraId="44DD4BC6">
      <w:pPr>
        <w:pStyle w:val="16"/>
        <w:spacing w:after="60" w:line="276" w:lineRule="auto"/>
      </w:pPr>
      <w:r>
        <w:rPr>
          <w:rFonts w:ascii="微软雅黑" w:hAnsi="微软雅黑" w:eastAsia="微软雅黑"/>
          <w:b/>
          <w:color w:val="2F5597"/>
          <w:sz w:val="20"/>
        </w:rPr>
        <w:t>导出会员账号</w:t>
      </w:r>
      <w:r>
        <w:rPr>
          <w:rFonts w:ascii="微软雅黑" w:hAnsi="微软雅黑" w:eastAsia="微软雅黑"/>
          <w:b w:val="0"/>
          <w:sz w:val="20"/>
        </w:rPr>
        <w:t>：导出前先设置需要的筛选条件，导出结果用于线下复核时应保留筛选时间和监控类型，避免与全量会员名单混用。</w:t>
      </w:r>
    </w:p>
    <w:p w14:paraId="5CA56773">
      <w:pPr>
        <w:pStyle w:val="6"/>
        <w:spacing w:after="60" w:line="276" w:lineRule="auto"/>
      </w:pPr>
      <w:r>
        <w:rPr>
          <w:rFonts w:ascii="微软雅黑" w:hAnsi="微软雅黑" w:eastAsia="微软雅黑"/>
          <w:b/>
          <w:i/>
          <w:color w:val="2F5597"/>
          <w:sz w:val="21"/>
        </w:rPr>
        <w:t>实际参数与审核</w:t>
      </w:r>
    </w:p>
    <w:p w14:paraId="78349842">
      <w:pPr>
        <w:spacing w:after="60" w:line="276" w:lineRule="auto"/>
      </w:pPr>
      <w:r>
        <w:rPr>
          <w:rFonts w:ascii="微软雅黑" w:hAnsi="微软雅黑" w:eastAsia="微软雅黑"/>
          <w:b w:val="0"/>
          <w:sz w:val="20"/>
        </w:rPr>
        <w:t>列表中的查看数据用于核对命中记录的原始游戏参数，审核用于给出最终处理状态。</w:t>
      </w:r>
    </w:p>
    <w:p w14:paraId="63F7BB2E">
      <w:pPr>
        <w:pStyle w:val="16"/>
        <w:spacing w:after="60" w:line="276" w:lineRule="auto"/>
      </w:pPr>
      <w:r>
        <w:rPr>
          <w:rFonts w:ascii="微软雅黑" w:hAnsi="微软雅黑" w:eastAsia="微软雅黑"/>
          <w:b/>
          <w:color w:val="2F5597"/>
          <w:sz w:val="20"/>
        </w:rPr>
        <w:t>实际参数</w:t>
      </w:r>
      <w:r>
        <w:rPr>
          <w:rFonts w:ascii="微软雅黑" w:hAnsi="微软雅黑" w:eastAsia="微软雅黑"/>
          <w:b w:val="0"/>
          <w:sz w:val="20"/>
        </w:rPr>
        <w:t>：点击查看数据后核对下注金额、游戏编码、游戏类型、供应商、记录 ID 和中奖金额，确认命中数据与监控类型一致。</w:t>
      </w:r>
    </w:p>
    <w:p w14:paraId="37F367D8">
      <w:pPr>
        <w:pStyle w:val="16"/>
        <w:spacing w:after="60" w:line="276" w:lineRule="auto"/>
      </w:pPr>
      <w:r>
        <w:rPr>
          <w:rFonts w:ascii="微软雅黑" w:hAnsi="微软雅黑" w:eastAsia="微软雅黑"/>
          <w:b/>
          <w:color w:val="2F5597"/>
          <w:sz w:val="20"/>
        </w:rPr>
        <w:t>审核状态</w:t>
      </w:r>
      <w:r>
        <w:rPr>
          <w:rFonts w:ascii="微软雅黑" w:hAnsi="微软雅黑" w:eastAsia="微软雅黑"/>
          <w:b w:val="0"/>
          <w:sz w:val="20"/>
        </w:rPr>
        <w:t>：点击审核后选择已忽略、已冻结或禁止领取优惠，并填写备注。已忽略适用于确认无风险的记录；限制类状态应在备注中说明证据和处理原因。</w:t>
      </w:r>
    </w:p>
    <w:p w14:paraId="7297F56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：点击提交后列表状态、操作人、备注和更新时间会反映本次处理；提交前应完成实际参数核对，避免仅凭中奖金额直接处罚。</w:t>
      </w:r>
    </w:p>
    <w:p w14:paraId="5763CEF3">
      <w:pPr>
        <w:pStyle w:val="6"/>
        <w:spacing w:after="60" w:line="276" w:lineRule="auto"/>
      </w:pPr>
      <w:r>
        <w:rPr>
          <w:rFonts w:ascii="微软雅黑" w:hAnsi="微软雅黑" w:eastAsia="微软雅黑"/>
          <w:b/>
          <w:i/>
          <w:color w:val="2F5597"/>
          <w:sz w:val="21"/>
        </w:rPr>
        <w:t>监控参数</w:t>
      </w:r>
    </w:p>
    <w:p w14:paraId="308E30BC">
      <w:pPr>
        <w:spacing w:after="60" w:line="276" w:lineRule="auto"/>
      </w:pPr>
      <w:r>
        <w:rPr>
          <w:rFonts w:ascii="微软雅黑" w:hAnsi="微软雅黑" w:eastAsia="微软雅黑"/>
          <w:b w:val="0"/>
          <w:sz w:val="20"/>
        </w:rPr>
        <w:t>监控参数用于设置高倍爆奖、大额中奖、获利比和风控提醒阈值，修改后影响后续新产生的监控记录。</w:t>
      </w:r>
    </w:p>
    <w:p w14:paraId="103DE0A3">
      <w:pPr>
        <w:spacing w:after="40"/>
        <w:jc w:val="center"/>
      </w:pPr>
      <w:r>
        <w:drawing>
          <wp:inline distT="0" distB="0" distL="114300" distR="114300">
            <wp:extent cx="5394960" cy="2501900"/>
            <wp:effectExtent l="0" t="0" r="15240" b="1270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pic:cNvPicPr>
                      <a:picLocks noChangeAspect="1"/>
                    </pic:cNvPicPr>
                  </pic:nvPicPr>
                  <pic:blipFill>
                    <a:blip r:embed="rId151"/>
                    <a:stretch>
                      <a:fillRect/>
                    </a:stretch>
                  </pic:blipFill>
                  <pic:spPr>
                    <a:xfrm>
                      <a:off x="0" y="0"/>
                      <a:ext cx="5394960" cy="2502010"/>
                    </a:xfrm>
                    <a:prstGeom prst="rect">
                      <a:avLst/>
                    </a:prstGeom>
                  </pic:spPr>
                </pic:pic>
              </a:graphicData>
            </a:graphic>
          </wp:inline>
        </w:drawing>
      </w:r>
    </w:p>
    <w:p w14:paraId="0E66059B">
      <w:pPr>
        <w:pStyle w:val="15"/>
        <w:spacing w:after="120"/>
        <w:jc w:val="center"/>
      </w:pPr>
      <w:r>
        <w:rPr>
          <w:rFonts w:ascii="微软雅黑" w:hAnsi="微软雅黑" w:eastAsia="微软雅黑"/>
          <w:b w:val="0"/>
          <w:color w:val="707E92"/>
          <w:sz w:val="18"/>
        </w:rPr>
        <w:t>图：监控参数弹窗，可配置中奖、获利比和提醒间隔。</w:t>
      </w:r>
    </w:p>
    <w:p w14:paraId="1BF0DA63">
      <w:pPr>
        <w:pStyle w:val="16"/>
        <w:spacing w:after="60" w:line="276" w:lineRule="auto"/>
      </w:pPr>
      <w:r>
        <w:rPr>
          <w:rFonts w:ascii="微软雅黑" w:hAnsi="微软雅黑" w:eastAsia="微软雅黑"/>
          <w:b/>
          <w:color w:val="2F5597"/>
          <w:sz w:val="20"/>
        </w:rPr>
        <w:t>高倍爆奖与大额中奖</w:t>
      </w:r>
      <w:r>
        <w:rPr>
          <w:rFonts w:ascii="微软雅黑" w:hAnsi="微软雅黑" w:eastAsia="微软雅黑"/>
          <w:b w:val="0"/>
          <w:sz w:val="20"/>
        </w:rPr>
        <w:t>：开启高倍爆奖后设置爆奖倍数和中奖金额，系统同时按大额中奖阈值识别高额记录；关闭开关后相关联参数不参与触发。</w:t>
      </w:r>
    </w:p>
    <w:p w14:paraId="782526DB">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：开启获利比后维护当日会员获利比和当日获利比触发额度值，两个条件共同控制异常获利记录的命中范围。</w:t>
      </w:r>
    </w:p>
    <w:p w14:paraId="49DD4F2B">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：开启提醒后设置提醒间隔时间，单位为秒。间隔过短会增加通知频率，过长可能延迟处理，应按值班响应要求设置。</w:t>
      </w:r>
    </w:p>
    <w:p w14:paraId="37EDC3BF">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：提交前复核开关、金额、比例和时间单位，并记录调整原因；取消或关闭弹窗不会保存本次修改。</w:t>
      </w:r>
    </w:p>
    <w:p w14:paraId="39A02A3E">
      <w:pPr>
        <w:pStyle w:val="3"/>
        <w:keepNext/>
        <w:spacing w:before="360" w:after="240" w:line="276" w:lineRule="auto"/>
      </w:pPr>
      <w:r>
        <w:rPr>
          <w:rFonts w:ascii="微软雅黑" w:hAnsi="微软雅黑" w:eastAsia="微软雅黑"/>
          <w:b/>
          <w:i w:val="0"/>
          <w:color w:val="254061"/>
          <w:sz w:val="30"/>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52"/>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53"/>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54"/>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55"/>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6"/>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57"/>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58"/>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59"/>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60"/>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61"/>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54061"/>
          <w:sz w:val="30"/>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62"/>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63"/>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64"/>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65"/>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54061"/>
          <w:sz w:val="30"/>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66"/>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67"/>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Microsoft YaHei" w:hAnsi="Microsoft YaHei" w:eastAsia="Microsoft YaHei"/>
          <w:b/>
          <w:i w:val="0"/>
          <w:color w:val="2F5597"/>
          <w:sz w:val="28"/>
        </w:rPr>
        <w:t>十六、典型业务流程</w:t>
      </w:r>
    </w:p>
    <w:p>
      <w:pPr>
        <w:pStyle w:val="4"/>
        <w:spacing w:after="60" w:line="276" w:lineRule="auto"/>
      </w:pPr>
      <w:r>
        <w:rPr>
          <w:rFonts w:ascii="Microsoft YaHei" w:hAnsi="Microsoft YaHei" w:eastAsia="Microsoft YaHei"/>
          <w:b/>
          <w:color w:val="2F5597"/>
          <w:sz w:val="25"/>
        </w:rPr>
        <w:t>新站点上线流程</w:t>
      </w:r>
    </w:p>
    <w:p>
      <w:pPr>
        <w:pStyle w:val="14"/>
        <w:spacing w:after="60" w:line="276" w:lineRule="auto"/>
      </w:pPr>
      <w:r>
        <w:rPr>
          <w:rFonts w:ascii="Microsoft YaHei" w:hAnsi="Microsoft YaHei" w:eastAsia="Microsoft YaHei"/>
          <w:b w:val="0"/>
          <w:sz w:val="20"/>
        </w:rPr>
        <w:t>进入站点配置，完成模板管理、站点配置、品牌、域名、客服、分享、登录和支付相关配置。</w:t>
      </w:r>
    </w:p>
    <w:p>
      <w:pPr>
        <w:pStyle w:val="14"/>
        <w:spacing w:after="60" w:line="276" w:lineRule="auto"/>
      </w:pPr>
      <w:r>
        <w:rPr>
          <w:rFonts w:ascii="Microsoft YaHei" w:hAnsi="Microsoft YaHei" w:eastAsia="Microsoft YaHei"/>
          <w:b w:val="0"/>
          <w:sz w:val="20"/>
        </w:rPr>
        <w:t>检查首页、登录、充值、客服、活动入口和分享入口。</w:t>
      </w:r>
    </w:p>
    <w:p>
      <w:pPr>
        <w:pStyle w:val="14"/>
        <w:spacing w:after="60" w:line="276" w:lineRule="auto"/>
      </w:pPr>
      <w:r>
        <w:rPr>
          <w:rFonts w:ascii="Microsoft YaHei" w:hAnsi="Microsoft YaHei" w:eastAsia="Microsoft YaHei"/>
          <w:b w:val="0"/>
          <w:sz w:val="20"/>
        </w:rPr>
        <w:t>上线后通过首页看板、数据报表和异常日志观察运行状态。</w:t>
      </w:r>
    </w:p>
    <w:p>
      <w:pPr>
        <w:pStyle w:val="4"/>
        <w:spacing w:after="60" w:line="276" w:lineRule="auto"/>
      </w:pPr>
      <w:r>
        <w:rPr>
          <w:rFonts w:ascii="Microsoft YaHei" w:hAnsi="Microsoft YaHei" w:eastAsia="Microsoft YaHei"/>
          <w:b/>
          <w:color w:val="2F5597"/>
          <w:sz w:val="25"/>
        </w:rPr>
        <w:t>新增推广渠道并查看推广效果</w:t>
      </w:r>
    </w:p>
    <w:p>
      <w:pPr>
        <w:pStyle w:val="14"/>
        <w:spacing w:after="60" w:line="276" w:lineRule="auto"/>
      </w:pPr>
      <w:r>
        <w:rPr>
          <w:rFonts w:ascii="Microsoft YaHei" w:hAnsi="Microsoft YaHei" w:eastAsia="Microsoft YaHei"/>
          <w:b w:val="0"/>
          <w:sz w:val="20"/>
        </w:rPr>
        <w:t>进入站点配置 &gt; 站点域名，切换到“推广域名”页签，点击“新增”，选择实际使用的 CDN 节点并填写推广主域名后提交。提交前检查域名拼写、后缀和重复项，避免把正式投放域名添加到错误节点。</w:t>
      </w:r>
    </w:p>
    <w:p>
      <w:pPr>
        <w:pStyle w:val="14"/>
        <w:spacing w:after="60" w:line="276" w:lineRule="auto"/>
      </w:pPr>
      <w:r>
        <w:rPr>
          <w:rFonts w:ascii="Microsoft YaHei" w:hAnsi="Microsoft YaHei" w:eastAsia="Microsoft YaHei"/>
          <w:b w:val="0"/>
          <w:sz w:val="20"/>
        </w:rPr>
        <w:t>按列表展示的 NS 地址在域名服务商完成解析，等待主域名验证通过；随后为该推广域名绑定目标站点和落地页模板，确认域名状态、站点、模板及过期时间无误后启用。启用前用浏览器直接访问域名，确认能够打开正确落地页且跳转链路正常。</w:t>
      </w:r>
    </w:p>
    <w:p>
      <w:pPr>
        <w:pStyle w:val="14"/>
        <w:spacing w:after="60" w:line="276" w:lineRule="auto"/>
      </w:pPr>
      <w:r>
        <w:rPr>
          <w:rFonts w:ascii="Microsoft YaHei" w:hAnsi="Microsoft YaHei" w:eastAsia="Microsoft YaHei"/>
          <w:b w:val="0"/>
          <w:sz w:val="20"/>
        </w:rPr>
        <w:t>进入站点配置 &gt; 广告埋点配置，点击“新增”，填写渠道名称，选择刚启用的落地页域名，配置跳转地址和渠道类型。Facebook、Google 等渠道按投放平台填写像素 ID；Adjust 等归因渠道按实际入口填写安装类型以及注册、首充、复充事件标识，完成后提交。</w:t>
      </w:r>
    </w:p>
    <w:p>
      <w:pPr>
        <w:pStyle w:val="14"/>
        <w:spacing w:after="60" w:line="276" w:lineRule="auto"/>
      </w:pPr>
      <w:r>
        <w:rPr>
          <w:rFonts w:ascii="Microsoft YaHei" w:hAnsi="Microsoft YaHei" w:eastAsia="Microsoft YaHei"/>
          <w:b w:val="0"/>
          <w:sz w:val="20"/>
        </w:rPr>
        <w:t>返回广告埋点配置列表，记录系统生成的渠道编码，复核渠道名称、渠道类型、落地页域名、跳转地址及平台参数。正式投放前使用测试链接完成一次访问、注册及可执行的转化测试，确认落地页可访问、渠道能够归因，且广告平台能收到对应事件。</w:t>
      </w:r>
    </w:p>
    <w:p>
      <w:pPr>
        <w:pStyle w:val="14"/>
        <w:spacing w:after="60" w:line="276" w:lineRule="auto"/>
      </w:pPr>
      <w:r>
        <w:rPr>
          <w:rFonts w:ascii="Microsoft YaHei" w:hAnsi="Microsoft YaHei" w:eastAsia="Microsoft YaHei"/>
          <w:b w:val="0"/>
          <w:sz w:val="20"/>
        </w:rPr>
        <w:t>产生推广数据后，进入投放管理 &gt; 渠道报表，选择与投放周期一致的日期范围，并按渠道、媒体和广告链接筛选后点击“查询”。重点查看访问人数、新增、注册转化率、PWA 安装数、首充人数、访问-首充转化率、注册-首充转化率、充值金额、充提差、有效投注额以及次日、3 日、7 日复充占比。</w:t>
      </w:r>
    </w:p>
    <w:p>
      <w:pPr>
        <w:pStyle w:val="14"/>
        <w:spacing w:after="60" w:line="276" w:lineRule="auto"/>
      </w:pPr>
      <w:r>
        <w:rPr>
          <w:rFonts w:ascii="Microsoft YaHei" w:hAnsi="Microsoft YaHei" w:eastAsia="Microsoft YaHei"/>
          <w:b w:val="0"/>
          <w:sz w:val="20"/>
        </w:rPr>
        <w:t>点击渠道报表操作列的“查看明细”，按日期定位流量或转化波动，并核对渠道、媒体、广告链接和日期范围是否与当前投放批次一致。需要评估成本和 ROI 时，先在广告消耗数据中补录同一渠道、同一日期的实际消耗，再到投放数据报表查看注册成本、充值成本和各回收周期 ROI；复充和周期 ROI 尚未到观察期时不要提前下结论。</w:t>
      </w:r>
    </w:p>
    <w:p>
      <w:pPr>
        <w:pStyle w:val="4"/>
        <w:spacing w:after="60" w:line="276" w:lineRule="auto"/>
      </w:pPr>
      <w:r>
        <w:rPr>
          <w:rFonts w:ascii="Microsoft YaHei" w:hAnsi="Microsoft YaHei" w:eastAsia="Microsoft YaHei"/>
          <w:b/>
          <w:color w:val="2F5597"/>
          <w:sz w:val="25"/>
        </w:rPr>
        <w:t>发布活动流程</w:t>
      </w:r>
    </w:p>
    <w:p>
      <w:pPr>
        <w:pStyle w:val="14"/>
        <w:spacing w:after="60" w:line="276" w:lineRule="auto"/>
      </w:pPr>
      <w:r>
        <w:rPr>
          <w:rFonts w:ascii="Microsoft YaHei" w:hAnsi="Microsoft YaHei" w:eastAsia="Microsoft YaHei"/>
          <w:b w:val="0"/>
          <w:sz w:val="20"/>
        </w:rPr>
        <w:t>进入优惠活动，创建或编辑活动规则。</w:t>
      </w:r>
    </w:p>
    <w:p>
      <w:pPr>
        <w:pStyle w:val="14"/>
        <w:spacing w:after="60" w:line="276" w:lineRule="auto"/>
      </w:pPr>
      <w:r>
        <w:rPr>
          <w:rFonts w:ascii="Microsoft YaHei" w:hAnsi="Microsoft YaHei" w:eastAsia="Microsoft YaHei"/>
          <w:b w:val="0"/>
          <w:sz w:val="20"/>
        </w:rPr>
        <w:t>检查活动展示入口、票券或任务关联、预算、领取限制和目标人群。</w:t>
      </w:r>
    </w:p>
    <w:p>
      <w:pPr>
        <w:pStyle w:val="14"/>
        <w:spacing w:after="60" w:line="276" w:lineRule="auto"/>
      </w:pPr>
      <w:r>
        <w:rPr>
          <w:rFonts w:ascii="Microsoft YaHei" w:hAnsi="Microsoft YaHei" w:eastAsia="Microsoft YaHei"/>
          <w:b w:val="0"/>
          <w:sz w:val="20"/>
        </w:rPr>
        <w:t>上线后通过活动报表、优惠数据报表和用户分析跟踪效果。</w:t>
      </w:r>
    </w:p>
    <w:p>
      <w:pPr>
        <w:pStyle w:val="4"/>
        <w:spacing w:after="60" w:line="276" w:lineRule="auto"/>
      </w:pPr>
      <w:r>
        <w:rPr>
          <w:rFonts w:ascii="Microsoft YaHei" w:hAnsi="Microsoft YaHei" w:eastAsia="Microsoft YaHei"/>
          <w:b/>
          <w:color w:val="2F5597"/>
          <w:sz w:val="25"/>
        </w:rPr>
        <w:t>处理提现流程</w:t>
      </w:r>
    </w:p>
    <w:p>
      <w:pPr>
        <w:pStyle w:val="14"/>
        <w:spacing w:after="60" w:line="276" w:lineRule="auto"/>
      </w:pPr>
      <w:r>
        <w:rPr>
          <w:rFonts w:ascii="Microsoft YaHei" w:hAnsi="Microsoft YaHei" w:eastAsia="Microsoft YaHei"/>
          <w:b w:val="0"/>
          <w:sz w:val="20"/>
        </w:rPr>
        <w:t>进入财务中心的提现订单列表，筛选待审核或处理中订单。</w:t>
      </w:r>
    </w:p>
    <w:p>
      <w:pPr>
        <w:pStyle w:val="14"/>
        <w:spacing w:after="60" w:line="276" w:lineRule="auto"/>
      </w:pPr>
      <w:r>
        <w:rPr>
          <w:rFonts w:ascii="Microsoft YaHei" w:hAnsi="Microsoft YaHei" w:eastAsia="Microsoft YaHei"/>
          <w:b w:val="0"/>
          <w:sz w:val="20"/>
        </w:rPr>
        <w:t>核对会员、金额、账户、打码、风控提示和历史资金记录。</w:t>
      </w:r>
    </w:p>
    <w:p>
      <w:pPr>
        <w:pStyle w:val="14"/>
        <w:spacing w:after="60" w:line="276" w:lineRule="auto"/>
      </w:pPr>
      <w:r>
        <w:rPr>
          <w:rFonts w:ascii="Microsoft YaHei" w:hAnsi="Microsoft YaHei" w:eastAsia="Microsoft YaHei"/>
          <w:b w:val="0"/>
          <w:sz w:val="20"/>
        </w:rPr>
        <w:t>无异常时通过；存在风险时转入提现风控审核或驳回，并填写处理原因。</w:t>
      </w:r>
    </w:p>
    <w:p>
      <w:pPr>
        <w:pStyle w:val="4"/>
        <w:spacing w:after="60" w:line="276" w:lineRule="auto"/>
      </w:pPr>
      <w:r>
        <w:rPr>
          <w:rFonts w:ascii="Microsoft YaHei" w:hAnsi="Microsoft YaHei" w:eastAsia="Microsoft YaHei"/>
          <w:b/>
          <w:color w:val="2F5597"/>
          <w:sz w:val="25"/>
        </w:rPr>
        <w:t>排查用户资金问题</w:t>
      </w:r>
    </w:p>
    <w:p>
      <w:pPr>
        <w:pStyle w:val="14"/>
        <w:spacing w:after="60" w:line="276" w:lineRule="auto"/>
      </w:pPr>
      <w:r>
        <w:rPr>
          <w:rFonts w:ascii="Microsoft YaHei" w:hAnsi="Microsoft YaHei" w:eastAsia="Microsoft YaHei"/>
          <w:b w:val="0"/>
          <w:sz w:val="20"/>
        </w:rPr>
        <w:t>进入用户管理定位会员，或进入财务中心账变记录筛选会员账号。</w:t>
      </w:r>
    </w:p>
    <w:p>
      <w:pPr>
        <w:pStyle w:val="14"/>
        <w:spacing w:after="60" w:line="276" w:lineRule="auto"/>
      </w:pPr>
      <w:r>
        <w:rPr>
          <w:rFonts w:ascii="Microsoft YaHei" w:hAnsi="Microsoft YaHei" w:eastAsia="Microsoft YaHei"/>
          <w:b w:val="0"/>
          <w:sz w:val="20"/>
        </w:rPr>
        <w:t>结合充值订单、提现订单、人工加扣款和账变记录核对完整资金链路。</w:t>
      </w:r>
    </w:p>
    <w:p>
      <w:pPr>
        <w:pStyle w:val="14"/>
        <w:spacing w:after="60" w:line="276" w:lineRule="auto"/>
      </w:pPr>
      <w:r>
        <w:rPr>
          <w:rFonts w:ascii="Microsoft YaHei" w:hAnsi="Microsoft YaHei" w:eastAsia="Microsoft YaHei"/>
          <w:b w:val="0"/>
          <w:sz w:val="20"/>
        </w:rPr>
        <w:t>需要追责时进入人事中心的管理员操作日志查询相关操作。</w:t>
      </w:r>
    </w:p>
    <w:p>
      <w:pPr>
        <w:pStyle w:val="4"/>
        <w:spacing w:after="60" w:line="276" w:lineRule="auto"/>
      </w:pPr>
      <w:r>
        <w:rPr>
          <w:rFonts w:ascii="Microsoft YaHei" w:hAnsi="Microsoft YaHei" w:eastAsia="Microsoft YaHei"/>
          <w:b/>
          <w:color w:val="2F5597"/>
          <w:sz w:val="25"/>
        </w:rPr>
        <w:t>查看活动效果</w:t>
      </w:r>
    </w:p>
    <w:p>
      <w:pPr>
        <w:pStyle w:val="14"/>
        <w:spacing w:after="60" w:line="276" w:lineRule="auto"/>
      </w:pPr>
      <w:r>
        <w:rPr>
          <w:rFonts w:ascii="Microsoft YaHei" w:hAnsi="Microsoft YaHei" w:eastAsia="Microsoft YaHei"/>
          <w:b w:val="0"/>
          <w:sz w:val="20"/>
        </w:rPr>
        <w:t>固定活动名称、统计时间和渠道范围。</w:t>
      </w:r>
    </w:p>
    <w:p>
      <w:pPr>
        <w:pStyle w:val="14"/>
        <w:spacing w:after="60" w:line="276" w:lineRule="auto"/>
      </w:pPr>
      <w:r>
        <w:rPr>
          <w:rFonts w:ascii="Microsoft YaHei" w:hAnsi="Microsoft YaHei" w:eastAsia="Microsoft YaHei"/>
          <w:b w:val="0"/>
          <w:sz w:val="20"/>
        </w:rPr>
        <w:t>查看优惠活动、数据报表中的活动相关报表。</w:t>
      </w:r>
    </w:p>
    <w:p>
      <w:pPr>
        <w:pStyle w:val="14"/>
        <w:spacing w:after="60" w:line="276" w:lineRule="auto"/>
      </w:pPr>
      <w:r>
        <w:rPr>
          <w:rFonts w:ascii="Microsoft YaHei" w:hAnsi="Microsoft YaHei" w:eastAsia="Microsoft YaHei"/>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54061"/>
          <w:sz w:val="30"/>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37D56E7"/>
    <w:rsid w:val="046225D4"/>
    <w:rsid w:val="04EB48D3"/>
    <w:rsid w:val="055264CB"/>
    <w:rsid w:val="05956E55"/>
    <w:rsid w:val="068766C3"/>
    <w:rsid w:val="07320DB8"/>
    <w:rsid w:val="0A5D486A"/>
    <w:rsid w:val="0C2706CA"/>
    <w:rsid w:val="0FE06DEA"/>
    <w:rsid w:val="0FFB4C2D"/>
    <w:rsid w:val="101C69A6"/>
    <w:rsid w:val="101F1033"/>
    <w:rsid w:val="125E4B0E"/>
    <w:rsid w:val="14A60D00"/>
    <w:rsid w:val="152B4B8D"/>
    <w:rsid w:val="15F63412"/>
    <w:rsid w:val="16921052"/>
    <w:rsid w:val="16F51B55"/>
    <w:rsid w:val="17F0696C"/>
    <w:rsid w:val="183B3024"/>
    <w:rsid w:val="18A063E0"/>
    <w:rsid w:val="18FA3DCE"/>
    <w:rsid w:val="1E20265C"/>
    <w:rsid w:val="1EBC22D2"/>
    <w:rsid w:val="259865AB"/>
    <w:rsid w:val="25E47275"/>
    <w:rsid w:val="274033B7"/>
    <w:rsid w:val="278C2CA5"/>
    <w:rsid w:val="27952750"/>
    <w:rsid w:val="292E4107"/>
    <w:rsid w:val="29C87436"/>
    <w:rsid w:val="2E532A1D"/>
    <w:rsid w:val="2F067A90"/>
    <w:rsid w:val="2F885AC1"/>
    <w:rsid w:val="2F9F1E86"/>
    <w:rsid w:val="308E051A"/>
    <w:rsid w:val="30956DDA"/>
    <w:rsid w:val="35773495"/>
    <w:rsid w:val="368F18C6"/>
    <w:rsid w:val="37092813"/>
    <w:rsid w:val="38A20FFB"/>
    <w:rsid w:val="398E654D"/>
    <w:rsid w:val="39F42038"/>
    <w:rsid w:val="3AEF22C6"/>
    <w:rsid w:val="3B62700C"/>
    <w:rsid w:val="412B4769"/>
    <w:rsid w:val="41E225DE"/>
    <w:rsid w:val="428608CB"/>
    <w:rsid w:val="43330444"/>
    <w:rsid w:val="449F4114"/>
    <w:rsid w:val="452B5AB9"/>
    <w:rsid w:val="455B5419"/>
    <w:rsid w:val="4714323A"/>
    <w:rsid w:val="482B7710"/>
    <w:rsid w:val="48E318B7"/>
    <w:rsid w:val="49B30070"/>
    <w:rsid w:val="49BA49B4"/>
    <w:rsid w:val="4B5A0B07"/>
    <w:rsid w:val="4B6605E7"/>
    <w:rsid w:val="4E892E94"/>
    <w:rsid w:val="4F407994"/>
    <w:rsid w:val="50083210"/>
    <w:rsid w:val="5069664D"/>
    <w:rsid w:val="507C3DBA"/>
    <w:rsid w:val="52307FE4"/>
    <w:rsid w:val="53085448"/>
    <w:rsid w:val="53F35F85"/>
    <w:rsid w:val="55E05DF0"/>
    <w:rsid w:val="578C750D"/>
    <w:rsid w:val="57C3279B"/>
    <w:rsid w:val="57D1301F"/>
    <w:rsid w:val="57E51EF8"/>
    <w:rsid w:val="58B57261"/>
    <w:rsid w:val="58CF0BA1"/>
    <w:rsid w:val="5965538A"/>
    <w:rsid w:val="59C16051"/>
    <w:rsid w:val="5A42010F"/>
    <w:rsid w:val="5DB26AD9"/>
    <w:rsid w:val="5F465A0D"/>
    <w:rsid w:val="60BD3BA3"/>
    <w:rsid w:val="61CD7A3C"/>
    <w:rsid w:val="61DB474F"/>
    <w:rsid w:val="62C54933"/>
    <w:rsid w:val="63155CA2"/>
    <w:rsid w:val="65674A25"/>
    <w:rsid w:val="656D1A8A"/>
    <w:rsid w:val="65915161"/>
    <w:rsid w:val="68845FAE"/>
    <w:rsid w:val="69765236"/>
    <w:rsid w:val="6AD35998"/>
    <w:rsid w:val="6E1353FB"/>
    <w:rsid w:val="6E5F3FAE"/>
    <w:rsid w:val="6E8D0303"/>
    <w:rsid w:val="6F374E0B"/>
    <w:rsid w:val="70546B19"/>
    <w:rsid w:val="72EE6907"/>
    <w:rsid w:val="73994726"/>
    <w:rsid w:val="74FE2F66"/>
    <w:rsid w:val="79F022DC"/>
    <w:rsid w:val="7BEB3862"/>
    <w:rsid w:val="7C036EFB"/>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54061"/>
      <w:sz w:val="3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0" Type="http://schemas.openxmlformats.org/officeDocument/2006/relationships/fontTable" Target="fontTable.xml"/><Relationship Id="rId17" Type="http://schemas.openxmlformats.org/officeDocument/2006/relationships/image" Target="media/image10.png"/><Relationship Id="rId169" Type="http://schemas.openxmlformats.org/officeDocument/2006/relationships/customXml" Target="../customXml/item1.xml"/><Relationship Id="rId168" Type="http://schemas.openxmlformats.org/officeDocument/2006/relationships/numbering" Target="numbering.xml"/><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158</Pages>
  <Words>21003</Words>
  <Characters>21950</Characters>
  <Lines>0</Lines>
  <Paragraphs>0</Paragraphs>
  <TotalTime>1</TotalTime>
  <ScaleCrop>false</ScaleCrop>
  <LinksUpToDate>false</LinksUpToDate>
  <CharactersWithSpaces>22205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2026-07-15T07:41:27Z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