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6391275" cy="1407160"/>
                    </a:xfrm>
                    <a:prstGeom prst="rect">
                      <a:avLst/>
                    </a:prstGeom>
                    <a:noFill/>
                    <a:ln>
                      <a:noFill/>
                    </a:ln>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40" w:line="276" w:lineRule="auto"/>
        <w:ind w:leftChars="0"/>
      </w:pPr>
    </w:p>
    <w:p w14:paraId="28C20023">
      <w:pPr>
        <w:pStyle w:val="6"/>
        <w:spacing w:after="80"/>
      </w:pPr>
      <w:r>
        <w:rPr>
          <w:rFonts w:ascii="微软雅黑" w:hAnsi="微软雅黑" w:eastAsia="微软雅黑"/>
          <w:b/>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3"/>
                    <a:stretch>
                      <a:fillRect/>
                    </a:stretch>
                  </pic:blipFill>
                  <pic:spPr>
                    <a:xfrm>
                      <a:off x="0" y="0"/>
                      <a:ext cx="5897880" cy="1806758"/>
                    </a:xfrm>
                    <a:prstGeom prst="rect">
                      <a:avLst/>
                    </a:prstGeom>
                  </pic:spPr>
                </pic:pic>
              </a:graphicData>
            </a:graphic>
          </wp:inline>
        </w:drawing>
      </w:r>
    </w:p>
    <w:p w14:paraId="47811C09">
      <w:pPr>
        <w:pStyle w:val="15"/>
        <w:spacing w:after="120"/>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4"/>
                    <a:stretch>
                      <a:fillRect/>
                    </a:stretch>
                  </pic:blipFill>
                  <pic:spPr>
                    <a:xfrm>
                      <a:off x="0" y="0"/>
                      <a:ext cx="6395720" cy="2598420"/>
                    </a:xfrm>
                    <a:prstGeom prst="rect">
                      <a:avLst/>
                    </a:prstGeom>
                    <a:noFill/>
                    <a:ln>
                      <a:noFill/>
                    </a:ln>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5"/>
                    <a:stretch>
                      <a:fillRect/>
                    </a:stretch>
                  </pic:blipFill>
                  <pic:spPr>
                    <a:xfrm>
                      <a:off x="0" y="0"/>
                      <a:ext cx="6388100" cy="1395730"/>
                    </a:xfrm>
                    <a:prstGeom prst="rect">
                      <a:avLst/>
                    </a:prstGeom>
                    <a:noFill/>
                    <a:ln>
                      <a:noFill/>
                    </a:ln>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6"/>
                    <a:stretch>
                      <a:fillRect/>
                    </a:stretch>
                  </pic:blipFill>
                  <pic:spPr>
                    <a:xfrm>
                      <a:off x="0" y="0"/>
                      <a:ext cx="6398260" cy="1381760"/>
                    </a:xfrm>
                    <a:prstGeom prst="rect">
                      <a:avLst/>
                    </a:prstGeom>
                    <a:noFill/>
                    <a:ln>
                      <a:noFill/>
                    </a:ln>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3"/>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28"/>
                    <a:stretch>
                      <a:fillRect/>
                    </a:stretch>
                  </pic:blipFill>
                  <pic:spPr>
                    <a:xfrm>
                      <a:off x="0" y="0"/>
                      <a:ext cx="6395720" cy="3333115"/>
                    </a:xfrm>
                    <a:prstGeom prst="rect">
                      <a:avLst/>
                    </a:prstGeom>
                    <a:noFill/>
                    <a:ln>
                      <a:noFill/>
                    </a:ln>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29"/>
                    <a:stretch>
                      <a:fillRect/>
                    </a:stretch>
                  </pic:blipFill>
                  <pic:spPr>
                    <a:xfrm>
                      <a:off x="0" y="0"/>
                      <a:ext cx="6393180" cy="3228340"/>
                    </a:xfrm>
                    <a:prstGeom prst="rect">
                      <a:avLst/>
                    </a:prstGeom>
                    <a:noFill/>
                    <a:ln>
                      <a:noFill/>
                    </a:ln>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0"/>
                    <a:stretch>
                      <a:fillRect/>
                    </a:stretch>
                  </pic:blipFill>
                  <pic:spPr>
                    <a:xfrm>
                      <a:off x="0" y="0"/>
                      <a:ext cx="6400800" cy="6045835"/>
                    </a:xfrm>
                    <a:prstGeom prst="rect">
                      <a:avLst/>
                    </a:prstGeom>
                    <a:noFill/>
                    <a:ln>
                      <a:noFill/>
                    </a:ln>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39D862D5">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14:paraId="1E20F9F4">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14:paraId="5B0E71D8">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F91BA65">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2"/>
                    <a:stretch>
                      <a:fillRect/>
                    </a:stretch>
                  </pic:blipFill>
                  <pic:spPr>
                    <a:xfrm>
                      <a:off x="0" y="0"/>
                      <a:ext cx="5806440" cy="1688000"/>
                    </a:xfrm>
                    <a:prstGeom prst="rect">
                      <a:avLst/>
                    </a:prstGeom>
                  </pic:spPr>
                </pic:pic>
              </a:graphicData>
            </a:graphic>
          </wp:inline>
        </w:drawing>
      </w:r>
    </w:p>
    <w:p w14:paraId="25715291">
      <w:pPr>
        <w:jc w:val="center"/>
      </w:pPr>
      <w:r>
        <w:rPr>
          <w:rFonts w:ascii="微软雅黑" w:hAnsi="微软雅黑" w:eastAsia="微软雅黑"/>
          <w:b w:val="0"/>
          <w:color w:val="707E92"/>
          <w:sz w:val="18"/>
        </w:rPr>
        <w:t>图：支付通道配置列表。</w:t>
      </w:r>
    </w:p>
    <w:p w14:paraId="76D74203">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3"/>
                    <a:stretch>
                      <a:fillRect/>
                    </a:stretch>
                  </pic:blipFill>
                  <pic:spPr>
                    <a:xfrm>
                      <a:off x="0" y="0"/>
                      <a:ext cx="5806440" cy="6962225"/>
                    </a:xfrm>
                    <a:prstGeom prst="rect">
                      <a:avLst/>
                    </a:prstGeom>
                  </pic:spPr>
                </pic:pic>
              </a:graphicData>
            </a:graphic>
          </wp:inline>
        </w:drawing>
      </w:r>
    </w:p>
    <w:p w14:paraId="037C3945">
      <w:pPr>
        <w:jc w:val="center"/>
      </w:pPr>
      <w:r>
        <w:rPr>
          <w:rFonts w:ascii="微软雅黑" w:hAnsi="微软雅黑" w:eastAsia="微软雅黑"/>
          <w:b w:val="0"/>
          <w:color w:val="707E92"/>
          <w:sz w:val="18"/>
        </w:rPr>
        <w:t>图：新增在线支付平台参数配置。</w:t>
      </w:r>
    </w:p>
    <w:p w14:paraId="2287D100">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4"/>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7"/>
                    <a:stretch>
                      <a:fillRect/>
                    </a:stretch>
                  </pic:blipFill>
                  <pic:spPr>
                    <a:xfrm>
                      <a:off x="0" y="0"/>
                      <a:ext cx="5943600" cy="2228850"/>
                    </a:xfrm>
                    <a:prstGeom prst="rect">
                      <a:avLst/>
                    </a:prstGeom>
                  </pic:spPr>
                </pic:pic>
              </a:graphicData>
            </a:graphic>
          </wp:inline>
        </w:drawing>
      </w:r>
    </w:p>
    <w:p w14:paraId="7D493B5F">
      <w:pPr>
        <w:pStyle w:val="15"/>
        <w:spacing w:after="120"/>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8"/>
                    <a:stretch>
                      <a:fillRect/>
                    </a:stretch>
                  </pic:blipFill>
                  <pic:spPr>
                    <a:xfrm>
                      <a:off x="0" y="0"/>
                      <a:ext cx="5897880" cy="1450180"/>
                    </a:xfrm>
                    <a:prstGeom prst="rect">
                      <a:avLst/>
                    </a:prstGeom>
                  </pic:spPr>
                </pic:pic>
              </a:graphicData>
            </a:graphic>
          </wp:inline>
        </w:drawing>
      </w:r>
    </w:p>
    <w:p w14:paraId="00A843EF">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5"/>
        <w:keepNext/>
        <w:spacing w:before="180" w:after="100" w:line="259" w:lineRule="auto"/>
      </w:pPr>
      <w:r>
        <w:rPr>
          <w:rFonts w:ascii="微软雅黑" w:hAnsi="微软雅黑" w:eastAsia="微软雅黑"/>
          <w:b/>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9"/>
                    <a:stretch>
                      <a:fillRect/>
                    </a:stretch>
                  </pic:blipFill>
                  <pic:spPr>
                    <a:xfrm>
                      <a:off x="0" y="0"/>
                      <a:ext cx="5897880" cy="1709844"/>
                    </a:xfrm>
                    <a:prstGeom prst="rect">
                      <a:avLst/>
                    </a:prstGeom>
                  </pic:spPr>
                </pic:pic>
              </a:graphicData>
            </a:graphic>
          </wp:inline>
        </w:drawing>
      </w:r>
    </w:p>
    <w:p w14:paraId="56992AC8">
      <w:pPr>
        <w:pStyle w:val="15"/>
        <w:spacing w:after="120"/>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5"/>
        <w:keepNext/>
        <w:spacing w:before="180" w:after="100" w:line="259" w:lineRule="auto"/>
      </w:pPr>
      <w:r>
        <w:rPr>
          <w:rFonts w:ascii="微软雅黑" w:hAnsi="微软雅黑" w:eastAsia="微软雅黑"/>
          <w:b/>
          <w:color w:val="2F5597"/>
          <w:sz w:val="25"/>
        </w:rPr>
        <w:t>消息推送</w:t>
      </w:r>
    </w:p>
    <w:p w14:paraId="20DB1609">
      <w:pPr>
        <w:spacing w:after="60" w:line="276" w:lineRule="auto"/>
      </w:pPr>
      <w:r>
        <w:rPr>
          <w:rFonts w:ascii="微软雅黑" w:hAnsi="微软雅黑" w:eastAsia="微软雅黑"/>
          <w:b w:val="0"/>
          <w:sz w:val="20"/>
        </w:rPr>
        <w:t>消息推送用于创建和管理面向玩家展示的消息、公告和跑马灯。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0"/>
                    <a:stretch>
                      <a:fillRect/>
                    </a:stretch>
                  </pic:blipFill>
                  <pic:spPr>
                    <a:xfrm>
                      <a:off x="0" y="0"/>
                      <a:ext cx="6394450" cy="1868805"/>
                    </a:xfrm>
                    <a:prstGeom prst="rect">
                      <a:avLst/>
                    </a:prstGeom>
                    <a:noFill/>
                    <a:ln>
                      <a:noFill/>
                    </a:ln>
                  </pic:spPr>
                </pic:pic>
              </a:graphicData>
            </a:graphic>
          </wp:inline>
        </w:drawing>
      </w:r>
    </w:p>
    <w:p w14:paraId="3ECBBDCF">
      <w:pPr>
        <w:pStyle w:val="15"/>
        <w:spacing w:after="120"/>
        <w:jc w:val="center"/>
      </w:pPr>
      <w:r>
        <w:rPr>
          <w:rFonts w:ascii="微软雅黑" w:hAnsi="微软雅黑" w:eastAsia="微软雅黑"/>
          <w:b w:val="0"/>
          <w:color w:val="707E92"/>
          <w:sz w:val="18"/>
        </w:rPr>
        <w:t>图：消息推送列表，用于管理消息、公告和跑马灯。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14:paraId="2929A4B0">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1"/>
                    <a:stretch>
                      <a:fillRect/>
                    </a:stretch>
                  </pic:blipFill>
                  <pic:spPr>
                    <a:xfrm>
                      <a:off x="0" y="0"/>
                      <a:ext cx="6400165" cy="1767205"/>
                    </a:xfrm>
                    <a:prstGeom prst="rect">
                      <a:avLst/>
                    </a:prstGeom>
                    <a:noFill/>
                    <a:ln>
                      <a:noFill/>
                    </a:ln>
                  </pic:spPr>
                </pic:pic>
              </a:graphicData>
            </a:graphic>
          </wp:inline>
        </w:drawing>
      </w:r>
    </w:p>
    <w:p w14:paraId="72B9D513">
      <w:pPr>
        <w:pStyle w:val="15"/>
        <w:spacing w:after="120"/>
        <w:jc w:val="center"/>
      </w:pPr>
      <w:r>
        <w:rPr>
          <w:rFonts w:ascii="微软雅黑" w:hAnsi="微软雅黑" w:eastAsia="微软雅黑"/>
          <w:b w:val="0"/>
          <w:color w:val="707E92"/>
          <w:sz w:val="18"/>
        </w:rPr>
        <w:t>图：宣传管理列表页面，用于查看宣传记录、筛选条件和行内操作。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2"/>
                    <a:stretch>
                      <a:fillRect/>
                    </a:stretch>
                  </pic:blipFill>
                  <pic:spPr>
                    <a:xfrm>
                      <a:off x="0" y="0"/>
                      <a:ext cx="3665855" cy="3138170"/>
                    </a:xfrm>
                    <a:prstGeom prst="rect">
                      <a:avLst/>
                    </a:prstGeom>
                    <a:noFill/>
                    <a:ln>
                      <a:noFill/>
                    </a:ln>
                  </pic:spPr>
                </pic:pic>
              </a:graphicData>
            </a:graphic>
          </wp:inline>
        </w:drawing>
      </w:r>
    </w:p>
    <w:p w14:paraId="19AF48F8">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3"/>
                    <a:stretch>
                      <a:fillRect/>
                    </a:stretch>
                  </pic:blipFill>
                  <pic:spPr>
                    <a:xfrm>
                      <a:off x="0" y="0"/>
                      <a:ext cx="5897880" cy="2737294"/>
                    </a:xfrm>
                    <a:prstGeom prst="rect">
                      <a:avLst/>
                    </a:prstGeom>
                  </pic:spPr>
                </pic:pic>
              </a:graphicData>
            </a:graphic>
          </wp:inline>
        </w:drawing>
      </w:r>
    </w:p>
    <w:p w14:paraId="32F25902">
      <w:pPr>
        <w:pStyle w:val="15"/>
        <w:spacing w:after="120"/>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5"/>
        <w:keepNext/>
        <w:spacing w:before="180" w:after="100" w:line="259" w:lineRule="auto"/>
      </w:pPr>
      <w:r>
        <w:rPr>
          <w:rFonts w:ascii="微软雅黑" w:hAnsi="微软雅黑" w:eastAsia="微软雅黑"/>
          <w:b/>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4"/>
                    <a:stretch>
                      <a:fillRect/>
                    </a:stretch>
                  </pic:blipFill>
                  <pic:spPr>
                    <a:xfrm>
                      <a:off x="0" y="0"/>
                      <a:ext cx="5897880" cy="2542445"/>
                    </a:xfrm>
                    <a:prstGeom prst="rect">
                      <a:avLst/>
                    </a:prstGeom>
                  </pic:spPr>
                </pic:pic>
              </a:graphicData>
            </a:graphic>
          </wp:inline>
        </w:drawing>
      </w:r>
    </w:p>
    <w:p w14:paraId="4EBA86E8">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6"/>
        <w:spacing w:after="100"/>
      </w:pPr>
      <w:r>
        <w:rPr>
          <w:rFonts w:ascii="微软雅黑" w:hAnsi="微软雅黑" w:eastAsia="微软雅黑"/>
          <w:b/>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6"/>
        <w:spacing w:after="100"/>
      </w:pPr>
      <w:r>
        <w:rPr>
          <w:rFonts w:ascii="微软雅黑" w:hAnsi="微软雅黑" w:eastAsia="微软雅黑"/>
          <w:b/>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5"/>
                    <a:stretch>
                      <a:fillRect/>
                    </a:stretch>
                  </pic:blipFill>
                  <pic:spPr>
                    <a:xfrm>
                      <a:off x="0" y="0"/>
                      <a:ext cx="5897880" cy="2620870"/>
                    </a:xfrm>
                    <a:prstGeom prst="rect">
                      <a:avLst/>
                    </a:prstGeom>
                  </pic:spPr>
                </pic:pic>
              </a:graphicData>
            </a:graphic>
          </wp:inline>
        </w:drawing>
      </w:r>
    </w:p>
    <w:p w14:paraId="5A47BFFD">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6"/>
        <w:spacing w:after="100"/>
      </w:pPr>
      <w:r>
        <w:rPr>
          <w:rFonts w:ascii="微软雅黑" w:hAnsi="微软雅黑" w:eastAsia="微软雅黑"/>
          <w:b/>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6"/>
                    <a:stretch>
                      <a:fillRect/>
                    </a:stretch>
                  </pic:blipFill>
                  <pic:spPr>
                    <a:xfrm>
                      <a:off x="0" y="0"/>
                      <a:ext cx="5897880" cy="2659328"/>
                    </a:xfrm>
                    <a:prstGeom prst="rect">
                      <a:avLst/>
                    </a:prstGeom>
                  </pic:spPr>
                </pic:pic>
              </a:graphicData>
            </a:graphic>
          </wp:inline>
        </w:drawing>
      </w:r>
    </w:p>
    <w:p w14:paraId="3A43920F">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6"/>
        <w:spacing w:after="100"/>
      </w:pPr>
      <w:r>
        <w:rPr>
          <w:rFonts w:ascii="微软雅黑" w:hAnsi="微软雅黑" w:eastAsia="微软雅黑"/>
          <w:b/>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7"/>
                    <a:stretch>
                      <a:fillRect/>
                    </a:stretch>
                  </pic:blipFill>
                  <pic:spPr>
                    <a:xfrm>
                      <a:off x="0" y="0"/>
                      <a:ext cx="3291840" cy="1888516"/>
                    </a:xfrm>
                    <a:prstGeom prst="rect">
                      <a:avLst/>
                    </a:prstGeom>
                  </pic:spPr>
                </pic:pic>
              </a:graphicData>
            </a:graphic>
          </wp:inline>
        </w:drawing>
      </w:r>
    </w:p>
    <w:p w14:paraId="29501B2B">
      <w:pPr>
        <w:pStyle w:val="15"/>
        <w:spacing w:after="120"/>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6"/>
        <w:spacing w:after="100"/>
      </w:pPr>
      <w:r>
        <w:rPr>
          <w:rFonts w:ascii="微软雅黑" w:hAnsi="微软雅黑" w:eastAsia="微软雅黑"/>
          <w:b/>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8"/>
                    <a:stretch>
                      <a:fillRect/>
                    </a:stretch>
                  </pic:blipFill>
                  <pic:spPr>
                    <a:xfrm>
                      <a:off x="0" y="0"/>
                      <a:ext cx="5897880" cy="1427559"/>
                    </a:xfrm>
                    <a:prstGeom prst="rect">
                      <a:avLst/>
                    </a:prstGeom>
                  </pic:spPr>
                </pic:pic>
              </a:graphicData>
            </a:graphic>
          </wp:inline>
        </w:drawing>
      </w:r>
    </w:p>
    <w:p w14:paraId="394CBDD4">
      <w:pPr>
        <w:pStyle w:val="15"/>
        <w:spacing w:after="120"/>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9"/>
                    <a:stretch>
                      <a:fillRect/>
                    </a:stretch>
                  </pic:blipFill>
                  <pic:spPr>
                    <a:xfrm>
                      <a:off x="0" y="0"/>
                      <a:ext cx="3840480" cy="2513403"/>
                    </a:xfrm>
                    <a:prstGeom prst="rect">
                      <a:avLst/>
                    </a:prstGeom>
                  </pic:spPr>
                </pic:pic>
              </a:graphicData>
            </a:graphic>
          </wp:inline>
        </w:drawing>
      </w:r>
    </w:p>
    <w:p w14:paraId="20F8217A">
      <w:pPr>
        <w:pStyle w:val="15"/>
        <w:spacing w:after="120"/>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0"/>
                    <a:stretch>
                      <a:fillRect/>
                    </a:stretch>
                  </pic:blipFill>
                  <pic:spPr>
                    <a:xfrm>
                      <a:off x="0" y="0"/>
                      <a:ext cx="5897880" cy="1909226"/>
                    </a:xfrm>
                    <a:prstGeom prst="rect">
                      <a:avLst/>
                    </a:prstGeom>
                  </pic:spPr>
                </pic:pic>
              </a:graphicData>
            </a:graphic>
          </wp:inline>
        </w:drawing>
      </w:r>
    </w:p>
    <w:p w14:paraId="4B09099F">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1"/>
                    <a:stretch>
                      <a:fillRect/>
                    </a:stretch>
                  </pic:blipFill>
                  <pic:spPr>
                    <a:xfrm>
                      <a:off x="0" y="0"/>
                      <a:ext cx="4480560" cy="5638247"/>
                    </a:xfrm>
                    <a:prstGeom prst="rect">
                      <a:avLst/>
                    </a:prstGeom>
                  </pic:spPr>
                </pic:pic>
              </a:graphicData>
            </a:graphic>
          </wp:inline>
        </w:drawing>
      </w:r>
    </w:p>
    <w:p w14:paraId="05C485BD">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2"/>
                    <a:stretch>
                      <a:fillRect/>
                    </a:stretch>
                  </pic:blipFill>
                  <pic:spPr>
                    <a:xfrm>
                      <a:off x="0" y="0"/>
                      <a:ext cx="5897880" cy="1972081"/>
                    </a:xfrm>
                    <a:prstGeom prst="rect">
                      <a:avLst/>
                    </a:prstGeom>
                  </pic:spPr>
                </pic:pic>
              </a:graphicData>
            </a:graphic>
          </wp:inline>
        </w:drawing>
      </w:r>
    </w:p>
    <w:p w14:paraId="301CC78D">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3"/>
                    <a:stretch>
                      <a:fillRect/>
                    </a:stretch>
                  </pic:blipFill>
                  <pic:spPr>
                    <a:xfrm>
                      <a:off x="0" y="0"/>
                      <a:ext cx="5212080" cy="4849830"/>
                    </a:xfrm>
                    <a:prstGeom prst="rect">
                      <a:avLst/>
                    </a:prstGeom>
                  </pic:spPr>
                </pic:pic>
              </a:graphicData>
            </a:graphic>
          </wp:inline>
        </w:drawing>
      </w:r>
    </w:p>
    <w:p w14:paraId="76025C6B">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5"/>
        <w:keepNext/>
        <w:spacing w:before="180" w:after="100" w:line="259" w:lineRule="auto"/>
      </w:pPr>
      <w:r>
        <w:rPr>
          <w:rFonts w:ascii="微软雅黑" w:hAnsi="微软雅黑" w:eastAsia="微软雅黑"/>
          <w:b/>
          <w:color w:val="2F5597"/>
          <w:sz w:val="21"/>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4"/>
                    <a:stretch>
                      <a:fillRect/>
                    </a:stretch>
                  </pic:blipFill>
                  <pic:spPr>
                    <a:xfrm>
                      <a:off x="0" y="0"/>
                      <a:ext cx="5806440" cy="1378331"/>
                    </a:xfrm>
                    <a:prstGeom prst="rect">
                      <a:avLst/>
                    </a:prstGeom>
                  </pic:spPr>
                </pic:pic>
              </a:graphicData>
            </a:graphic>
          </wp:inline>
        </w:drawing>
      </w:r>
    </w:p>
    <w:p w14:paraId="021F6D97">
      <w:pPr>
        <w:pStyle w:val="15"/>
        <w:spacing w:after="120"/>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5"/>
                    <a:stretch>
                      <a:fillRect/>
                    </a:stretch>
                  </pic:blipFill>
                  <pic:spPr>
                    <a:xfrm>
                      <a:off x="0" y="0"/>
                      <a:ext cx="5669280" cy="4752275"/>
                    </a:xfrm>
                    <a:prstGeom prst="rect">
                      <a:avLst/>
                    </a:prstGeom>
                  </pic:spPr>
                </pic:pic>
              </a:graphicData>
            </a:graphic>
          </wp:inline>
        </w:drawing>
      </w:r>
    </w:p>
    <w:p w14:paraId="36C04B86">
      <w:pPr>
        <w:pStyle w:val="15"/>
        <w:spacing w:after="120"/>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888D1C6">
      <w:pPr>
        <w:pStyle w:val="5"/>
        <w:keepNext/>
        <w:spacing w:before="180" w:after="100" w:line="259" w:lineRule="auto"/>
      </w:pPr>
      <w:r>
        <w:rPr>
          <w:rFonts w:ascii="微软雅黑" w:hAnsi="微软雅黑" w:eastAsia="微软雅黑"/>
          <w:b/>
          <w:color w:val="2F5597"/>
          <w:sz w:val="25"/>
        </w:rPr>
        <w:t>优惠数据报表</w:t>
      </w:r>
    </w:p>
    <w:p w14:paraId="01FA3C31">
      <w:pPr>
        <w:spacing w:after="60" w:line="276" w:lineRule="auto"/>
      </w:pPr>
      <w:r>
        <w:rPr>
          <w:rFonts w:ascii="微软雅黑" w:hAnsi="微软雅黑" w:eastAsia="微软雅黑"/>
          <w:b w:val="0"/>
          <w:sz w:val="20"/>
        </w:rPr>
        <w:t>优惠数据报表用于汇总查看优惠成本、优惠人数和不同优惠来源的金额分布，是复盘活动投入、奖励结构和会员优惠转化的重要报表页面。</w:t>
      </w:r>
    </w:p>
    <w:p w14:paraId="617358F7">
      <w:pPr>
        <w:pStyle w:val="6"/>
        <w:spacing w:after="60" w:line="276" w:lineRule="auto"/>
      </w:pPr>
      <w:r>
        <w:rPr>
          <w:rFonts w:ascii="微软雅黑" w:hAnsi="微软雅黑" w:eastAsia="微软雅黑"/>
          <w:b/>
          <w:i/>
          <w:color w:val="2F5597"/>
          <w:sz w:val="21"/>
        </w:rPr>
        <w:t>页面概览</w:t>
      </w:r>
    </w:p>
    <w:p w14:paraId="5D66D643">
      <w:pPr>
        <w:spacing w:after="60" w:line="276" w:lineRule="auto"/>
      </w:pPr>
      <w:r>
        <w:rPr>
          <w:rFonts w:ascii="微软雅黑" w:hAnsi="微软雅黑" w:eastAsia="微软雅黑"/>
          <w:b w:val="0"/>
          <w:sz w:val="20"/>
        </w:rPr>
        <w:t>页面上方提供开始时间、结束时间、搜索、重置和导出表格入口，下方列表按日期展示优惠金额、活动优惠、任务优惠、票券优惠和 VIP 奖励等数据。</w:t>
      </w:r>
    </w:p>
    <w:p w14:paraId="1AD95546">
      <w:pPr>
        <w:spacing w:after="40"/>
        <w:jc w:val="center"/>
      </w:pPr>
      <w:r>
        <w:drawing>
          <wp:inline distT="0" distB="0" distL="114300" distR="114300">
            <wp:extent cx="5852160" cy="1395095"/>
            <wp:effectExtent l="0" t="0" r="15240" b="1460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pic:cNvPicPr>
                      <a:picLocks noChangeAspect="1"/>
                    </pic:cNvPicPr>
                  </pic:nvPicPr>
                  <pic:blipFill>
                    <a:blip r:embed="rId56"/>
                    <a:stretch>
                      <a:fillRect/>
                    </a:stretch>
                  </pic:blipFill>
                  <pic:spPr>
                    <a:xfrm>
                      <a:off x="0" y="0"/>
                      <a:ext cx="5852160" cy="1395217"/>
                    </a:xfrm>
                    <a:prstGeom prst="rect">
                      <a:avLst/>
                    </a:prstGeom>
                  </pic:spPr>
                </pic:pic>
              </a:graphicData>
            </a:graphic>
          </wp:inline>
        </w:drawing>
      </w:r>
    </w:p>
    <w:p w14:paraId="683A7A7C">
      <w:pPr>
        <w:pStyle w:val="15"/>
        <w:spacing w:after="120"/>
        <w:jc w:val="center"/>
      </w:pPr>
      <w:r>
        <w:rPr>
          <w:rFonts w:ascii="微软雅黑" w:hAnsi="微软雅黑" w:eastAsia="微软雅黑"/>
          <w:b w:val="0"/>
          <w:color w:val="707E92"/>
          <w:sz w:val="18"/>
        </w:rPr>
        <w:t>图：优惠数据报表页面，用于查看每日优惠金额、优惠人数及各类优惠来源的成本分布。</w:t>
      </w:r>
    </w:p>
    <w:p w14:paraId="1687350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：支持按时间范围查询数据，适合按活动上线周期、节假日或渠道投放周期做分段复盘。</w:t>
      </w:r>
    </w:p>
    <w:p w14:paraId="2BF8021C">
      <w:pPr>
        <w:pStyle w:val="16"/>
        <w:spacing w:after="60" w:line="276" w:lineRule="auto"/>
      </w:pPr>
      <w:r>
        <w:rPr>
          <w:rFonts w:ascii="微软雅黑" w:hAnsi="微软雅黑" w:eastAsia="微软雅黑"/>
          <w:b/>
          <w:color w:val="2F5597"/>
          <w:sz w:val="20"/>
        </w:rPr>
        <w:t>成本拆分</w:t>
      </w:r>
      <w:r>
        <w:rPr>
          <w:rFonts w:ascii="微软雅黑" w:hAnsi="微软雅黑" w:eastAsia="微软雅黑"/>
          <w:b w:val="0"/>
          <w:sz w:val="20"/>
        </w:rPr>
        <w:t>：列表包含优惠金额、优惠人数、活动优惠金额、任务优惠金额、票券优惠金额、代理佣金和 VIP 奖励，可用于判断优惠成本主要来自哪一类业务动作。</w:t>
      </w:r>
    </w:p>
    <w:p w14:paraId="6C3A74A9">
      <w:pPr>
        <w:pStyle w:val="16"/>
        <w:spacing w:after="60" w:line="276" w:lineRule="auto"/>
      </w:pPr>
      <w:r>
        <w:rPr>
          <w:rFonts w:ascii="微软雅黑" w:hAnsi="微软雅黑" w:eastAsia="微软雅黑"/>
          <w:b/>
          <w:color w:val="2F5597"/>
          <w:sz w:val="20"/>
        </w:rPr>
        <w:t>复盘要点</w:t>
      </w:r>
      <w:r>
        <w:rPr>
          <w:rFonts w:ascii="微软雅黑" w:hAnsi="微软雅黑" w:eastAsia="微软雅黑"/>
          <w:b w:val="0"/>
          <w:sz w:val="20"/>
        </w:rPr>
        <w:t>：查看数据时应同步关注优惠人数与各项金额的变化关系，判断成本上涨是由参与人数增加、单人奖励提升还是某类优惠配置异常导致。</w:t>
      </w:r>
    </w:p>
    <w:p w14:paraId="012234DC">
      <w:pPr>
        <w:pStyle w:val="16"/>
        <w:spacing w:after="60" w:line="276" w:lineRule="auto"/>
      </w:pPr>
      <w:r>
        <w:rPr>
          <w:rFonts w:ascii="微软雅黑" w:hAnsi="微软雅黑" w:eastAsia="微软雅黑"/>
          <w:b/>
          <w:color w:val="2F5597"/>
          <w:sz w:val="20"/>
        </w:rPr>
        <w:t>交叉核对</w:t>
      </w:r>
      <w:r>
        <w:rPr>
          <w:rFonts w:ascii="微软雅黑" w:hAnsi="微软雅黑" w:eastAsia="微软雅黑"/>
          <w:b w:val="0"/>
          <w:sz w:val="20"/>
        </w:rPr>
        <w:t>：活动复盘时，建议结合活动统计报表、票券使用记录、任务中心和账变记录一起判断奖励发放效果与真实成本归属。</w:t>
      </w:r>
    </w:p>
    <w:p w14:paraId="14F5B3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57"/>
                    <a:stretch>
                      <a:fillRect/>
                    </a:stretch>
                  </pic:blipFill>
                  <pic:spPr>
                    <a:xfrm>
                      <a:off x="0" y="0"/>
                      <a:ext cx="5897880" cy="1039973"/>
                    </a:xfrm>
                    <a:prstGeom prst="rect">
                      <a:avLst/>
                    </a:prstGeom>
                  </pic:spPr>
                </pic:pic>
              </a:graphicData>
            </a:graphic>
          </wp:inline>
        </w:drawing>
      </w:r>
    </w:p>
    <w:p w14:paraId="0D6E36DE">
      <w:pPr>
        <w:pStyle w:val="15"/>
        <w:spacing w:after="120"/>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58"/>
                    <a:stretch>
                      <a:fillRect/>
                    </a:stretch>
                  </pic:blipFill>
                  <pic:spPr>
                    <a:xfrm>
                      <a:off x="0" y="0"/>
                      <a:ext cx="5257800" cy="4654033"/>
                    </a:xfrm>
                    <a:prstGeom prst="rect">
                      <a:avLst/>
                    </a:prstGeom>
                  </pic:spPr>
                </pic:pic>
              </a:graphicData>
            </a:graphic>
          </wp:inline>
        </w:drawing>
      </w:r>
    </w:p>
    <w:p w14:paraId="1E73A71A">
      <w:pPr>
        <w:pStyle w:val="15"/>
        <w:spacing w:after="120"/>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59"/>
                    <a:stretch>
                      <a:fillRect/>
                    </a:stretch>
                  </pic:blipFill>
                  <pic:spPr>
                    <a:xfrm>
                      <a:off x="0" y="0"/>
                      <a:ext cx="5897880" cy="2654755"/>
                    </a:xfrm>
                    <a:prstGeom prst="rect">
                      <a:avLst/>
                    </a:prstGeom>
                  </pic:spPr>
                </pic:pic>
              </a:graphicData>
            </a:graphic>
          </wp:inline>
        </w:drawing>
      </w:r>
    </w:p>
    <w:p w14:paraId="7DD4ACF5">
      <w:pPr>
        <w:pStyle w:val="15"/>
        <w:spacing w:after="120"/>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60"/>
                    <a:stretch>
                      <a:fillRect/>
                    </a:stretch>
                  </pic:blipFill>
                  <pic:spPr>
                    <a:xfrm>
                      <a:off x="0" y="0"/>
                      <a:ext cx="5669280" cy="2581401"/>
                    </a:xfrm>
                    <a:prstGeom prst="rect">
                      <a:avLst/>
                    </a:prstGeom>
                  </pic:spPr>
                </pic:pic>
              </a:graphicData>
            </a:graphic>
          </wp:inline>
        </w:drawing>
      </w:r>
    </w:p>
    <w:p w14:paraId="5E728840">
      <w:pPr>
        <w:pStyle w:val="15"/>
        <w:spacing w:after="120"/>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11FB81AB">
      <w:pPr>
        <w:pStyle w:val="16"/>
        <w:numPr>
          <w:ilvl w:val="2"/>
          <w:numId w:val="3"/>
        </w:numPr>
        <w:tabs>
          <w:tab w:val="clear" w:pos="1260"/>
        </w:tabs>
        <w:spacing w:after="60" w:line="276" w:lineRule="auto"/>
        <w:ind w:left="1260" w:leftChars="0" w:hanging="420" w:firstLineChars="0"/>
      </w:pPr>
      <w:r>
        <w:rPr>
          <w:rFonts w:hint="eastAsia"/>
          <w:b w:val="0"/>
          <w:sz w:val="20"/>
          <w:lang w:val="en-US" w:eastAsia="zh-CN"/>
        </w:rPr>
        <w:t>在独立打码规则下，免费奖励领取限制开启时，用户余额在领取限额之下领取免费奖励成功后，会被视为免费玩家；若免费奖励领取限制关闭，存款玩家不会被转化位免费玩家</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会员提现设置</w:t>
      </w:r>
    </w:p>
    <w:p w14:paraId="049A0089">
      <w:pPr>
        <w:spacing w:after="60" w:line="276" w:lineRule="auto"/>
      </w:pPr>
      <w:r>
        <w:rPr>
          <w:rFonts w:ascii="微软雅黑" w:hAnsi="微软雅黑" w:eastAsia="微软雅黑"/>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14:paraId="5097EDCE">
      <w:pPr>
        <w:pStyle w:val="6"/>
        <w:spacing w:after="60" w:line="276" w:lineRule="auto"/>
      </w:pPr>
      <w:r>
        <w:rPr>
          <w:rFonts w:ascii="微软雅黑" w:hAnsi="微软雅黑" w:eastAsia="微软雅黑"/>
          <w:b/>
          <w:i/>
          <w:color w:val="2F5597"/>
          <w:sz w:val="21"/>
        </w:rPr>
        <w:t>在线提现设置</w:t>
      </w:r>
    </w:p>
    <w:p w14:paraId="14D64496">
      <w:pPr>
        <w:spacing w:after="60" w:line="276" w:lineRule="auto"/>
      </w:pPr>
      <w:r>
        <w:rPr>
          <w:rFonts w:ascii="微软雅黑" w:hAnsi="微软雅黑" w:eastAsia="微软雅黑"/>
          <w:b w:val="0"/>
          <w:sz w:val="20"/>
        </w:rPr>
        <w:t>在线提现设置页面用于集中管理各提现方式的启停状态、手续费口径和限额范围，是日常核对提现通道配置的主要入口。</w:t>
      </w:r>
    </w:p>
    <w:p w14:paraId="088278BA">
      <w:pPr>
        <w:spacing w:after="40"/>
        <w:jc w:val="center"/>
      </w:pPr>
      <w:r>
        <w:drawing>
          <wp:inline distT="0" distB="0" distL="114300" distR="114300">
            <wp:extent cx="5852160" cy="1852930"/>
            <wp:effectExtent l="0" t="0" r="15240" b="1397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61"/>
                    <a:stretch>
                      <a:fillRect/>
                    </a:stretch>
                  </pic:blipFill>
                  <pic:spPr>
                    <a:xfrm>
                      <a:off x="0" y="0"/>
                      <a:ext cx="5852160" cy="1853419"/>
                    </a:xfrm>
                    <a:prstGeom prst="rect">
                      <a:avLst/>
                    </a:prstGeom>
                  </pic:spPr>
                </pic:pic>
              </a:graphicData>
            </a:graphic>
          </wp:inline>
        </w:drawing>
      </w:r>
    </w:p>
    <w:p w14:paraId="5248A0CA">
      <w:pPr>
        <w:pStyle w:val="15"/>
        <w:spacing w:after="120"/>
        <w:jc w:val="center"/>
      </w:pPr>
      <w:r>
        <w:rPr>
          <w:rFonts w:ascii="微软雅黑" w:hAnsi="微软雅黑" w:eastAsia="微软雅黑"/>
          <w:b w:val="0"/>
          <w:color w:val="707E92"/>
          <w:sz w:val="18"/>
        </w:rPr>
        <w:t>图：在线提现设置主表，用于查看各支付方式的提现规则、手续费和通道启用状态。</w:t>
      </w:r>
    </w:p>
    <w:p w14:paraId="4AA1B93A">
      <w:pPr>
        <w:pStyle w:val="16"/>
        <w:spacing w:after="60" w:line="276" w:lineRule="auto"/>
      </w:pPr>
      <w:r>
        <w:rPr>
          <w:rFonts w:ascii="微软雅黑" w:hAnsi="微软雅黑" w:eastAsia="微软雅黑"/>
          <w:b/>
          <w:color w:val="2F5597"/>
          <w:sz w:val="20"/>
        </w:rPr>
        <w:t>通道状态</w:t>
      </w:r>
      <w:r>
        <w:rPr>
          <w:rFonts w:ascii="微软雅黑" w:hAnsi="微软雅黑" w:eastAsia="微软雅黑"/>
          <w:b w:val="0"/>
          <w:sz w:val="20"/>
        </w:rPr>
        <w:t>：页面主表可直接查看各提现方式是否开通通道。关闭通道后，对应支付方式将不再用于前台在线提现；调整前应先确认该通道是否仍有存量订单或特殊业务场景在使用。</w:t>
      </w:r>
    </w:p>
    <w:p w14:paraId="19939446">
      <w:pPr>
        <w:pStyle w:val="16"/>
        <w:spacing w:after="60" w:line="276" w:lineRule="auto"/>
      </w:pPr>
      <w:r>
        <w:rPr>
          <w:rFonts w:ascii="微软雅黑" w:hAnsi="微软雅黑" w:eastAsia="微软雅黑"/>
          <w:b/>
          <w:color w:val="2F5597"/>
          <w:sz w:val="20"/>
        </w:rPr>
        <w:t>手续费规则</w:t>
      </w:r>
      <w:r>
        <w:rPr>
          <w:rFonts w:ascii="微软雅黑" w:hAnsi="微软雅黑" w:eastAsia="微软雅黑"/>
          <w:b w:val="0"/>
          <w:sz w:val="20"/>
        </w:rPr>
        <w:t>：页面支持查看百分比手续费、固定手续费和最小手续费金额。修改手续费前应先确认当前提现成本、活动补贴方案和前台展示口径，避免出现到账金额与预期不一致的情况。</w:t>
      </w:r>
    </w:p>
    <w:p w14:paraId="73DE58A4">
      <w:pPr>
        <w:pStyle w:val="16"/>
        <w:spacing w:after="60" w:line="276" w:lineRule="auto"/>
      </w:pPr>
      <w:r>
        <w:rPr>
          <w:rFonts w:ascii="微软雅黑" w:hAnsi="微软雅黑" w:eastAsia="微软雅黑"/>
          <w:b/>
          <w:color w:val="2F5597"/>
          <w:sz w:val="20"/>
        </w:rPr>
        <w:t>提现限额</w:t>
      </w:r>
      <w:r>
        <w:rPr>
          <w:rFonts w:ascii="微软雅黑" w:hAnsi="微软雅黑" w:eastAsia="微软雅黑"/>
          <w:b w:val="0"/>
          <w:sz w:val="20"/>
        </w:rPr>
        <w:t>：页面可查看单笔提现限额配置。调整限额时应同步核对风控审核口径和财务出款能力，避免前台可申请但后台无法正常处理。</w:t>
      </w:r>
    </w:p>
    <w:p w14:paraId="4D0631B1">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：页面顶部可进入“免审自动出款”“提现参数设置”“VIP提现限制设置”等功能区域；如需调整单个提现方式，则在对应行点击“修改”进入明细维护。</w:t>
      </w:r>
    </w:p>
    <w:p w14:paraId="1D154CE5">
      <w:pPr>
        <w:pStyle w:val="6"/>
        <w:spacing w:after="60" w:line="276" w:lineRule="auto"/>
      </w:pPr>
      <w:r>
        <w:rPr>
          <w:rFonts w:ascii="微软雅黑" w:hAnsi="微软雅黑" w:eastAsia="微软雅黑"/>
          <w:b/>
          <w:i/>
          <w:color w:val="2F5597"/>
          <w:sz w:val="21"/>
        </w:rPr>
        <w:t>修改</w:t>
      </w:r>
    </w:p>
    <w:p w14:paraId="4AB4C604">
      <w:pPr>
        <w:spacing w:after="60" w:line="276" w:lineRule="auto"/>
      </w:pPr>
      <w:r>
        <w:rPr>
          <w:rFonts w:ascii="微软雅黑" w:hAnsi="微软雅黑" w:eastAsia="微软雅黑"/>
          <w:b w:val="0"/>
          <w:sz w:val="20"/>
        </w:rPr>
        <w:t>修改弹窗用于单独调整当前提现方式的基础配置，适合在不影响其他通道的前提下维护手续费、限额和展示信息。</w:t>
      </w:r>
    </w:p>
    <w:p w14:paraId="7B8FE9F1">
      <w:pPr>
        <w:spacing w:after="40"/>
        <w:jc w:val="center"/>
      </w:pPr>
      <w:r>
        <w:drawing>
          <wp:inline distT="0" distB="0" distL="114300" distR="114300">
            <wp:extent cx="4199255" cy="6165215"/>
            <wp:effectExtent l="0" t="0" r="10795" b="698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62"/>
                    <a:stretch>
                      <a:fillRect/>
                    </a:stretch>
                  </pic:blipFill>
                  <pic:spPr>
                    <a:xfrm>
                      <a:off x="0" y="0"/>
                      <a:ext cx="4199255" cy="6165215"/>
                    </a:xfrm>
                    <a:prstGeom prst="rect">
                      <a:avLst/>
                    </a:prstGeom>
                  </pic:spPr>
                </pic:pic>
              </a:graphicData>
            </a:graphic>
          </wp:inline>
        </w:drawing>
      </w:r>
    </w:p>
    <w:p w14:paraId="1D905FD6">
      <w:pPr>
        <w:pStyle w:val="15"/>
        <w:spacing w:after="120"/>
        <w:jc w:val="center"/>
      </w:pPr>
      <w:r>
        <w:rPr>
          <w:rFonts w:ascii="微软雅黑" w:hAnsi="微软雅黑" w:eastAsia="微软雅黑"/>
          <w:b w:val="0"/>
          <w:color w:val="707E92"/>
          <w:sz w:val="18"/>
        </w:rPr>
        <w:t>图：在线提现设置“修改”弹窗，用于维护单个支付方式的手续费、限额、图标和排序。</w:t>
      </w:r>
    </w:p>
    <w:p w14:paraId="3F255659">
      <w:pPr>
        <w:pStyle w:val="16"/>
        <w:spacing w:after="60" w:line="276" w:lineRule="auto"/>
      </w:pPr>
      <w:r>
        <w:rPr>
          <w:rFonts w:ascii="微软雅黑" w:hAnsi="微软雅黑" w:eastAsia="微软雅黑"/>
          <w:b/>
          <w:color w:val="2F5597"/>
          <w:sz w:val="20"/>
        </w:rPr>
        <w:t>手续费配置</w:t>
      </w:r>
      <w:r>
        <w:rPr>
          <w:rFonts w:ascii="微软雅黑" w:hAnsi="微软雅黑" w:eastAsia="微软雅黑"/>
          <w:b w:val="0"/>
          <w:sz w:val="20"/>
        </w:rPr>
        <w:t>：页面支持设置百分比手续费、固定手续费和最小手续费金额。三项配置会共同影响会员实际到账金额，调整前应先确认当前计费规则和财务结算方案。</w:t>
      </w:r>
    </w:p>
    <w:p w14:paraId="46958C37">
      <w:pPr>
        <w:pStyle w:val="16"/>
        <w:spacing w:after="60" w:line="276" w:lineRule="auto"/>
      </w:pPr>
      <w:r>
        <w:rPr>
          <w:rFonts w:ascii="微软雅黑" w:hAnsi="微软雅黑" w:eastAsia="微软雅黑"/>
          <w:b/>
          <w:color w:val="2F5597"/>
          <w:sz w:val="20"/>
        </w:rPr>
        <w:t>通道开关</w:t>
      </w:r>
      <w:r>
        <w:rPr>
          <w:rFonts w:ascii="微软雅黑" w:hAnsi="微软雅黑" w:eastAsia="微软雅黑"/>
          <w:b w:val="0"/>
          <w:sz w:val="20"/>
        </w:rPr>
        <w:t>：通过“是否开启通道”控制当前支付方式是否参与在线提现。关闭后前台将不再展示该提现方式，因此操作前应先确认是否需要保留过渡期。</w:t>
      </w:r>
    </w:p>
    <w:p w14:paraId="59609C8F">
      <w:pPr>
        <w:pStyle w:val="16"/>
        <w:spacing w:after="60" w:line="276" w:lineRule="auto"/>
      </w:pPr>
      <w:r>
        <w:rPr>
          <w:rFonts w:ascii="微软雅黑" w:hAnsi="微软雅黑" w:eastAsia="微软雅黑"/>
          <w:b/>
          <w:color w:val="2F5597"/>
          <w:sz w:val="20"/>
        </w:rPr>
        <w:t>限额与展示</w:t>
      </w:r>
      <w:r>
        <w:rPr>
          <w:rFonts w:ascii="微软雅黑" w:hAnsi="微软雅黑" w:eastAsia="微软雅黑"/>
          <w:b w:val="0"/>
          <w:sz w:val="20"/>
        </w:rPr>
        <w:t>：页面支持设置单笔限制、图标、排序值和备注。排序会影响前台展示顺序，图标和备注则会影响页面识别和运营维护效率。</w:t>
      </w:r>
    </w:p>
    <w:p w14:paraId="3019084E">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：修改完成后点击确定保存。保存前应同时核对手续费公式和提现上下限，调整后建议再检查财务和风控侧的实际处理口径是否一致。</w:t>
      </w:r>
    </w:p>
    <w:p w14:paraId="74B84F49">
      <w:pPr>
        <w:pStyle w:val="6"/>
        <w:spacing w:after="60" w:line="276" w:lineRule="auto"/>
      </w:pPr>
      <w:r>
        <w:rPr>
          <w:rFonts w:ascii="微软雅黑" w:hAnsi="微软雅黑" w:eastAsia="微软雅黑"/>
          <w:b/>
          <w:i/>
          <w:color w:val="2F5597"/>
          <w:sz w:val="21"/>
        </w:rPr>
        <w:t>免审自动出款</w:t>
      </w:r>
    </w:p>
    <w:p w14:paraId="4837FCA1">
      <w:pPr>
        <w:spacing w:after="60" w:line="276" w:lineRule="auto"/>
      </w:pPr>
      <w:r>
        <w:rPr>
          <w:rFonts w:ascii="微软雅黑" w:hAnsi="微软雅黑" w:eastAsia="微软雅黑"/>
          <w:b w:val="0"/>
          <w:sz w:val="20"/>
        </w:rPr>
        <w:t>免审自动出款弹窗用于配置满足条件后可直接进入自动出款流程的订单规则，适合用于低风险、标准化的提现场景。</w:t>
      </w:r>
    </w:p>
    <w:p w14:paraId="07B93BD7">
      <w:pPr>
        <w:spacing w:after="40"/>
        <w:jc w:val="center"/>
      </w:pPr>
      <w:r>
        <w:drawing>
          <wp:inline distT="0" distB="0" distL="114300" distR="114300">
            <wp:extent cx="5669280" cy="3315970"/>
            <wp:effectExtent l="0" t="0" r="7620" b="1778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63"/>
                    <a:stretch>
                      <a:fillRect/>
                    </a:stretch>
                  </pic:blipFill>
                  <pic:spPr>
                    <a:xfrm>
                      <a:off x="0" y="0"/>
                      <a:ext cx="5669280" cy="3315970"/>
                    </a:xfrm>
                    <a:prstGeom prst="rect">
                      <a:avLst/>
                    </a:prstGeom>
                  </pic:spPr>
                </pic:pic>
              </a:graphicData>
            </a:graphic>
          </wp:inline>
        </w:drawing>
      </w:r>
    </w:p>
    <w:p w14:paraId="6DF95262">
      <w:pPr>
        <w:pStyle w:val="15"/>
        <w:spacing w:after="120"/>
        <w:jc w:val="center"/>
      </w:pPr>
      <w:r>
        <w:rPr>
          <w:rFonts w:ascii="微软雅黑" w:hAnsi="微软雅黑" w:eastAsia="微软雅黑"/>
          <w:b w:val="0"/>
          <w:color w:val="707E92"/>
          <w:sz w:val="18"/>
        </w:rPr>
        <w:t>图：免审自动出款弹窗，用于设置满足条件时可自动出款的门槛。</w:t>
      </w:r>
    </w:p>
    <w:p w14:paraId="0FB691A2">
      <w:pPr>
        <w:pStyle w:val="16"/>
        <w:spacing w:after="60" w:line="276" w:lineRule="auto"/>
      </w:pPr>
      <w:r>
        <w:rPr>
          <w:rFonts w:ascii="微软雅黑" w:hAnsi="微软雅黑" w:eastAsia="微软雅黑"/>
          <w:b/>
          <w:color w:val="2F5597"/>
          <w:sz w:val="20"/>
        </w:rPr>
        <w:t>出款条件</w:t>
      </w:r>
      <w:r>
        <w:rPr>
          <w:rFonts w:ascii="微软雅黑" w:hAnsi="微软雅黑" w:eastAsia="微软雅黑"/>
          <w:b w:val="0"/>
          <w:sz w:val="20"/>
        </w:rPr>
        <w:t>：页面支持设置免费提现金额上限、充值次数、提现次数和适用 VIP 等级，用于限定哪些会员和订单可以命中免审自动出款条件。</w:t>
      </w:r>
    </w:p>
    <w:p w14:paraId="5499330B">
      <w:pPr>
        <w:pStyle w:val="16"/>
        <w:spacing w:after="60" w:line="276" w:lineRule="auto"/>
      </w:pPr>
      <w:r>
        <w:rPr>
          <w:rFonts w:ascii="微软雅黑" w:hAnsi="微软雅黑" w:eastAsia="微软雅黑"/>
          <w:b/>
          <w:color w:val="2F5597"/>
          <w:sz w:val="20"/>
        </w:rPr>
        <w:t>支付通道</w:t>
      </w:r>
      <w:r>
        <w:rPr>
          <w:rFonts w:ascii="微软雅黑" w:hAnsi="微软雅黑" w:eastAsia="微软雅黑"/>
          <w:b w:val="0"/>
          <w:sz w:val="20"/>
        </w:rPr>
        <w:t>：页面可指定自动出款支付通道。启用前应先确认该通道稳定可用，并检查是否支持当前站点的自动出款流程。</w:t>
      </w:r>
    </w:p>
    <w:p w14:paraId="43144E4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：命中配置条件的提现订单可直接进入自动出款流程，不再走常规人工审核路径。因此保存前需同步评估风控策略和异常订单兜底流程。</w:t>
      </w:r>
    </w:p>
    <w:p w14:paraId="40C9022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：如条件设置过宽，可能导致本应人工审核的提现单直接进入自动出款。建议优先用于低风险支付方式，并定期检查自动出款订单表现。</w:t>
      </w:r>
    </w:p>
    <w:p w14:paraId="5DDC58E0">
      <w:pPr>
        <w:pStyle w:val="6"/>
        <w:spacing w:after="60" w:line="276" w:lineRule="auto"/>
      </w:pPr>
      <w:r>
        <w:rPr>
          <w:rFonts w:ascii="微软雅黑" w:hAnsi="微软雅黑" w:eastAsia="微软雅黑"/>
          <w:b/>
          <w:i/>
          <w:color w:val="2F5597"/>
          <w:sz w:val="21"/>
        </w:rPr>
        <w:t>提现参数设置</w:t>
      </w:r>
    </w:p>
    <w:p w14:paraId="291055DD">
      <w:pPr>
        <w:spacing w:after="60" w:line="276" w:lineRule="auto"/>
      </w:pPr>
      <w:r>
        <w:rPr>
          <w:rFonts w:ascii="微软雅黑" w:hAnsi="微软雅黑" w:eastAsia="微软雅黑"/>
          <w:b w:val="0"/>
          <w:sz w:val="20"/>
        </w:rPr>
        <w:t>提现参数设置弹窗用于维护站点级提现审核和免费提现规则，是控制提现流程门槛和审核路径的核心配置区域。</w:t>
      </w:r>
    </w:p>
    <w:p w14:paraId="65196DB4">
      <w:pPr>
        <w:spacing w:after="40"/>
        <w:jc w:val="center"/>
      </w:pPr>
      <w:r>
        <w:drawing>
          <wp:inline distT="0" distB="0" distL="114300" distR="114300">
            <wp:extent cx="5852160" cy="5016500"/>
            <wp:effectExtent l="0" t="0" r="15240" b="1270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64"/>
                    <a:stretch>
                      <a:fillRect/>
                    </a:stretch>
                  </pic:blipFill>
                  <pic:spPr>
                    <a:xfrm>
                      <a:off x="0" y="0"/>
                      <a:ext cx="5852160" cy="5017099"/>
                    </a:xfrm>
                    <a:prstGeom prst="rect">
                      <a:avLst/>
                    </a:prstGeom>
                  </pic:spPr>
                </pic:pic>
              </a:graphicData>
            </a:graphic>
          </wp:inline>
        </w:drawing>
      </w:r>
    </w:p>
    <w:p w14:paraId="6E429ED6">
      <w:pPr>
        <w:pStyle w:val="15"/>
        <w:spacing w:after="120"/>
        <w:jc w:val="center"/>
      </w:pPr>
      <w:r>
        <w:rPr>
          <w:rFonts w:ascii="微软雅黑" w:hAnsi="微软雅黑" w:eastAsia="微软雅黑"/>
          <w:b w:val="0"/>
          <w:color w:val="707E92"/>
          <w:sz w:val="18"/>
        </w:rPr>
        <w:t>图：提现参数设置弹窗，用于设置提现密码、风控审核、免费提现规则和独立提现规则。</w:t>
      </w:r>
    </w:p>
    <w:p w14:paraId="6EE6004E">
      <w:pPr>
        <w:pStyle w:val="16"/>
        <w:spacing w:after="60" w:line="276" w:lineRule="auto"/>
      </w:pPr>
      <w:r>
        <w:rPr>
          <w:rFonts w:ascii="微软雅黑" w:hAnsi="微软雅黑" w:eastAsia="微软雅黑"/>
          <w:b/>
          <w:color w:val="2F5597"/>
          <w:sz w:val="20"/>
        </w:rPr>
        <w:t>审核控制</w:t>
      </w:r>
      <w:r>
        <w:rPr>
          <w:rFonts w:ascii="微软雅黑" w:hAnsi="微软雅黑" w:eastAsia="微软雅黑"/>
          <w:b w:val="0"/>
          <w:sz w:val="20"/>
        </w:rPr>
        <w:t>：页面支持设置提现密码开关、会员可同时进行的提现笔数、是否需要风控审核和免风控层级。这些参数会共同决定提现申请进入审核流转的方式。</w:t>
      </w:r>
    </w:p>
    <w:p w14:paraId="3E344311">
      <w:pPr>
        <w:pStyle w:val="16"/>
        <w:spacing w:after="60" w:line="276" w:lineRule="auto"/>
      </w:pPr>
      <w:r>
        <w:rPr>
          <w:rFonts w:ascii="微软雅黑" w:hAnsi="微软雅黑" w:eastAsia="微软雅黑"/>
          <w:b/>
          <w:color w:val="2F5597"/>
          <w:sz w:val="20"/>
        </w:rPr>
        <w:t>免费提现规则</w:t>
      </w:r>
      <w:r>
        <w:rPr>
          <w:rFonts w:ascii="微软雅黑" w:hAnsi="微软雅黑" w:eastAsia="微软雅黑"/>
          <w:b w:val="0"/>
          <w:sz w:val="20"/>
        </w:rPr>
        <w:t>：页面可维护免费提现相关规则，用于控制会员在特定条件下是否减免手续费。调整前应先确认当前活动策略和财务结算方案。</w:t>
      </w:r>
    </w:p>
    <w:p w14:paraId="19B09CFC">
      <w:pPr>
        <w:pStyle w:val="16"/>
        <w:spacing w:after="60" w:line="276" w:lineRule="auto"/>
      </w:pPr>
      <w:r>
        <w:rPr>
          <w:rFonts w:ascii="微软雅黑" w:hAnsi="微软雅黑" w:eastAsia="微软雅黑"/>
          <w:b/>
          <w:color w:val="2F5597"/>
          <w:sz w:val="20"/>
        </w:rPr>
        <w:t>独立规则</w:t>
      </w:r>
      <w:r>
        <w:rPr>
          <w:rFonts w:ascii="微软雅黑" w:hAnsi="微软雅黑" w:eastAsia="微软雅黑"/>
          <w:b w:val="0"/>
          <w:sz w:val="20"/>
        </w:rPr>
        <w:t>：若开启独立提现规则，常规单笔上下限和 VIP 单笔上下限限制</w:t>
      </w:r>
      <w:r>
        <w:rPr>
          <w:rFonts w:hint="eastAsia"/>
          <w:b w:val="0"/>
          <w:sz w:val="20"/>
          <w:lang w:val="en-US" w:eastAsia="zh-CN"/>
        </w:rPr>
        <w:t>不生效</w:t>
      </w:r>
      <w:r>
        <w:rPr>
          <w:rFonts w:ascii="微软雅黑" w:hAnsi="微软雅黑" w:eastAsia="微软雅黑"/>
          <w:b w:val="0"/>
          <w:sz w:val="20"/>
        </w:rPr>
        <w:t>，避免不同规则并行时出现口径冲突。</w:t>
      </w:r>
    </w:p>
    <w:p w14:paraId="3B5D1D07">
      <w:pPr>
        <w:pStyle w:val="16"/>
        <w:spacing w:after="60" w:line="276" w:lineRule="auto"/>
      </w:pPr>
      <w:r>
        <w:rPr>
          <w:rFonts w:ascii="微软雅黑" w:hAnsi="微软雅黑" w:eastAsia="微软雅黑"/>
          <w:b/>
          <w:color w:val="2F5597"/>
          <w:sz w:val="20"/>
        </w:rPr>
        <w:t>审核流转</w:t>
      </w:r>
      <w:r>
        <w:rPr>
          <w:rFonts w:ascii="微软雅黑" w:hAnsi="微软雅黑" w:eastAsia="微软雅黑"/>
          <w:b w:val="0"/>
          <w:sz w:val="20"/>
        </w:rPr>
        <w:t>：如开启风控审核，相关订单需先经过风控审核再流转至财务出款；关闭前应先确认当前站点的提现风险级别和后续处理流程。</w:t>
      </w:r>
    </w:p>
    <w:p w14:paraId="5B9AB046">
      <w:pPr>
        <w:pStyle w:val="6"/>
        <w:spacing w:after="60" w:line="276" w:lineRule="auto"/>
      </w:pPr>
      <w:r>
        <w:rPr>
          <w:rFonts w:ascii="微软雅黑" w:hAnsi="微软雅黑" w:eastAsia="微软雅黑"/>
          <w:b/>
          <w:i/>
          <w:color w:val="2F5597"/>
          <w:sz w:val="21"/>
        </w:rPr>
        <w:t>VIP提现限制设置</w:t>
      </w:r>
    </w:p>
    <w:p w14:paraId="0671A8D2">
      <w:pPr>
        <w:spacing w:after="60" w:line="276" w:lineRule="auto"/>
      </w:pPr>
      <w:r>
        <w:rPr>
          <w:rFonts w:ascii="微软雅黑" w:hAnsi="微软雅黑" w:eastAsia="微软雅黑"/>
          <w:b w:val="0"/>
          <w:sz w:val="20"/>
        </w:rPr>
        <w:t>VIP 提现限制设置弹窗用于按会员等级维护不同的提现次数、额度和手续费优惠规则，适合做分层运营和差异化限制。</w:t>
      </w:r>
    </w:p>
    <w:p w14:paraId="7FE8BB69">
      <w:pPr>
        <w:spacing w:after="40"/>
        <w:jc w:val="center"/>
      </w:pPr>
      <w:r>
        <w:drawing>
          <wp:inline distT="0" distB="0" distL="114300" distR="114300">
            <wp:extent cx="5370195" cy="3994150"/>
            <wp:effectExtent l="0" t="0" r="1905" b="63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65"/>
                    <a:stretch>
                      <a:fillRect/>
                    </a:stretch>
                  </pic:blipFill>
                  <pic:spPr>
                    <a:xfrm>
                      <a:off x="0" y="0"/>
                      <a:ext cx="5370195" cy="3994150"/>
                    </a:xfrm>
                    <a:prstGeom prst="rect">
                      <a:avLst/>
                    </a:prstGeom>
                  </pic:spPr>
                </pic:pic>
              </a:graphicData>
            </a:graphic>
          </wp:inline>
        </w:drawing>
      </w:r>
    </w:p>
    <w:p w14:paraId="38013F56">
      <w:pPr>
        <w:pStyle w:val="15"/>
        <w:spacing w:after="120"/>
        <w:jc w:val="center"/>
      </w:pPr>
      <w:r>
        <w:rPr>
          <w:rFonts w:ascii="微软雅黑" w:hAnsi="微软雅黑" w:eastAsia="微软雅黑"/>
          <w:b w:val="0"/>
          <w:color w:val="707E92"/>
          <w:sz w:val="18"/>
        </w:rPr>
        <w:t>图：VIP 提现限制设置弹窗，用于按 VIP 等级维护每日次数、额度和前端提示语。</w:t>
      </w:r>
    </w:p>
    <w:p w14:paraId="2655635F">
      <w:pPr>
        <w:pStyle w:val="16"/>
        <w:spacing w:after="60" w:line="276" w:lineRule="auto"/>
      </w:pPr>
      <w:r>
        <w:rPr>
          <w:rFonts w:ascii="微软雅黑" w:hAnsi="微软雅黑" w:eastAsia="微软雅黑"/>
          <w:b/>
          <w:color w:val="2F5597"/>
          <w:sz w:val="20"/>
        </w:rPr>
        <w:t>等级限制</w:t>
      </w:r>
      <w:r>
        <w:rPr>
          <w:rFonts w:ascii="微软雅黑" w:hAnsi="微软雅黑" w:eastAsia="微软雅黑"/>
          <w:b w:val="0"/>
          <w:sz w:val="20"/>
        </w:rPr>
        <w:t>：页面通常按 VIP 等级维护每日提款次数限制、每日提款总额限制、提款总次数限制、提款总额限制、每日免手续费交易笔数以及单次最小/最大提现额度等规则。</w:t>
      </w:r>
    </w:p>
    <w:p w14:paraId="43EDF3B1">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：不同 VIP 等级会按当前配置执行差异化提现限制，因此调整前应先确认会员分层方案和当前运营政策，避免影响高等级会员体验。</w:t>
      </w:r>
    </w:p>
    <w:p w14:paraId="523E052A">
      <w:pPr>
        <w:pStyle w:val="16"/>
        <w:spacing w:after="60" w:line="276" w:lineRule="auto"/>
      </w:pPr>
      <w:r>
        <w:rPr>
          <w:rFonts w:ascii="微软雅黑" w:hAnsi="微软雅黑" w:eastAsia="微软雅黑"/>
          <w:b/>
          <w:color w:val="2F5597"/>
          <w:sz w:val="20"/>
        </w:rPr>
        <w:t>前端提示语</w:t>
      </w:r>
      <w:r>
        <w:rPr>
          <w:rFonts w:ascii="微软雅黑" w:hAnsi="微软雅黑" w:eastAsia="微软雅黑"/>
          <w:b w:val="0"/>
          <w:sz w:val="20"/>
        </w:rPr>
        <w:t>：页面下方可同步维护 VIP 前端提示语，用于向会员说明提款规则、打码要求和注意事项；修改后应一并检查前台文案是否与当前限制口径一致。</w:t>
      </w:r>
    </w:p>
    <w:p w14:paraId="4A33788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：当站点需要对不同层级会员执行差异化提现策略时，可优先通过该页面统一配置；调整后建议重点关注高频提款会员的实际申请情况。</w:t>
      </w:r>
    </w:p>
    <w:p w14:paraId="233CA22C">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会员充值配置</w:t>
      </w:r>
    </w:p>
    <w:p w14:paraId="2E25E75B">
      <w:pPr>
        <w:spacing w:after="60" w:line="276" w:lineRule="auto"/>
      </w:pPr>
      <w:r>
        <w:rPr>
          <w:rFonts w:ascii="微软雅黑" w:hAnsi="微软雅黑" w:eastAsia="微软雅黑"/>
          <w:b w:val="0"/>
          <w:sz w:val="20"/>
        </w:rPr>
        <w:t>会员充值配置用于统一维护在线充值方式、支付方式分组展示和充值提示语。日常配置时可先从在线充值配置主表核对分组与通道状态，再进入支付方式分组或充值配置弹窗补充对应参数。</w:t>
      </w:r>
    </w:p>
    <w:p w14:paraId="1D98367A">
      <w:pPr>
        <w:pStyle w:val="6"/>
        <w:spacing w:after="60" w:line="276" w:lineRule="auto"/>
      </w:pPr>
      <w:r>
        <w:rPr>
          <w:rFonts w:ascii="微软雅黑" w:hAnsi="微软雅黑" w:eastAsia="微软雅黑"/>
          <w:b/>
          <w:i/>
          <w:color w:val="2F5597"/>
          <w:sz w:val="21"/>
        </w:rPr>
        <w:t>在线充值配置</w:t>
      </w:r>
    </w:p>
    <w:p w14:paraId="37908CB6">
      <w:pPr>
        <w:spacing w:after="60" w:line="276" w:lineRule="auto"/>
      </w:pPr>
      <w:r>
        <w:rPr>
          <w:rFonts w:ascii="微软雅黑" w:hAnsi="微软雅黑" w:eastAsia="微软雅黑"/>
          <w:b w:val="0"/>
          <w:sz w:val="20"/>
        </w:rPr>
        <w:t>在线充值配置页面用于集中查看和维护各充值分组下的支付通道配置，是日常核对通道启停、限额和前台展示信息的主要入口。</w:t>
      </w:r>
    </w:p>
    <w:p w14:paraId="32650FB3">
      <w:pPr>
        <w:spacing w:after="40"/>
        <w:jc w:val="center"/>
      </w:pPr>
      <w:r>
        <w:drawing>
          <wp:inline distT="0" distB="0" distL="114300" distR="114300">
            <wp:extent cx="5852160" cy="2346325"/>
            <wp:effectExtent l="0" t="0" r="15240" b="158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66"/>
                    <a:stretch>
                      <a:fillRect/>
                    </a:stretch>
                  </pic:blipFill>
                  <pic:spPr>
                    <a:xfrm>
                      <a:off x="0" y="0"/>
                      <a:ext cx="5852160" cy="2346501"/>
                    </a:xfrm>
                    <a:prstGeom prst="rect">
                      <a:avLst/>
                    </a:prstGeom>
                  </pic:spPr>
                </pic:pic>
              </a:graphicData>
            </a:graphic>
          </wp:inline>
        </w:drawing>
      </w:r>
    </w:p>
    <w:p w14:paraId="556C0045">
      <w:pPr>
        <w:pStyle w:val="15"/>
        <w:spacing w:after="120"/>
        <w:jc w:val="center"/>
      </w:pPr>
      <w:r>
        <w:rPr>
          <w:rFonts w:ascii="微软雅黑" w:hAnsi="微软雅黑" w:eastAsia="微软雅黑"/>
          <w:b w:val="0"/>
          <w:color w:val="707E92"/>
          <w:sz w:val="18"/>
        </w:rPr>
        <w:t>图：在线充值配置主表，用于查看各支付方式分组、通道推荐金额、限额和启用状态。</w:t>
      </w:r>
    </w:p>
    <w:p w14:paraId="0F35208A">
      <w:pPr>
        <w:pStyle w:val="16"/>
        <w:spacing w:after="60" w:line="276" w:lineRule="auto"/>
      </w:pPr>
      <w:r>
        <w:rPr>
          <w:rFonts w:ascii="微软雅黑" w:hAnsi="微软雅黑" w:eastAsia="微软雅黑"/>
          <w:b/>
          <w:color w:val="2F5597"/>
          <w:sz w:val="20"/>
        </w:rPr>
        <w:t>通道展示</w:t>
      </w:r>
      <w:r>
        <w:rPr>
          <w:rFonts w:ascii="微软雅黑" w:hAnsi="微软雅黑" w:eastAsia="微软雅黑"/>
          <w:b w:val="0"/>
          <w:sz w:val="20"/>
        </w:rPr>
        <w:t>：页面主表通常支持按支付通道和状态筛选，列表中可查看支付方式、排序、图标、前台通道名称、通道名称、是否启用等内容，用于统一核对当前充值方式是否正常展示。</w:t>
      </w:r>
    </w:p>
    <w:p w14:paraId="00FF3EED">
      <w:pPr>
        <w:pStyle w:val="16"/>
        <w:spacing w:after="60" w:line="276" w:lineRule="auto"/>
      </w:pPr>
      <w:r>
        <w:rPr>
          <w:rFonts w:ascii="微软雅黑" w:hAnsi="微软雅黑" w:eastAsia="微软雅黑"/>
          <w:b/>
          <w:color w:val="2F5597"/>
          <w:sz w:val="20"/>
        </w:rPr>
        <w:t>充值限额</w:t>
      </w:r>
      <w:r>
        <w:rPr>
          <w:rFonts w:ascii="微软雅黑" w:hAnsi="微软雅黑" w:eastAsia="微软雅黑"/>
          <w:b w:val="0"/>
          <w:sz w:val="20"/>
        </w:rPr>
        <w:t>：页面可查看推荐充值金额、最小/最大限额和前台提示。调整限额前应先确认当前支付通道的收款能力、活动门槛和前台文案口径。</w:t>
      </w:r>
    </w:p>
    <w:p w14:paraId="74B5D2B2">
      <w:pPr>
        <w:pStyle w:val="16"/>
        <w:spacing w:after="60" w:line="276" w:lineRule="auto"/>
      </w:pPr>
      <w:r>
        <w:rPr>
          <w:rFonts w:ascii="微软雅黑" w:hAnsi="微软雅黑" w:eastAsia="微软雅黑"/>
          <w:b/>
          <w:color w:val="2F5597"/>
          <w:sz w:val="20"/>
        </w:rPr>
        <w:t>分组查看</w:t>
      </w:r>
      <w:r>
        <w:rPr>
          <w:rFonts w:ascii="微软雅黑" w:hAnsi="微软雅黑" w:eastAsia="微软雅黑"/>
          <w:b w:val="0"/>
          <w:sz w:val="20"/>
        </w:rPr>
        <w:t>：列表按支付方式分组展示，展开后可查看组内通道配置；调整前应先确认当前支付方式所在分组，再进入对应行执行修改或查看。</w:t>
      </w:r>
    </w:p>
    <w:p w14:paraId="08880D9F">
      <w:pPr>
        <w:pStyle w:val="6"/>
        <w:spacing w:after="60" w:line="276" w:lineRule="auto"/>
      </w:pPr>
      <w:r>
        <w:rPr>
          <w:rFonts w:ascii="微软雅黑" w:hAnsi="微软雅黑" w:eastAsia="微软雅黑"/>
          <w:b/>
          <w:i/>
          <w:color w:val="2F5597"/>
          <w:sz w:val="21"/>
        </w:rPr>
        <w:t>编辑支付方式分组</w:t>
      </w:r>
    </w:p>
    <w:p w14:paraId="40ABC2D2">
      <w:pPr>
        <w:spacing w:after="60" w:line="276" w:lineRule="auto"/>
      </w:pPr>
      <w:r>
        <w:rPr>
          <w:rFonts w:ascii="微软雅黑" w:hAnsi="微软雅黑" w:eastAsia="微软雅黑"/>
          <w:b w:val="0"/>
          <w:sz w:val="20"/>
        </w:rPr>
        <w:t>编辑支付方式分组弹窗用于维护充值页分组的前台展示信息，适合统一调整同类支付方式的展示名称和排序。</w:t>
      </w:r>
    </w:p>
    <w:p w14:paraId="32EE1981">
      <w:pPr>
        <w:spacing w:after="40"/>
        <w:jc w:val="center"/>
      </w:pPr>
      <w:r>
        <w:drawing>
          <wp:inline distT="0" distB="0" distL="114300" distR="114300">
            <wp:extent cx="4762500" cy="3430270"/>
            <wp:effectExtent l="0" t="0" r="0" b="1778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67"/>
                    <a:stretch>
                      <a:fillRect/>
                    </a:stretch>
                  </pic:blipFill>
                  <pic:spPr>
                    <a:xfrm>
                      <a:off x="0" y="0"/>
                      <a:ext cx="4762500" cy="3430270"/>
                    </a:xfrm>
                    <a:prstGeom prst="rect">
                      <a:avLst/>
                    </a:prstGeom>
                  </pic:spPr>
                </pic:pic>
              </a:graphicData>
            </a:graphic>
          </wp:inline>
        </w:drawing>
      </w:r>
    </w:p>
    <w:p w14:paraId="53F02E34">
      <w:pPr>
        <w:pStyle w:val="15"/>
        <w:spacing w:after="120"/>
        <w:jc w:val="center"/>
      </w:pPr>
      <w:r>
        <w:rPr>
          <w:rFonts w:ascii="微软雅黑" w:hAnsi="微软雅黑" w:eastAsia="微软雅黑"/>
          <w:b w:val="0"/>
          <w:color w:val="707E92"/>
          <w:sz w:val="18"/>
        </w:rPr>
        <w:t>图：编辑支付方式分组弹窗，用于维护前台展示名称、图标和排序。</w:t>
      </w:r>
    </w:p>
    <w:p w14:paraId="087233B3">
      <w:pPr>
        <w:pStyle w:val="16"/>
        <w:spacing w:after="60" w:line="276" w:lineRule="auto"/>
      </w:pPr>
      <w:r>
        <w:rPr>
          <w:rFonts w:ascii="微软雅黑" w:hAnsi="微软雅黑" w:eastAsia="微软雅黑"/>
          <w:b/>
          <w:color w:val="2F5597"/>
          <w:sz w:val="20"/>
        </w:rPr>
        <w:t>分组名称</w:t>
      </w:r>
      <w:r>
        <w:rPr>
          <w:rFonts w:ascii="微软雅黑" w:hAnsi="微软雅黑" w:eastAsia="微软雅黑"/>
          <w:b w:val="0"/>
          <w:sz w:val="20"/>
        </w:rPr>
        <w:t>：页面支持维护前台支付方式名字。该名称会直接影响前台充值页分组展示，因此修改前应确认当前支付通道的实际用途和面向用户的展示口径。</w:t>
      </w:r>
    </w:p>
    <w:p w14:paraId="49220E24">
      <w:pPr>
        <w:pStyle w:val="16"/>
        <w:spacing w:after="60" w:line="276" w:lineRule="auto"/>
      </w:pPr>
      <w:r>
        <w:rPr>
          <w:rFonts w:ascii="微软雅黑" w:hAnsi="微软雅黑" w:eastAsia="微软雅黑"/>
          <w:b/>
          <w:color w:val="2F5597"/>
          <w:sz w:val="20"/>
        </w:rPr>
        <w:t>图标与排序</w:t>
      </w:r>
      <w:r>
        <w:rPr>
          <w:rFonts w:ascii="微软雅黑" w:hAnsi="微软雅黑" w:eastAsia="微软雅黑"/>
          <w:b w:val="0"/>
          <w:sz w:val="20"/>
        </w:rPr>
        <w:t>：页面支持维护图标和排序值。图标建议保持统一尺寸和格式，排序值用于控制分组在前台的展示先后，调整后应同步检查前台实际显示效果。</w:t>
      </w:r>
    </w:p>
    <w:p w14:paraId="50BEEE81">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：修改完成后点击确定保存。保存前应确认分组名称、图标和排序与当前支付通道配置保持一致，避免前台展示混乱。</w:t>
      </w:r>
    </w:p>
    <w:p w14:paraId="238015D8">
      <w:pPr>
        <w:pStyle w:val="6"/>
        <w:spacing w:after="60" w:line="276" w:lineRule="auto"/>
      </w:pPr>
      <w:r>
        <w:rPr>
          <w:rFonts w:ascii="微软雅黑" w:hAnsi="微软雅黑" w:eastAsia="微软雅黑"/>
          <w:b/>
          <w:i/>
          <w:color w:val="2F5597"/>
          <w:sz w:val="21"/>
        </w:rPr>
        <w:t>充值配置</w:t>
      </w:r>
    </w:p>
    <w:p w14:paraId="081ACB11">
      <w:pPr>
        <w:spacing w:after="60" w:line="276" w:lineRule="auto"/>
      </w:pPr>
      <w:r>
        <w:rPr>
          <w:rFonts w:ascii="微软雅黑" w:hAnsi="微软雅黑" w:eastAsia="微软雅黑"/>
          <w:b w:val="0"/>
          <w:sz w:val="20"/>
        </w:rPr>
        <w:t>充值配置弹窗用于维护站点级充值提示信息和并发订单限制，是控制充值体验和前台引导文案的统一入口。</w:t>
      </w:r>
    </w:p>
    <w:p w14:paraId="7A02257D">
      <w:pPr>
        <w:spacing w:after="40"/>
        <w:jc w:val="center"/>
      </w:pPr>
      <w:r>
        <w:drawing>
          <wp:inline distT="0" distB="0" distL="114300" distR="114300">
            <wp:extent cx="5370195" cy="4066540"/>
            <wp:effectExtent l="0" t="0" r="1905" b="1016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68"/>
                    <a:stretch>
                      <a:fillRect/>
                    </a:stretch>
                  </pic:blipFill>
                  <pic:spPr>
                    <a:xfrm>
                      <a:off x="0" y="0"/>
                      <a:ext cx="5370195" cy="4066540"/>
                    </a:xfrm>
                    <a:prstGeom prst="rect">
                      <a:avLst/>
                    </a:prstGeom>
                  </pic:spPr>
                </pic:pic>
              </a:graphicData>
            </a:graphic>
          </wp:inline>
        </w:drawing>
      </w:r>
    </w:p>
    <w:p w14:paraId="490C25F3">
      <w:pPr>
        <w:pStyle w:val="15"/>
        <w:spacing w:after="120"/>
        <w:jc w:val="center"/>
      </w:pPr>
      <w:r>
        <w:rPr>
          <w:rFonts w:ascii="微软雅黑" w:hAnsi="微软雅黑" w:eastAsia="微软雅黑"/>
          <w:b w:val="0"/>
          <w:color w:val="707E92"/>
          <w:sz w:val="18"/>
        </w:rPr>
        <w:t>图：充值配置弹窗，用于设置并发充值订单数和充值提示语。</w:t>
      </w:r>
    </w:p>
    <w:p w14:paraId="05540F90">
      <w:pPr>
        <w:pStyle w:val="16"/>
        <w:spacing w:after="60" w:line="276" w:lineRule="auto"/>
      </w:pPr>
      <w:r>
        <w:rPr>
          <w:rFonts w:ascii="微软雅黑" w:hAnsi="微软雅黑" w:eastAsia="微软雅黑"/>
          <w:b/>
          <w:color w:val="2F5597"/>
          <w:sz w:val="20"/>
        </w:rPr>
        <w:t>并发订单</w:t>
      </w:r>
      <w:r>
        <w:rPr>
          <w:rFonts w:ascii="微软雅黑" w:hAnsi="微软雅黑" w:eastAsia="微软雅黑"/>
          <w:b w:val="0"/>
          <w:sz w:val="20"/>
        </w:rPr>
        <w:t>：页面可维护每个用户最大可同时进行中的充值订单数，用于控制会员在同一时间内可发起的充值单数量。调整前应先确认当前支付处理能力和异常订单清理策略。</w:t>
      </w:r>
    </w:p>
    <w:p w14:paraId="58488753">
      <w:pPr>
        <w:pStyle w:val="16"/>
        <w:spacing w:after="60" w:line="276" w:lineRule="auto"/>
      </w:pPr>
      <w:r>
        <w:rPr>
          <w:rFonts w:ascii="微软雅黑" w:hAnsi="微软雅黑" w:eastAsia="微软雅黑"/>
          <w:b/>
          <w:color w:val="2F5597"/>
          <w:sz w:val="20"/>
        </w:rPr>
        <w:t>提示语内容</w:t>
      </w:r>
      <w:r>
        <w:rPr>
          <w:rFonts w:ascii="微软雅黑" w:hAnsi="微软雅黑" w:eastAsia="微软雅黑"/>
          <w:b w:val="0"/>
          <w:sz w:val="20"/>
        </w:rPr>
        <w:t>：页面支持维护充值提示语内容，并提供富文本编辑和实时预览。适合填写到账时效、汇率说明、异常处理方式和客服引导。</w:t>
      </w:r>
    </w:p>
    <w:p w14:paraId="14E216E0">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：保存前建议检查预览区显示效果，并确认提示语与当前支付方式、活动规则和人工处理流程保持一致，避免出现文案截断或口径不一致的情况。</w:t>
      </w:r>
    </w:p>
    <w:p w14:paraId="1C84553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充值订单列表</w:t>
      </w:r>
    </w:p>
    <w:p w14:paraId="63DF00D5">
      <w:pPr>
        <w:spacing w:after="60" w:line="276" w:lineRule="auto"/>
      </w:pPr>
      <w:r>
        <w:rPr>
          <w:rFonts w:ascii="微软雅黑" w:hAnsi="微软雅黑" w:eastAsia="微软雅黑"/>
          <w:b w:val="0"/>
          <w:sz w:val="20"/>
        </w:rPr>
        <w:t>充值订单列表用于统一查询会员充值订单、跟踪支付处理进度，并配合订单详情、账变记录和通道信息完成到账核对。页面按充值类型区分为在线充值和 USDT 充值两个页签，适合财务、客服和运营在处理充值异常时快速定位订单。</w:t>
      </w:r>
    </w:p>
    <w:p w14:paraId="28B6DCF7">
      <w:pPr>
        <w:pStyle w:val="6"/>
        <w:spacing w:after="60" w:line="276" w:lineRule="auto"/>
      </w:pPr>
      <w:r>
        <w:rPr>
          <w:rFonts w:ascii="微软雅黑" w:hAnsi="微软雅黑" w:eastAsia="微软雅黑"/>
          <w:b/>
          <w:i/>
          <w:color w:val="2F5597"/>
          <w:sz w:val="21"/>
        </w:rPr>
        <w:t>在线充值</w:t>
      </w:r>
    </w:p>
    <w:p w14:paraId="007F8BBC">
      <w:pPr>
        <w:spacing w:after="60" w:line="276" w:lineRule="auto"/>
      </w:pPr>
      <w:r>
        <w:rPr>
          <w:rFonts w:ascii="微软雅黑" w:hAnsi="微软雅黑" w:eastAsia="微软雅黑"/>
          <w:b w:val="0"/>
          <w:sz w:val="20"/>
        </w:rPr>
        <w:t>在线充值页签用于查询常规支付通道的充值订单，是核对支付渠道到账情况和第三方单号的主要入口。处理充值咨询时，可先在这里按时间、会员和通道定位目标订单。</w:t>
      </w:r>
    </w:p>
    <w:p w14:paraId="2E58854E">
      <w:pPr>
        <w:spacing w:after="40"/>
        <w:jc w:val="center"/>
      </w:pPr>
      <w:r>
        <w:drawing>
          <wp:inline distT="0" distB="0" distL="114300" distR="114300">
            <wp:extent cx="5852160" cy="2088515"/>
            <wp:effectExtent l="0" t="0" r="15240" b="698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69"/>
                    <a:stretch>
                      <a:fillRect/>
                    </a:stretch>
                  </pic:blipFill>
                  <pic:spPr>
                    <a:xfrm>
                      <a:off x="0" y="0"/>
                      <a:ext cx="5852160" cy="2088760"/>
                    </a:xfrm>
                    <a:prstGeom prst="rect">
                      <a:avLst/>
                    </a:prstGeom>
                  </pic:spPr>
                </pic:pic>
              </a:graphicData>
            </a:graphic>
          </wp:inline>
        </w:drawing>
      </w:r>
    </w:p>
    <w:p w14:paraId="7E806E6F">
      <w:pPr>
        <w:pStyle w:val="15"/>
        <w:spacing w:after="120"/>
        <w:jc w:val="center"/>
      </w:pPr>
      <w:r>
        <w:rPr>
          <w:rFonts w:ascii="微软雅黑" w:hAnsi="微软雅黑" w:eastAsia="微软雅黑"/>
          <w:b w:val="0"/>
          <w:color w:val="707E92"/>
          <w:sz w:val="18"/>
        </w:rPr>
        <w:t>图：在线充值列表，用于按会员、通道和订单状态查询在线充值订单。</w:t>
      </w:r>
    </w:p>
    <w:p w14:paraId="60C83B0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：页面支持按创建时间、会员ID、支付渠道和订单状态筛选订单。处理玩家充值咨询或通道异常时，建议先固定时间范围和会员账号，再结合状态筛选待付款、处理中或充值成功订单。</w:t>
      </w:r>
    </w:p>
    <w:p w14:paraId="34F8B09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会展示订单号、会员ID、订单状态、订单金额、赠送金额、实际到账金额、创建时间、支付方式、支付渠道、汇率、充值币种、第三方单号和备注等信息。核对到账问题时，应重点关注订单状态、实际到账金额、赠送金额和备注说明。</w:t>
      </w:r>
    </w:p>
    <w:p w14:paraId="039C5CEC">
      <w:pPr>
        <w:pStyle w:val="16"/>
        <w:spacing w:after="60" w:line="276" w:lineRule="auto"/>
      </w:pPr>
      <w:r>
        <w:rPr>
          <w:rFonts w:ascii="微软雅黑" w:hAnsi="微软雅黑" w:eastAsia="微软雅黑"/>
          <w:b/>
          <w:color w:val="2F5597"/>
          <w:sz w:val="20"/>
        </w:rPr>
        <w:t>导出与对账</w:t>
      </w:r>
      <w:r>
        <w:rPr>
          <w:rFonts w:ascii="微软雅黑" w:hAnsi="微软雅黑" w:eastAsia="微软雅黑"/>
          <w:b w:val="0"/>
          <w:sz w:val="20"/>
        </w:rPr>
        <w:t>：页面支持导出表格，便于按时间段留档或交叉核对。导出前应确认当前页签、筛选条件和订单状态范围，避免把不同充值类型或无关时间段数据混在同一份结果中。</w:t>
      </w:r>
    </w:p>
    <w:p w14:paraId="6E4A36BC">
      <w:pPr>
        <w:pStyle w:val="6"/>
        <w:spacing w:after="60" w:line="276" w:lineRule="auto"/>
      </w:pPr>
      <w:r>
        <w:rPr>
          <w:rFonts w:ascii="微软雅黑" w:hAnsi="微软雅黑" w:eastAsia="微软雅黑"/>
          <w:b/>
          <w:i/>
          <w:color w:val="2F5597"/>
          <w:sz w:val="21"/>
        </w:rPr>
        <w:t>订单详情</w:t>
      </w:r>
    </w:p>
    <w:p w14:paraId="2B03C204">
      <w:pPr>
        <w:spacing w:after="60" w:line="276" w:lineRule="auto"/>
      </w:pPr>
      <w:r>
        <w:rPr>
          <w:rFonts w:ascii="微软雅黑" w:hAnsi="微软雅黑" w:eastAsia="微软雅黑"/>
          <w:b w:val="0"/>
          <w:sz w:val="20"/>
        </w:rPr>
        <w:t>点击列表“详情”后，可查看单笔在线充值订单的完整信息，适合进一步核对到账金额、第三方单号和更新时间。</w:t>
      </w:r>
    </w:p>
    <w:p w14:paraId="551A8179">
      <w:pPr>
        <w:spacing w:after="40"/>
        <w:jc w:val="center"/>
      </w:pPr>
      <w:r>
        <w:drawing>
          <wp:inline distT="0" distB="0" distL="114300" distR="114300">
            <wp:extent cx="3735705" cy="3686175"/>
            <wp:effectExtent l="0" t="0" r="1714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70"/>
                    <a:stretch>
                      <a:fillRect/>
                    </a:stretch>
                  </pic:blipFill>
                  <pic:spPr>
                    <a:xfrm>
                      <a:off x="0" y="0"/>
                      <a:ext cx="3735705" cy="3686175"/>
                    </a:xfrm>
                    <a:prstGeom prst="rect">
                      <a:avLst/>
                    </a:prstGeom>
                  </pic:spPr>
                </pic:pic>
              </a:graphicData>
            </a:graphic>
          </wp:inline>
        </w:drawing>
      </w:r>
    </w:p>
    <w:p w14:paraId="4A83F83B">
      <w:pPr>
        <w:pStyle w:val="15"/>
        <w:spacing w:after="120"/>
        <w:jc w:val="center"/>
      </w:pPr>
      <w:r>
        <w:rPr>
          <w:rFonts w:ascii="微软雅黑" w:hAnsi="微软雅黑" w:eastAsia="微软雅黑"/>
          <w:b w:val="0"/>
          <w:color w:val="707E92"/>
          <w:sz w:val="18"/>
        </w:rPr>
        <w:t>图：在线充值订单详情弹窗，用于查看单笔充值订单的金额、渠道和时间信息。</w:t>
      </w:r>
    </w:p>
    <w:p w14:paraId="38434D8B">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：详情弹窗会展示订单号、订单状态、会员ID、第三方单号、订单金额、实际到账金额、赠送金额、充值币种、汇率、手续费、支付方式、支付渠道、是否首充、备注、创建时间和更新时间。</w:t>
      </w:r>
    </w:p>
    <w:p w14:paraId="7ABF26F9">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：排查充值争议时，可优先通过详情页核对第三方单号、实际到账金额和更新时间，再决定是否继续结合支付通道数据或账变记录追查。若存在赠送金额，还应同步确认是否命中了当前充值活动规则。</w:t>
      </w:r>
    </w:p>
    <w:p w14:paraId="344F241A">
      <w:pPr>
        <w:pStyle w:val="6"/>
        <w:spacing w:after="60" w:line="276" w:lineRule="auto"/>
      </w:pPr>
      <w:r>
        <w:rPr>
          <w:rFonts w:ascii="微软雅黑" w:hAnsi="微软雅黑" w:eastAsia="微软雅黑"/>
          <w:b/>
          <w:i/>
          <w:color w:val="2F5597"/>
          <w:sz w:val="21"/>
        </w:rPr>
        <w:t>USDT充值</w:t>
      </w:r>
    </w:p>
    <w:p w14:paraId="7FF5C41C">
      <w:pPr>
        <w:spacing w:after="60" w:line="276" w:lineRule="auto"/>
      </w:pPr>
      <w:r>
        <w:rPr>
          <w:rFonts w:ascii="微软雅黑" w:hAnsi="微软雅黑" w:eastAsia="微软雅黑"/>
          <w:b w:val="0"/>
          <w:sz w:val="20"/>
        </w:rPr>
        <w:t>USDT 充值页签用于查询链路类充值订单，适合核对不同币种通道、链上支付方式和异常订单处理动作。</w:t>
      </w:r>
    </w:p>
    <w:p w14:paraId="49DCC285">
      <w:pPr>
        <w:spacing w:after="40"/>
        <w:jc w:val="center"/>
      </w:pPr>
      <w:r>
        <w:drawing>
          <wp:inline distT="0" distB="0" distL="114300" distR="114300">
            <wp:extent cx="5852160" cy="1971675"/>
            <wp:effectExtent l="0" t="0" r="1524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71"/>
                    <a:stretch>
                      <a:fillRect/>
                    </a:stretch>
                  </pic:blipFill>
                  <pic:spPr>
                    <a:xfrm>
                      <a:off x="0" y="0"/>
                      <a:ext cx="5852160" cy="1972117"/>
                    </a:xfrm>
                    <a:prstGeom prst="rect">
                      <a:avLst/>
                    </a:prstGeom>
                  </pic:spPr>
                </pic:pic>
              </a:graphicData>
            </a:graphic>
          </wp:inline>
        </w:drawing>
      </w:r>
    </w:p>
    <w:p w14:paraId="7DC22AA8">
      <w:pPr>
        <w:pStyle w:val="15"/>
        <w:spacing w:after="120"/>
        <w:jc w:val="center"/>
      </w:pPr>
      <w:r>
        <w:rPr>
          <w:rFonts w:ascii="微软雅黑" w:hAnsi="微软雅黑" w:eastAsia="微软雅黑"/>
          <w:b w:val="0"/>
          <w:color w:val="707E92"/>
          <w:sz w:val="18"/>
        </w:rPr>
        <w:t>图：USDT 充值列表，用于查看链路充值订单状态并处理补单。</w:t>
      </w:r>
    </w:p>
    <w:p w14:paraId="013E306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：该页签支持按创建时间、会员ID 和订单状态筛选订单，列表中可查看订单金额、赠送金额、实际到账金额、支付方式、支付渠道、充值币种和第三方单号等信息。</w:t>
      </w:r>
    </w:p>
    <w:p w14:paraId="1B9BFD7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当订单显示“待付款”时，通常表示会员尚未完成支付；“处理中”表示链路回调或系统入账仍在进行中；“充值成功”表示订单已完成到账；“已关闭”则应结合订单时间和后续处理记录判断是否超时关闭或异常终止。</w:t>
      </w:r>
    </w:p>
    <w:p w14:paraId="18567E72">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：列表操作区通常包含“详情”，部分异常订单还会提供“补单”入口，用于在已确认链上支付但系统未正常回写时补录交易信息。</w:t>
      </w:r>
    </w:p>
    <w:p w14:paraId="1DF963D5">
      <w:pPr>
        <w:pStyle w:val="6"/>
        <w:spacing w:after="60" w:line="276" w:lineRule="auto"/>
      </w:pPr>
      <w:r>
        <w:rPr>
          <w:rFonts w:ascii="微软雅黑" w:hAnsi="微软雅黑" w:eastAsia="微软雅黑"/>
          <w:b/>
          <w:i/>
          <w:color w:val="2F5597"/>
          <w:sz w:val="21"/>
        </w:rPr>
        <w:t>补单</w:t>
      </w:r>
    </w:p>
    <w:p w14:paraId="1623DAFB">
      <w:pPr>
        <w:spacing w:after="60" w:line="276" w:lineRule="auto"/>
      </w:pPr>
      <w:r>
        <w:rPr>
          <w:rFonts w:ascii="微软雅黑" w:hAnsi="微软雅黑" w:eastAsia="微软雅黑"/>
          <w:b w:val="0"/>
          <w:sz w:val="20"/>
        </w:rPr>
        <w:t>补单弹窗用于手动补录链路订单的交易编号，适合处理会员已完成支付、但系统未自动关联到账结果的异常场景。</w:t>
      </w:r>
    </w:p>
    <w:p w14:paraId="3E868C89">
      <w:pPr>
        <w:spacing w:after="40"/>
        <w:jc w:val="center"/>
      </w:pPr>
      <w:r>
        <w:drawing>
          <wp:inline distT="0" distB="0" distL="114300" distR="114300">
            <wp:extent cx="3534410" cy="1720215"/>
            <wp:effectExtent l="0" t="0" r="8890" b="1333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72"/>
                    <a:stretch>
                      <a:fillRect/>
                    </a:stretch>
                  </pic:blipFill>
                  <pic:spPr>
                    <a:xfrm>
                      <a:off x="0" y="0"/>
                      <a:ext cx="3534410" cy="1720215"/>
                    </a:xfrm>
                    <a:prstGeom prst="rect">
                      <a:avLst/>
                    </a:prstGeom>
                  </pic:spPr>
                </pic:pic>
              </a:graphicData>
            </a:graphic>
          </wp:inline>
        </w:drawing>
      </w:r>
    </w:p>
    <w:p w14:paraId="28F37863">
      <w:pPr>
        <w:pStyle w:val="15"/>
        <w:spacing w:after="120"/>
        <w:jc w:val="center"/>
      </w:pPr>
      <w:r>
        <w:rPr>
          <w:rFonts w:ascii="微软雅黑" w:hAnsi="微软雅黑" w:eastAsia="微软雅黑"/>
          <w:b w:val="0"/>
          <w:color w:val="707E92"/>
          <w:sz w:val="18"/>
        </w:rPr>
        <w:t>图：USDT 充值补单弹窗，用于录入 txId 并确认补单操作。</w:t>
      </w:r>
    </w:p>
    <w:p w14:paraId="39012CBF">
      <w:pPr>
        <w:pStyle w:val="16"/>
        <w:spacing w:after="60" w:line="276" w:lineRule="auto"/>
      </w:pPr>
      <w:r>
        <w:rPr>
          <w:rFonts w:ascii="微软雅黑" w:hAnsi="微软雅黑" w:eastAsia="微软雅黑"/>
          <w:b/>
          <w:color w:val="2F5597"/>
          <w:sz w:val="20"/>
        </w:rPr>
        <w:t>txId录入</w:t>
      </w:r>
      <w:r>
        <w:rPr>
          <w:rFonts w:ascii="微软雅黑" w:hAnsi="微软雅黑" w:eastAsia="微软雅黑"/>
          <w:b w:val="0"/>
          <w:sz w:val="20"/>
        </w:rPr>
        <w:t>：补单时需填写正确的 txId。录入前应先核对链上交易编号、订单金额、会员账号和订单时间，避免把错误交易回填到其他订单。</w:t>
      </w:r>
    </w:p>
    <w:p w14:paraId="4D6EB8B3">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：仅当确认会员已实际完成支付、且自动回调或系统关联未成功时，才建议使用补单。对于仍处于待付款或未确认到账的订单，不应直接执行补单。</w:t>
      </w:r>
    </w:p>
    <w:p w14:paraId="3B6E4E86">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：补单完成后，应重新核对订单状态、实际到账金额和相关账变记录，确认资金已正确入账；如仍未更新，应继续排查链路回调、通道数据或人工处理日志。</w:t>
      </w:r>
    </w:p>
    <w:p w14:paraId="55C231D4">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提现订单列表</w:t>
      </w:r>
    </w:p>
    <w:p w14:paraId="442542BB">
      <w:pPr>
        <w:spacing w:after="60" w:line="276" w:lineRule="auto"/>
      </w:pPr>
      <w:r>
        <w:rPr>
          <w:rFonts w:ascii="微软雅黑" w:hAnsi="微软雅黑" w:eastAsia="微软雅黑"/>
          <w:b w:val="0"/>
          <w:sz w:val="20"/>
        </w:rPr>
        <w:t>提现订单列表用于统一查询会员提现申请、跟踪审核与出款处理进度，并结合订单详情、重新支付和取消订单等操作完成出款处理。日常使用时可先在列表中按时间、会员和状态定位目标订单，再根据当前处理结果进入对应操作。</w:t>
      </w:r>
    </w:p>
    <w:p w14:paraId="4E033AE5">
      <w:pPr>
        <w:pStyle w:val="6"/>
        <w:spacing w:after="60" w:line="276" w:lineRule="auto"/>
      </w:pPr>
      <w:r>
        <w:rPr>
          <w:rFonts w:ascii="微软雅黑" w:hAnsi="微软雅黑" w:eastAsia="微软雅黑"/>
          <w:b/>
          <w:i/>
          <w:color w:val="2F5597"/>
          <w:sz w:val="21"/>
        </w:rPr>
        <w:t>订单列表</w:t>
      </w:r>
    </w:p>
    <w:p w14:paraId="11BB6727">
      <w:pPr>
        <w:spacing w:after="60" w:line="276" w:lineRule="auto"/>
      </w:pPr>
      <w:r>
        <w:rPr>
          <w:rFonts w:ascii="微软雅黑" w:hAnsi="微软雅黑" w:eastAsia="微软雅黑"/>
          <w:b w:val="0"/>
          <w:sz w:val="20"/>
        </w:rPr>
        <w:t>订单列表是处理提现申请的主入口，适合财务、客服和风控人员快速查看订单状态、实际出款金额和备注说明，并继续进入详情或异常处理操作。</w:t>
      </w:r>
    </w:p>
    <w:p w14:paraId="248771D3">
      <w:pPr>
        <w:spacing w:after="40"/>
        <w:jc w:val="center"/>
      </w:pPr>
      <w:r>
        <w:drawing>
          <wp:inline distT="0" distB="0" distL="114300" distR="114300">
            <wp:extent cx="5852160" cy="2109470"/>
            <wp:effectExtent l="0" t="0" r="15240" b="508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pic:cNvPicPr>
                  </pic:nvPicPr>
                  <pic:blipFill>
                    <a:blip r:embed="rId73"/>
                    <a:stretch>
                      <a:fillRect/>
                    </a:stretch>
                  </pic:blipFill>
                  <pic:spPr>
                    <a:xfrm>
                      <a:off x="0" y="0"/>
                      <a:ext cx="5852160" cy="2109746"/>
                    </a:xfrm>
                    <a:prstGeom prst="rect">
                      <a:avLst/>
                    </a:prstGeom>
                  </pic:spPr>
                </pic:pic>
              </a:graphicData>
            </a:graphic>
          </wp:inline>
        </w:drawing>
      </w:r>
    </w:p>
    <w:p w14:paraId="7A2574A1">
      <w:pPr>
        <w:pStyle w:val="15"/>
        <w:spacing w:after="120"/>
        <w:jc w:val="center"/>
      </w:pPr>
      <w:r>
        <w:rPr>
          <w:rFonts w:ascii="微软雅黑" w:hAnsi="微软雅黑" w:eastAsia="微软雅黑"/>
          <w:b w:val="0"/>
          <w:color w:val="707E92"/>
          <w:sz w:val="18"/>
        </w:rPr>
        <w:t>图：提现订单列表主表，用于按会员、订单状态和时间范围查询提现订单。</w:t>
      </w:r>
    </w:p>
    <w:p w14:paraId="2912053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：页面支持按申请时间、会员ID、订单号和订单状态筛选订单，并可配合自动刷新快速查看待审核、处理中或异常失败的提现申请。处理催单或客诉时，建议先固定时间范围和会员账号，再缩小到具体状态。</w:t>
      </w:r>
    </w:p>
    <w:p w14:paraId="4A5F4505">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通常展示订单号、订单状态、商户ID、会员ID、创建时间、更新时间、提现金额、实际金额、提现方式、操作人和备注等信息。核对订单时应重点关注实际金额、状态变化和备注中记录的三方返回或人工处理说明。</w:t>
      </w:r>
    </w:p>
    <w:p w14:paraId="1F492494">
      <w:pPr>
        <w:pStyle w:val="16"/>
        <w:spacing w:after="60" w:line="276" w:lineRule="auto"/>
      </w:pPr>
      <w:r>
        <w:rPr>
          <w:rFonts w:ascii="微软雅黑" w:hAnsi="微软雅黑" w:eastAsia="微软雅黑"/>
          <w:b/>
          <w:color w:val="2F5597"/>
          <w:sz w:val="20"/>
        </w:rPr>
        <w:t>状态流转</w:t>
      </w:r>
      <w:r>
        <w:rPr>
          <w:rFonts w:ascii="微软雅黑" w:hAnsi="微软雅黑" w:eastAsia="微软雅黑"/>
          <w:b w:val="0"/>
          <w:sz w:val="20"/>
        </w:rPr>
        <w:t>：常见状态包括待初审、初审不通过、复审不通过、待支付、支付中、已失败和已完成等。处理过程中应结合当前状态决定后续动作，避免对已终态订单重复发起支付或误做人工取消。</w:t>
      </w:r>
    </w:p>
    <w:p w14:paraId="0F8E698F">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：列表操作区通常提供详情、重新支付和取消订单等入口。只有在确认订单状态和失败原因后，才建议继续执行重新支付或取消订单，避免影响资金流转和对账口径。</w:t>
      </w:r>
    </w:p>
    <w:p w14:paraId="6D4E175B">
      <w:pPr>
        <w:pStyle w:val="6"/>
        <w:spacing w:after="60" w:line="276" w:lineRule="auto"/>
      </w:pPr>
      <w:r>
        <w:rPr>
          <w:rFonts w:ascii="微软雅黑" w:hAnsi="微软雅黑" w:eastAsia="微软雅黑"/>
          <w:b/>
          <w:i/>
          <w:color w:val="2F5597"/>
          <w:sz w:val="21"/>
        </w:rPr>
        <w:t>订单详情</w:t>
      </w:r>
    </w:p>
    <w:p w14:paraId="166594F0">
      <w:pPr>
        <w:spacing w:after="60" w:line="276" w:lineRule="auto"/>
      </w:pPr>
      <w:r>
        <w:rPr>
          <w:rFonts w:ascii="微软雅黑" w:hAnsi="微软雅黑" w:eastAsia="微软雅黑"/>
          <w:b w:val="0"/>
          <w:sz w:val="20"/>
        </w:rPr>
        <w:t>订单详情弹窗用于查看单笔提现订单的完整基础信息，适合在审核、复核和处理异常时快速确认订单金额、时间和备注。</w:t>
      </w:r>
    </w:p>
    <w:p w14:paraId="22619769">
      <w:pPr>
        <w:spacing w:after="40"/>
        <w:jc w:val="center"/>
      </w:pPr>
      <w:r>
        <w:drawing>
          <wp:inline distT="0" distB="0" distL="114300" distR="114300">
            <wp:extent cx="5852160" cy="3394075"/>
            <wp:effectExtent l="0" t="0" r="15240" b="1587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a:picLocks noChangeAspect="1"/>
                    </pic:cNvPicPr>
                  </pic:nvPicPr>
                  <pic:blipFill>
                    <a:blip r:embed="rId74"/>
                    <a:stretch>
                      <a:fillRect/>
                    </a:stretch>
                  </pic:blipFill>
                  <pic:spPr>
                    <a:xfrm>
                      <a:off x="0" y="0"/>
                      <a:ext cx="5852160" cy="3394424"/>
                    </a:xfrm>
                    <a:prstGeom prst="rect">
                      <a:avLst/>
                    </a:prstGeom>
                  </pic:spPr>
                </pic:pic>
              </a:graphicData>
            </a:graphic>
          </wp:inline>
        </w:drawing>
      </w:r>
    </w:p>
    <w:p w14:paraId="1723445C">
      <w:pPr>
        <w:pStyle w:val="15"/>
        <w:spacing w:after="120"/>
        <w:jc w:val="center"/>
      </w:pPr>
      <w:r>
        <w:rPr>
          <w:rFonts w:ascii="微软雅黑" w:hAnsi="微软雅黑" w:eastAsia="微软雅黑"/>
          <w:b w:val="0"/>
          <w:color w:val="707E92"/>
          <w:sz w:val="18"/>
        </w:rPr>
        <w:t>图：提现订单详情弹窗，用于查看单笔提现订单的状态、金额和处理时间。</w:t>
      </w:r>
    </w:p>
    <w:p w14:paraId="69E6CCC1">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：详情弹窗通常展示订单号、订单状态、会员ID、商户ID、提现金额、实际金额、申请时间、操作时间和备注等内容，便于快速核对单笔订单的完整处理记录。</w:t>
      </w:r>
    </w:p>
    <w:p w14:paraId="18EFD1E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：处理审核争议或玩家咨询时，可先通过详情确认订单金额、实际到账金额和状态，再结合备注判断是否存在三方返回异常、风控驳回或人工处理记录。</w:t>
      </w:r>
    </w:p>
    <w:p w14:paraId="7736380A">
      <w:pPr>
        <w:pStyle w:val="6"/>
        <w:spacing w:after="60" w:line="276" w:lineRule="auto"/>
      </w:pPr>
      <w:r>
        <w:rPr>
          <w:rFonts w:ascii="微软雅黑" w:hAnsi="微软雅黑" w:eastAsia="微软雅黑"/>
          <w:b/>
          <w:i/>
          <w:color w:val="2F5597"/>
          <w:sz w:val="21"/>
        </w:rPr>
        <w:t>重新支付</w:t>
      </w:r>
    </w:p>
    <w:p w14:paraId="1ED474C7">
      <w:pPr>
        <w:spacing w:after="60" w:line="276" w:lineRule="auto"/>
      </w:pPr>
      <w:r>
        <w:rPr>
          <w:rFonts w:ascii="微软雅黑" w:hAnsi="微软雅黑" w:eastAsia="微软雅黑"/>
          <w:b w:val="0"/>
          <w:sz w:val="20"/>
        </w:rPr>
        <w:t>重新支付弹窗用于对代付失败的提现订单再次发起支付请求，适合在已确认订单仍需继续出款、且失败原因已排查清楚时使用。</w:t>
      </w:r>
    </w:p>
    <w:p w14:paraId="4C174AAC">
      <w:pPr>
        <w:spacing w:after="40"/>
        <w:jc w:val="center"/>
      </w:pPr>
      <w:r>
        <w:drawing>
          <wp:inline distT="0" distB="0" distL="114300" distR="114300">
            <wp:extent cx="5852160" cy="5235575"/>
            <wp:effectExtent l="0" t="0" r="15240" b="317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pic:cNvPicPr>
                      <a:picLocks noChangeAspect="1"/>
                    </pic:cNvPicPr>
                  </pic:nvPicPr>
                  <pic:blipFill>
                    <a:blip r:embed="rId75"/>
                    <a:stretch>
                      <a:fillRect/>
                    </a:stretch>
                  </pic:blipFill>
                  <pic:spPr>
                    <a:xfrm>
                      <a:off x="0" y="0"/>
                      <a:ext cx="5852160" cy="5236144"/>
                    </a:xfrm>
                    <a:prstGeom prst="rect">
                      <a:avLst/>
                    </a:prstGeom>
                  </pic:spPr>
                </pic:pic>
              </a:graphicData>
            </a:graphic>
          </wp:inline>
        </w:drawing>
      </w:r>
    </w:p>
    <w:p w14:paraId="6D2F3C23">
      <w:pPr>
        <w:pStyle w:val="15"/>
        <w:spacing w:after="120"/>
        <w:jc w:val="center"/>
      </w:pPr>
      <w:r>
        <w:rPr>
          <w:rFonts w:ascii="微软雅黑" w:hAnsi="微软雅黑" w:eastAsia="微软雅黑"/>
          <w:b w:val="0"/>
          <w:color w:val="707E92"/>
          <w:sz w:val="18"/>
        </w:rPr>
        <w:t>图：重新支付弹窗，用于确认再次调用代付接口并选择代付通道。</w:t>
      </w:r>
    </w:p>
    <w:p w14:paraId="14434498">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：重新支付通常用于三方代付失败但订单仍需继续出款的场景，例如临时通道异常、余额不足或通道切换后需重新提交。执行前应先确认失败原因已处理，避免重复提交无效请求。</w:t>
      </w:r>
    </w:p>
    <w:p w14:paraId="3975E5D1">
      <w:pPr>
        <w:pStyle w:val="16"/>
        <w:spacing w:after="60" w:line="276" w:lineRule="auto"/>
      </w:pPr>
      <w:r>
        <w:rPr>
          <w:rFonts w:ascii="微软雅黑" w:hAnsi="微软雅黑" w:eastAsia="微软雅黑"/>
          <w:b/>
          <w:color w:val="2F5597"/>
          <w:sz w:val="20"/>
        </w:rPr>
        <w:t>通道选择</w:t>
      </w:r>
      <w:r>
        <w:rPr>
          <w:rFonts w:ascii="微软雅黑" w:hAnsi="微软雅黑" w:eastAsia="微软雅黑"/>
          <w:b w:val="0"/>
          <w:sz w:val="20"/>
        </w:rPr>
        <w:t>：弹窗中需重新选择代付通道。选择前应先确认当前可用通道的状态、支持的提现方式和出款能力，避免再次提交到不可用或不匹配的通道。</w:t>
      </w:r>
    </w:p>
    <w:p w14:paraId="5D3E4DC3">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：确认重新支付后，系统会再次调用三方代付接口，并把最新返回结果同步记录到备注。操作后应继续关注订单状态是否进入支付中或完成。</w:t>
      </w:r>
    </w:p>
    <w:p w14:paraId="7FB985A3">
      <w:pPr>
        <w:pStyle w:val="6"/>
        <w:spacing w:after="60" w:line="276" w:lineRule="auto"/>
      </w:pPr>
      <w:r>
        <w:rPr>
          <w:rFonts w:ascii="微软雅黑" w:hAnsi="微软雅黑" w:eastAsia="微软雅黑"/>
          <w:b/>
          <w:i/>
          <w:color w:val="2F5597"/>
          <w:sz w:val="21"/>
        </w:rPr>
        <w:t>取消订单</w:t>
      </w:r>
    </w:p>
    <w:p w14:paraId="63662334">
      <w:pPr>
        <w:spacing w:after="60" w:line="276" w:lineRule="auto"/>
      </w:pPr>
      <w:r>
        <w:rPr>
          <w:rFonts w:ascii="微软雅黑" w:hAnsi="微软雅黑" w:eastAsia="微软雅黑"/>
          <w:b w:val="0"/>
          <w:sz w:val="20"/>
        </w:rPr>
        <w:t>取消订单弹窗用于终止当前提现申请，并按页面提示把未完成出款的金额退回系统余额，适合处理无法继续支付或明确无需继续出款的订单。</w:t>
      </w:r>
    </w:p>
    <w:p w14:paraId="769BDB41">
      <w:pPr>
        <w:spacing w:after="40"/>
        <w:jc w:val="center"/>
      </w:pPr>
      <w:r>
        <w:drawing>
          <wp:inline distT="0" distB="0" distL="114300" distR="114300">
            <wp:extent cx="5852160" cy="8082915"/>
            <wp:effectExtent l="0" t="0" r="15240" b="1333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pic:cNvPicPr>
                      <a:picLocks noChangeAspect="1"/>
                    </pic:cNvPicPr>
                  </pic:nvPicPr>
                  <pic:blipFill>
                    <a:blip r:embed="rId76"/>
                    <a:stretch>
                      <a:fillRect/>
                    </a:stretch>
                  </pic:blipFill>
                  <pic:spPr>
                    <a:xfrm>
                      <a:off x="0" y="0"/>
                      <a:ext cx="5852160" cy="8083463"/>
                    </a:xfrm>
                    <a:prstGeom prst="rect">
                      <a:avLst/>
                    </a:prstGeom>
                  </pic:spPr>
                </pic:pic>
              </a:graphicData>
            </a:graphic>
          </wp:inline>
        </w:drawing>
      </w:r>
    </w:p>
    <w:p w14:paraId="781B6452">
      <w:pPr>
        <w:pStyle w:val="15"/>
        <w:spacing w:after="120"/>
        <w:jc w:val="center"/>
      </w:pPr>
      <w:r>
        <w:rPr>
          <w:rFonts w:ascii="微软雅黑" w:hAnsi="微软雅黑" w:eastAsia="微软雅黑"/>
          <w:b w:val="0"/>
          <w:color w:val="707E92"/>
          <w:sz w:val="18"/>
        </w:rPr>
        <w:t>图：取消订单弹窗，用于确认终止提现订单并填写备注。</w:t>
      </w:r>
    </w:p>
    <w:p w14:paraId="08279046">
      <w:pPr>
        <w:pStyle w:val="16"/>
        <w:spacing w:after="60" w:line="276" w:lineRule="auto"/>
      </w:pPr>
      <w:r>
        <w:rPr>
          <w:rFonts w:ascii="微软雅黑" w:hAnsi="微软雅黑" w:eastAsia="微软雅黑"/>
          <w:b/>
          <w:color w:val="2F5597"/>
          <w:sz w:val="20"/>
        </w:rPr>
        <w:t>取消影响</w:t>
      </w:r>
      <w:r>
        <w:rPr>
          <w:rFonts w:ascii="微软雅黑" w:hAnsi="微软雅黑" w:eastAsia="微软雅黑"/>
          <w:b w:val="0"/>
          <w:sz w:val="20"/>
        </w:rPr>
        <w:t>：取消订单后，页面通常会把订单状态更新为失败或关闭，并按当前规则将未完成出款的金额退回对应余额。执行前应先确认该订单确实无需继续支付，避免误取消正常订单。</w:t>
      </w:r>
    </w:p>
    <w:p w14:paraId="7BFCE3C1">
      <w:pPr>
        <w:pStyle w:val="16"/>
        <w:spacing w:after="60" w:line="276" w:lineRule="auto"/>
      </w:pPr>
      <w:r>
        <w:rPr>
          <w:rFonts w:ascii="微软雅黑" w:hAnsi="微软雅黑" w:eastAsia="微软雅黑"/>
          <w:b/>
          <w:color w:val="2F5597"/>
          <w:sz w:val="20"/>
        </w:rPr>
        <w:t>备注说明</w:t>
      </w:r>
      <w:r>
        <w:rPr>
          <w:rFonts w:ascii="微软雅黑" w:hAnsi="微软雅黑" w:eastAsia="微软雅黑"/>
          <w:b w:val="0"/>
          <w:sz w:val="20"/>
        </w:rPr>
        <w:t>：弹窗支持填写备注，建议明确记录取消原因、处理人和特殊说明，便于后续客服、财务或风控继续追溯订单处理过程。</w:t>
      </w:r>
    </w:p>
    <w:p w14:paraId="292FAFE2">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：对支付失败、通道不可用或风控确认不再放款的订单，可使用取消订单完成收口；操作后建议同步核对账变记录和会员余额，确认资金已按预期回退。</w:t>
      </w:r>
    </w:p>
    <w:p w14:paraId="738BC6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提现风控审核</w:t>
      </w:r>
    </w:p>
    <w:p w14:paraId="31F2DB24">
      <w:pPr>
        <w:spacing w:after="60" w:line="276" w:lineRule="auto"/>
      </w:pPr>
      <w:r>
        <w:rPr>
          <w:rFonts w:ascii="微软雅黑" w:hAnsi="微软雅黑" w:eastAsia="微软雅黑"/>
          <w:b w:val="0"/>
          <w:sz w:val="20"/>
        </w:rPr>
        <w:t>提现风控审核用于处理命中风控规则的提现订单，帮助财务和风控人员在出款前核对订单风险、会员资金行为和审核结论。日常处理时可先在待审核页签定位目标订单，再根据初审、复审和审核日志继续跟踪处理结果。</w:t>
      </w:r>
    </w:p>
    <w:p w14:paraId="5BDFA317">
      <w:pPr>
        <w:pStyle w:val="6"/>
        <w:spacing w:after="60" w:line="276" w:lineRule="auto"/>
      </w:pPr>
      <w:r>
        <w:rPr>
          <w:rFonts w:ascii="微软雅黑" w:hAnsi="微软雅黑" w:eastAsia="微软雅黑"/>
          <w:b/>
          <w:i/>
          <w:color w:val="2F5597"/>
          <w:sz w:val="21"/>
        </w:rPr>
        <w:t>待审核列表</w:t>
      </w:r>
    </w:p>
    <w:p w14:paraId="78725DC3">
      <w:pPr>
        <w:spacing w:after="60" w:line="276" w:lineRule="auto"/>
      </w:pPr>
      <w:r>
        <w:rPr>
          <w:rFonts w:ascii="微软雅黑" w:hAnsi="微软雅黑" w:eastAsia="微软雅黑"/>
          <w:b w:val="0"/>
          <w:sz w:val="20"/>
        </w:rPr>
        <w:t>待审核页签用于集中查看待初审的风控提现订单，适合按申请时间、会员ID和状态快速筛选风险订单，并从列表直接进入初审处理。页面说明栏会展示关联账号数和游戏风控触发次数的查看口径，便于在审核前先判断订单的风险等级。</w:t>
      </w:r>
    </w:p>
    <w:p w14:paraId="4E1645C3">
      <w:pPr>
        <w:spacing w:after="40"/>
        <w:jc w:val="center"/>
      </w:pPr>
      <w:r>
        <w:drawing>
          <wp:inline distT="0" distB="0" distL="114300" distR="114300">
            <wp:extent cx="5852160" cy="2221230"/>
            <wp:effectExtent l="0" t="0" r="15240" b="762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pic:cNvPicPr>
                      <a:picLocks noChangeAspect="1"/>
                    </pic:cNvPicPr>
                  </pic:nvPicPr>
                  <pic:blipFill>
                    <a:blip r:embed="rId77"/>
                    <a:stretch>
                      <a:fillRect/>
                    </a:stretch>
                  </pic:blipFill>
                  <pic:spPr>
                    <a:xfrm>
                      <a:off x="0" y="0"/>
                      <a:ext cx="5852160" cy="2221258"/>
                    </a:xfrm>
                    <a:prstGeom prst="rect">
                      <a:avLst/>
                    </a:prstGeom>
                  </pic:spPr>
                </pic:pic>
              </a:graphicData>
            </a:graphic>
          </wp:inline>
        </w:drawing>
      </w:r>
    </w:p>
    <w:p w14:paraId="55C1D665">
      <w:pPr>
        <w:pStyle w:val="15"/>
        <w:spacing w:after="120"/>
        <w:jc w:val="center"/>
      </w:pPr>
      <w:r>
        <w:rPr>
          <w:rFonts w:ascii="微软雅黑" w:hAnsi="微软雅黑" w:eastAsia="微软雅黑"/>
          <w:b w:val="0"/>
          <w:color w:val="707E92"/>
          <w:sz w:val="18"/>
        </w:rPr>
        <w:t>图：提现风控审核待审核列表，用于按申请时间、会员ID和状态筛选待处理订单。</w:t>
      </w:r>
    </w:p>
    <w:p w14:paraId="5EB5D28A">
      <w:pPr>
        <w:pStyle w:val="16"/>
        <w:spacing w:after="60" w:line="276" w:lineRule="auto"/>
      </w:pPr>
      <w:r>
        <w:rPr>
          <w:rFonts w:ascii="微软雅黑" w:hAnsi="微软雅黑" w:eastAsia="微软雅黑"/>
          <w:b/>
          <w:color w:val="2F5597"/>
          <w:sz w:val="20"/>
        </w:rPr>
        <w:t>筛选与列表</w:t>
      </w:r>
      <w:r>
        <w:rPr>
          <w:rFonts w:ascii="微软雅黑" w:hAnsi="微软雅黑" w:eastAsia="微软雅黑"/>
          <w:b w:val="0"/>
          <w:sz w:val="20"/>
        </w:rPr>
        <w:t>：列表通常展示订单号、订单状态、会员ID、商户ID、提现金额、实际金额、提现申请时间、关联账号触发次数和游戏风控触发次数等信息。处理前应先核对触发次数是否异常，再决定是否进入初审。</w:t>
      </w:r>
    </w:p>
    <w:p w14:paraId="60AF218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：列表操作列提供初审入口。进入审核前建议先结合会员历史充值、总游戏投注和总游戏输赢等数据判断是否存在套利、对刷或异常出款风险。</w:t>
      </w:r>
    </w:p>
    <w:p w14:paraId="56D6051D">
      <w:pPr>
        <w:pStyle w:val="6"/>
        <w:spacing w:after="60" w:line="276" w:lineRule="auto"/>
      </w:pPr>
      <w:r>
        <w:rPr>
          <w:rFonts w:ascii="微软雅黑" w:hAnsi="微软雅黑" w:eastAsia="微软雅黑"/>
          <w:b/>
          <w:i/>
          <w:color w:val="2F5597"/>
          <w:sz w:val="21"/>
        </w:rPr>
        <w:t>初审处理</w:t>
      </w:r>
    </w:p>
    <w:p w14:paraId="5896BAEC">
      <w:pPr>
        <w:spacing w:after="60" w:line="276" w:lineRule="auto"/>
      </w:pPr>
      <w:r>
        <w:rPr>
          <w:rFonts w:ascii="微软雅黑" w:hAnsi="微软雅黑" w:eastAsia="微软雅黑"/>
          <w:b w:val="0"/>
          <w:sz w:val="20"/>
        </w:rPr>
        <w:t>初审弹窗用于处理首次命中风控的提现订单，适合在一个窗口内完成订单信息核对、会员行为判断和审核结论提交。弹窗会展示账户余额、充值次数、总游戏投注、总游戏输赢、关联账号数和游戏风控等关键字段。</w:t>
      </w:r>
    </w:p>
    <w:p w14:paraId="5D77558C">
      <w:pPr>
        <w:spacing w:after="40"/>
        <w:jc w:val="center"/>
      </w:pPr>
      <w:r>
        <w:drawing>
          <wp:inline distT="0" distB="0" distL="114300" distR="114300">
            <wp:extent cx="5852160" cy="4999990"/>
            <wp:effectExtent l="0" t="0" r="15240" b="1016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a:picLocks noChangeAspect="1"/>
                    </pic:cNvPicPr>
                  </pic:nvPicPr>
                  <pic:blipFill>
                    <a:blip r:embed="rId78"/>
                    <a:stretch>
                      <a:fillRect/>
                    </a:stretch>
                  </pic:blipFill>
                  <pic:spPr>
                    <a:xfrm>
                      <a:off x="0" y="0"/>
                      <a:ext cx="5852160" cy="5000363"/>
                    </a:xfrm>
                    <a:prstGeom prst="rect">
                      <a:avLst/>
                    </a:prstGeom>
                  </pic:spPr>
                </pic:pic>
              </a:graphicData>
            </a:graphic>
          </wp:inline>
        </w:drawing>
      </w:r>
    </w:p>
    <w:p w14:paraId="4B364D1A">
      <w:pPr>
        <w:pStyle w:val="15"/>
        <w:spacing w:after="120"/>
        <w:jc w:val="center"/>
      </w:pPr>
      <w:r>
        <w:rPr>
          <w:rFonts w:ascii="微软雅黑" w:hAnsi="微软雅黑" w:eastAsia="微软雅黑"/>
          <w:b w:val="0"/>
          <w:color w:val="707E92"/>
          <w:sz w:val="18"/>
        </w:rPr>
        <w:t>图：初审弹窗，用于核对订单信息并提交通过或不通过的初审结果。</w:t>
      </w:r>
    </w:p>
    <w:p w14:paraId="5C0AE97F">
      <w:pPr>
        <w:pStyle w:val="16"/>
        <w:spacing w:after="60" w:line="276" w:lineRule="auto"/>
      </w:pPr>
      <w:r>
        <w:rPr>
          <w:rFonts w:ascii="微软雅黑" w:hAnsi="微软雅黑" w:eastAsia="微软雅黑"/>
          <w:b/>
          <w:color w:val="2F5597"/>
          <w:sz w:val="20"/>
        </w:rPr>
        <w:t>审核字段</w:t>
      </w:r>
      <w:r>
        <w:rPr>
          <w:rFonts w:ascii="微软雅黑" w:hAnsi="微软雅黑" w:eastAsia="微软雅黑"/>
          <w:b w:val="0"/>
          <w:sz w:val="20"/>
        </w:rPr>
        <w:t>：初审时应重点核对提现金额、实际金额、手续费、提现方式、收款账号、申请时间以及会员历史资金数据，确认订单是否符合正常出款条件。</w:t>
      </w:r>
    </w:p>
    <w:p w14:paraId="09F5AD10">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：初审通过后，订单会进入复审环节；初审不通过时，应在备注中写明驳回原因，便于后续客服、财务和风控追溯处理记录。</w:t>
      </w:r>
    </w:p>
    <w:p w14:paraId="6C727D69">
      <w:pPr>
        <w:pStyle w:val="6"/>
        <w:spacing w:after="60" w:line="276" w:lineRule="auto"/>
      </w:pPr>
      <w:r>
        <w:rPr>
          <w:rFonts w:ascii="微软雅黑" w:hAnsi="微软雅黑" w:eastAsia="微软雅黑"/>
          <w:b/>
          <w:i/>
          <w:color w:val="2F5597"/>
          <w:sz w:val="21"/>
        </w:rPr>
        <w:t>复审处理</w:t>
      </w:r>
    </w:p>
    <w:p w14:paraId="7E3D531C">
      <w:pPr>
        <w:spacing w:after="60" w:line="276" w:lineRule="auto"/>
      </w:pPr>
      <w:r>
        <w:rPr>
          <w:rFonts w:ascii="微软雅黑" w:hAnsi="微软雅黑" w:eastAsia="微软雅黑"/>
          <w:b w:val="0"/>
          <w:sz w:val="20"/>
        </w:rPr>
        <w:t>复审弹窗用于处理已通过初审、需要进一步确认出款安全性的订单。除了继续查看订单和会员数据外，页面还支持选择代付通道并补充备注，适合在复核后决定是否进入实际支付。</w:t>
      </w:r>
    </w:p>
    <w:p w14:paraId="3BE8DD0E">
      <w:pPr>
        <w:spacing w:after="40"/>
        <w:jc w:val="center"/>
      </w:pPr>
      <w:r>
        <w:drawing>
          <wp:inline distT="0" distB="0" distL="114300" distR="114300">
            <wp:extent cx="5852160" cy="5133975"/>
            <wp:effectExtent l="0" t="0" r="15240"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pic:cNvPicPr>
                      <a:picLocks noChangeAspect="1"/>
                    </pic:cNvPicPr>
                  </pic:nvPicPr>
                  <pic:blipFill>
                    <a:blip r:embed="rId79"/>
                    <a:stretch>
                      <a:fillRect/>
                    </a:stretch>
                  </pic:blipFill>
                  <pic:spPr>
                    <a:xfrm>
                      <a:off x="0" y="0"/>
                      <a:ext cx="5852160" cy="5134442"/>
                    </a:xfrm>
                    <a:prstGeom prst="rect">
                      <a:avLst/>
                    </a:prstGeom>
                  </pic:spPr>
                </pic:pic>
              </a:graphicData>
            </a:graphic>
          </wp:inline>
        </w:drawing>
      </w:r>
    </w:p>
    <w:p w14:paraId="71FB18C8">
      <w:pPr>
        <w:pStyle w:val="15"/>
        <w:spacing w:after="120"/>
        <w:jc w:val="center"/>
      </w:pPr>
      <w:r>
        <w:rPr>
          <w:rFonts w:ascii="微软雅黑" w:hAnsi="微软雅黑" w:eastAsia="微软雅黑"/>
          <w:b w:val="0"/>
          <w:color w:val="707E92"/>
          <w:sz w:val="18"/>
        </w:rPr>
        <w:t>图：复审弹窗，用于复核订单风险并选择后续代付通道。</w:t>
      </w:r>
    </w:p>
    <w:p w14:paraId="47169757">
      <w:pPr>
        <w:pStyle w:val="16"/>
        <w:spacing w:after="60" w:line="276" w:lineRule="auto"/>
      </w:pPr>
      <w:r>
        <w:rPr>
          <w:rFonts w:ascii="微软雅黑" w:hAnsi="微软雅黑" w:eastAsia="微软雅黑"/>
          <w:b/>
          <w:color w:val="2F5597"/>
          <w:sz w:val="20"/>
        </w:rPr>
        <w:t>复核要点</w:t>
      </w:r>
      <w:r>
        <w:rPr>
          <w:rFonts w:ascii="微软雅黑" w:hAnsi="微软雅黑" w:eastAsia="微软雅黑"/>
          <w:b w:val="0"/>
          <w:sz w:val="20"/>
        </w:rPr>
        <w:t>：复审时应重点核对初审结论、总游戏投注、总游戏输赢、关联账号数、游戏风控结果和当前收款信息是否一致，避免在风险未排除时直接放款。</w:t>
      </w:r>
    </w:p>
    <w:p w14:paraId="7995DB78">
      <w:pPr>
        <w:pStyle w:val="16"/>
        <w:spacing w:after="60" w:line="276" w:lineRule="auto"/>
      </w:pPr>
      <w:r>
        <w:rPr>
          <w:rFonts w:ascii="微软雅黑" w:hAnsi="微软雅黑" w:eastAsia="微软雅黑"/>
          <w:b/>
          <w:color w:val="2F5597"/>
          <w:sz w:val="20"/>
        </w:rPr>
        <w:t>支付流转</w:t>
      </w:r>
      <w:r>
        <w:rPr>
          <w:rFonts w:ascii="微软雅黑" w:hAnsi="微软雅黑" w:eastAsia="微软雅黑"/>
          <w:b w:val="0"/>
          <w:sz w:val="20"/>
        </w:rPr>
        <w:t>：复核通过后订单会进入支付流程，后续需继续关注支付结果、出款进度和备注中的通道处理记录；复核不通过时应明确记录拒绝原因。</w:t>
      </w:r>
    </w:p>
    <w:p w14:paraId="5AF5232F">
      <w:pPr>
        <w:pStyle w:val="6"/>
        <w:spacing w:after="60" w:line="276" w:lineRule="auto"/>
      </w:pPr>
      <w:r>
        <w:rPr>
          <w:rFonts w:ascii="微软雅黑" w:hAnsi="微软雅黑" w:eastAsia="微软雅黑"/>
          <w:b/>
          <w:i/>
          <w:color w:val="2F5597"/>
          <w:sz w:val="21"/>
        </w:rPr>
        <w:t>审核日志</w:t>
      </w:r>
    </w:p>
    <w:p w14:paraId="02FEA60E">
      <w:pPr>
        <w:spacing w:after="60" w:line="276" w:lineRule="auto"/>
      </w:pPr>
      <w:r>
        <w:rPr>
          <w:rFonts w:ascii="微软雅黑" w:hAnsi="微软雅黑" w:eastAsia="微软雅黑"/>
          <w:b w:val="0"/>
          <w:sz w:val="20"/>
        </w:rPr>
        <w:t>审核日志页签用于查询已处理过的风控审核记录，适合复盘同一会员的历史审核情况、查看初审与复审结果，以及确认不同审核人员的处理时间和结论。</w:t>
      </w:r>
    </w:p>
    <w:p w14:paraId="6A2CEDAE">
      <w:pPr>
        <w:spacing w:after="40"/>
        <w:jc w:val="center"/>
      </w:pPr>
      <w:r>
        <w:drawing>
          <wp:inline distT="0" distB="0" distL="114300" distR="114300">
            <wp:extent cx="5852160" cy="2106295"/>
            <wp:effectExtent l="0" t="0" r="15240" b="825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pic:cNvPicPr>
                      <a:picLocks noChangeAspect="1"/>
                    </pic:cNvPicPr>
                  </pic:nvPicPr>
                  <pic:blipFill>
                    <a:blip r:embed="rId80"/>
                    <a:stretch>
                      <a:fillRect/>
                    </a:stretch>
                  </pic:blipFill>
                  <pic:spPr>
                    <a:xfrm>
                      <a:off x="0" y="0"/>
                      <a:ext cx="5852160" cy="2106633"/>
                    </a:xfrm>
                    <a:prstGeom prst="rect">
                      <a:avLst/>
                    </a:prstGeom>
                  </pic:spPr>
                </pic:pic>
              </a:graphicData>
            </a:graphic>
          </wp:inline>
        </w:drawing>
      </w:r>
    </w:p>
    <w:p w14:paraId="5A05439B">
      <w:pPr>
        <w:pStyle w:val="15"/>
        <w:spacing w:after="120"/>
        <w:jc w:val="center"/>
      </w:pPr>
      <w:r>
        <w:rPr>
          <w:rFonts w:ascii="微软雅黑" w:hAnsi="微软雅黑" w:eastAsia="微软雅黑"/>
          <w:b w:val="0"/>
          <w:color w:val="707E92"/>
          <w:sz w:val="18"/>
        </w:rPr>
        <w:t>图：审核日志列表，用于按审核时间、订单号和审核结果查询历史审核记录。</w:t>
      </w:r>
    </w:p>
    <w:p w14:paraId="49FC737E">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：日志列表通常展示提现订单号、会员ID、申请金额、实际金额、审核类型、审核结果、初审人、复审人、申请时间和审核时间。排查争议订单时可先在这里确认完整审核链路。</w:t>
      </w:r>
    </w:p>
    <w:p w14:paraId="49A70C62">
      <w:pPr>
        <w:pStyle w:val="6"/>
        <w:spacing w:after="60" w:line="276" w:lineRule="auto"/>
      </w:pPr>
      <w:r>
        <w:rPr>
          <w:rFonts w:ascii="微软雅黑" w:hAnsi="微软雅黑" w:eastAsia="微软雅黑"/>
          <w:b/>
          <w:i/>
          <w:color w:val="2F5597"/>
          <w:sz w:val="21"/>
        </w:rPr>
        <w:t>日志详情</w:t>
      </w:r>
    </w:p>
    <w:p w14:paraId="5D4375CB">
      <w:pPr>
        <w:spacing w:after="60" w:line="276" w:lineRule="auto"/>
      </w:pPr>
      <w:r>
        <w:rPr>
          <w:rFonts w:ascii="微软雅黑" w:hAnsi="微软雅黑" w:eastAsia="微软雅黑"/>
          <w:b w:val="0"/>
          <w:sz w:val="20"/>
        </w:rPr>
        <w:t>审核日志详情弹窗用于查看单笔订单的审核快照，适合在复盘时核对当时的资金数据、审核类型、审核结论和经手人信息，确认订单为什么被通过、驳回或转入后续支付。</w:t>
      </w:r>
    </w:p>
    <w:p w14:paraId="3897845C">
      <w:pPr>
        <w:spacing w:after="40"/>
        <w:jc w:val="center"/>
      </w:pPr>
      <w:r>
        <w:drawing>
          <wp:inline distT="0" distB="0" distL="114300" distR="114300">
            <wp:extent cx="5852160" cy="4598035"/>
            <wp:effectExtent l="0" t="0" r="15240" b="1206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pic:cNvPicPr>
                  </pic:nvPicPr>
                  <pic:blipFill>
                    <a:blip r:embed="rId81"/>
                    <a:stretch>
                      <a:fillRect/>
                    </a:stretch>
                  </pic:blipFill>
                  <pic:spPr>
                    <a:xfrm>
                      <a:off x="0" y="0"/>
                      <a:ext cx="5852160" cy="4598126"/>
                    </a:xfrm>
                    <a:prstGeom prst="rect">
                      <a:avLst/>
                    </a:prstGeom>
                  </pic:spPr>
                </pic:pic>
              </a:graphicData>
            </a:graphic>
          </wp:inline>
        </w:drawing>
      </w:r>
    </w:p>
    <w:p w14:paraId="17DC4802">
      <w:pPr>
        <w:pStyle w:val="15"/>
        <w:spacing w:after="120"/>
        <w:jc w:val="center"/>
      </w:pPr>
      <w:r>
        <w:rPr>
          <w:rFonts w:ascii="微软雅黑" w:hAnsi="微软雅黑" w:eastAsia="微软雅黑"/>
          <w:b w:val="0"/>
          <w:color w:val="707E92"/>
          <w:sz w:val="18"/>
        </w:rPr>
        <w:t>图：审核日志详情弹窗，用于查看单笔订单的审核结果和历史审核信息。</w:t>
      </w:r>
    </w:p>
    <w:p w14:paraId="3737205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：处理玩家申诉、财务对账或风控复盘时，建议结合审核日志详情中的审核类型、审核时间、初审人和复审人信息，与提现订单列表和账变记录一起交叉核对。</w:t>
      </w:r>
    </w:p>
    <w:p w14:paraId="0761347B">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支付通道数据</w:t>
      </w:r>
    </w:p>
    <w:p w14:paraId="20475940">
      <w:pPr>
        <w:spacing w:after="60" w:line="276" w:lineRule="auto"/>
      </w:pPr>
      <w:r>
        <w:rPr>
          <w:rFonts w:ascii="微软雅黑" w:hAnsi="微软雅黑" w:eastAsia="微软雅黑"/>
          <w:b w:val="0"/>
          <w:sz w:val="20"/>
        </w:rPr>
        <w:t>支付通道数据用于按时间范围和通道类型汇总查看充值或提现通道的交易表现，帮助运营或财务快速判断通道成功率、订单量和异常资金规模。</w:t>
      </w:r>
    </w:p>
    <w:p w14:paraId="6E92E910">
      <w:pPr>
        <w:pStyle w:val="6"/>
        <w:spacing w:after="60" w:line="276" w:lineRule="auto"/>
      </w:pPr>
      <w:r>
        <w:rPr>
          <w:rFonts w:ascii="微软雅黑" w:hAnsi="微软雅黑" w:eastAsia="微软雅黑"/>
          <w:b/>
          <w:i/>
          <w:color w:val="2F5597"/>
          <w:sz w:val="21"/>
        </w:rPr>
        <w:t>页面概览</w:t>
      </w:r>
    </w:p>
    <w:p w14:paraId="3815B9BB">
      <w:pPr>
        <w:spacing w:after="60" w:line="276" w:lineRule="auto"/>
      </w:pPr>
      <w:r>
        <w:rPr>
          <w:rFonts w:ascii="微软雅黑" w:hAnsi="微软雅黑" w:eastAsia="微软雅黑"/>
          <w:b w:val="0"/>
          <w:sz w:val="20"/>
        </w:rPr>
        <w:t>页面上方提供时间范围、通道类型、搜索、重置和导出报表入口，下方列表集中展示各支付通道的交易统计结果。</w:t>
      </w:r>
    </w:p>
    <w:p w14:paraId="62B6C985">
      <w:pPr>
        <w:spacing w:after="40"/>
        <w:jc w:val="center"/>
      </w:pPr>
      <w:r>
        <w:drawing>
          <wp:inline distT="0" distB="0" distL="114300" distR="114300">
            <wp:extent cx="5852160" cy="1466850"/>
            <wp:effectExtent l="0" t="0" r="1524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a:picLocks noChangeAspect="1"/>
                    </pic:cNvPicPr>
                  </pic:nvPicPr>
                  <pic:blipFill>
                    <a:blip r:embed="rId82"/>
                    <a:stretch>
                      <a:fillRect/>
                    </a:stretch>
                  </pic:blipFill>
                  <pic:spPr>
                    <a:xfrm>
                      <a:off x="0" y="0"/>
                      <a:ext cx="5852160" cy="1467428"/>
                    </a:xfrm>
                    <a:prstGeom prst="rect">
                      <a:avLst/>
                    </a:prstGeom>
                  </pic:spPr>
                </pic:pic>
              </a:graphicData>
            </a:graphic>
          </wp:inline>
        </w:drawing>
      </w:r>
    </w:p>
    <w:p w14:paraId="2C7EC34C">
      <w:pPr>
        <w:pStyle w:val="15"/>
        <w:spacing w:after="120"/>
        <w:jc w:val="center"/>
      </w:pPr>
      <w:r>
        <w:rPr>
          <w:rFonts w:ascii="微软雅黑" w:hAnsi="微软雅黑" w:eastAsia="微软雅黑"/>
          <w:b w:val="0"/>
          <w:color w:val="707E92"/>
          <w:sz w:val="18"/>
        </w:rPr>
        <w:t>图：支付通道数据页面，用于查看各支付通道的订单量、成功量和金额汇总。</w:t>
      </w:r>
    </w:p>
    <w:p w14:paraId="06751B5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：支持按开始时间、结束时间和通道类型筛选数据。切换为充值或提现后，列表会按当前类型汇总对应通道的数据结果。</w:t>
      </w:r>
    </w:p>
    <w:p w14:paraId="2CFB337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：列表包含通道名称、总人数、成功人数、总订单数、成功订单数、成功总金额和失败总金额，可直接对比各通道的转化表现与异常金额。</w:t>
      </w:r>
    </w:p>
    <w:p w14:paraId="1789D3D4">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：确认筛选条件后可导出当前结果，用于给财务、支付或运营团队做对账、复盘和通道切换评估。</w:t>
      </w:r>
    </w:p>
    <w:p w14:paraId="4E81C8C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：当某通道失败金额偏高或成功订单数明显偏低时，建议继续结合充值订单列表、提现订单列表和支付通道配置排查通道状态、回调稳定性和限额配置。</w:t>
      </w:r>
    </w:p>
    <w:p w14:paraId="0CF38EB6">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人工加扣款</w:t>
      </w:r>
    </w:p>
    <w:p w14:paraId="59209ABB">
      <w:pPr>
        <w:spacing w:after="60" w:line="276" w:lineRule="auto"/>
      </w:pPr>
      <w:r>
        <w:rPr>
          <w:rFonts w:ascii="微软雅黑" w:hAnsi="微软雅黑" w:eastAsia="微软雅黑"/>
          <w:b w:val="0"/>
          <w:sz w:val="20"/>
        </w:rPr>
        <w:t>人工加扣款用于处理会员账户的人工充值、人工赠金和人工扣款。该页面既可查询历史处理记录，也可通过新增弹窗完成单笔资金调整。</w:t>
      </w:r>
    </w:p>
    <w:p w14:paraId="47705607">
      <w:pPr>
        <w:pStyle w:val="6"/>
        <w:spacing w:after="60" w:line="276" w:lineRule="auto"/>
      </w:pPr>
      <w:r>
        <w:rPr>
          <w:rFonts w:ascii="微软雅黑" w:hAnsi="微软雅黑" w:eastAsia="微软雅黑"/>
          <w:b/>
          <w:i/>
          <w:color w:val="2F5597"/>
          <w:sz w:val="21"/>
        </w:rPr>
        <w:t>记录列表</w:t>
      </w:r>
    </w:p>
    <w:p w14:paraId="30A81BC1">
      <w:pPr>
        <w:spacing w:after="60" w:line="276" w:lineRule="auto"/>
      </w:pPr>
      <w:r>
        <w:rPr>
          <w:rFonts w:ascii="微软雅黑" w:hAnsi="微软雅黑" w:eastAsia="微软雅黑"/>
          <w:b w:val="0"/>
          <w:sz w:val="20"/>
        </w:rPr>
        <w:t>列表页用于查询人工加扣款历史，支持按时间、类型和会员ID筛选，并提供导出表格和新增入口。</w:t>
      </w:r>
    </w:p>
    <w:p w14:paraId="485F9FF6">
      <w:pPr>
        <w:spacing w:after="40"/>
        <w:jc w:val="center"/>
      </w:pPr>
      <w:r>
        <w:drawing>
          <wp:inline distT="0" distB="0" distL="114300" distR="114300">
            <wp:extent cx="5852160" cy="1609725"/>
            <wp:effectExtent l="0" t="0" r="15240"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pic:cNvPicPr>
                      <a:picLocks noChangeAspect="1"/>
                    </pic:cNvPicPr>
                  </pic:nvPicPr>
                  <pic:blipFill>
                    <a:blip r:embed="rId83"/>
                    <a:stretch>
                      <a:fillRect/>
                    </a:stretch>
                  </pic:blipFill>
                  <pic:spPr>
                    <a:xfrm>
                      <a:off x="0" y="0"/>
                      <a:ext cx="5852160" cy="1610326"/>
                    </a:xfrm>
                    <a:prstGeom prst="rect">
                      <a:avLst/>
                    </a:prstGeom>
                  </pic:spPr>
                </pic:pic>
              </a:graphicData>
            </a:graphic>
          </wp:inline>
        </w:drawing>
      </w:r>
    </w:p>
    <w:p w14:paraId="35206AC6">
      <w:pPr>
        <w:pStyle w:val="15"/>
        <w:spacing w:after="120"/>
        <w:jc w:val="center"/>
      </w:pPr>
      <w:r>
        <w:rPr>
          <w:rFonts w:ascii="微软雅黑" w:hAnsi="微软雅黑" w:eastAsia="微软雅黑"/>
          <w:b w:val="0"/>
          <w:color w:val="707E92"/>
          <w:sz w:val="18"/>
        </w:rPr>
        <w:t>图：人工加扣款列表页，用于查看会员人工加款、人工扣款和历史余额变动记录。</w:t>
      </w:r>
    </w:p>
    <w:p w14:paraId="1E949542">
      <w:pPr>
        <w:pStyle w:val="16"/>
        <w:spacing w:after="60" w:line="276" w:lineRule="auto"/>
      </w:pPr>
      <w:r>
        <w:rPr>
          <w:rFonts w:ascii="微软雅黑" w:hAnsi="微软雅黑" w:eastAsia="微软雅黑"/>
          <w:b/>
          <w:color w:val="2F5597"/>
          <w:sz w:val="20"/>
        </w:rPr>
        <w:t>筛选与操作</w:t>
      </w:r>
      <w:r>
        <w:rPr>
          <w:rFonts w:ascii="微软雅黑" w:hAnsi="微软雅黑" w:eastAsia="微软雅黑"/>
          <w:b w:val="0"/>
          <w:sz w:val="20"/>
        </w:rPr>
        <w:t>：页面上方可按开始时间、结束时间、类型和会员ID查询记录，并使用搜索、重置、导出表格和新增按钮完成日常处理。</w:t>
      </w:r>
    </w:p>
    <w:p w14:paraId="75AA696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：列表展示类型、会员ID、操作人、金额、打码量、变动前余额、变动后余额、操作时间和备注，便于复核每一笔人工调整的来龙去脉。</w:t>
      </w:r>
    </w:p>
    <w:p w14:paraId="33B43A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：处理资金争议时，可先按会员ID定位记录，再结合充值订单、提现订单和账变记录核对余额变化是否与人工处理一致。</w:t>
      </w:r>
    </w:p>
    <w:p w14:paraId="57F1BD5B">
      <w:pPr>
        <w:pStyle w:val="6"/>
        <w:spacing w:after="60" w:line="276" w:lineRule="auto"/>
      </w:pPr>
      <w:r>
        <w:rPr>
          <w:rFonts w:ascii="微软雅黑" w:hAnsi="微软雅黑" w:eastAsia="微软雅黑"/>
          <w:b/>
          <w:i/>
          <w:color w:val="2F5597"/>
          <w:sz w:val="21"/>
        </w:rPr>
        <w:t>新增人工加款</w:t>
      </w:r>
    </w:p>
    <w:p w14:paraId="46C2D4B7">
      <w:pPr>
        <w:spacing w:after="60" w:line="276" w:lineRule="auto"/>
      </w:pPr>
      <w:r>
        <w:rPr>
          <w:rFonts w:ascii="微软雅黑" w:hAnsi="微软雅黑" w:eastAsia="微软雅黑"/>
          <w:b w:val="0"/>
          <w:sz w:val="20"/>
        </w:rPr>
        <w:t>人工加款弹窗用于补发余额、线下入账或活动赠金。录入会员后，先查询会员信息，再根据实际场景选择加款类型和金额。</w:t>
      </w:r>
    </w:p>
    <w:p w14:paraId="1BF399F0">
      <w:pPr>
        <w:spacing w:after="40"/>
        <w:jc w:val="center"/>
      </w:pPr>
      <w:r>
        <w:drawing>
          <wp:inline distT="0" distB="0" distL="114300" distR="114300">
            <wp:extent cx="4389120" cy="4396740"/>
            <wp:effectExtent l="0" t="0" r="11430" b="381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pic:cNvPicPr>
                  </pic:nvPicPr>
                  <pic:blipFill>
                    <a:blip r:embed="rId84"/>
                    <a:stretch>
                      <a:fillRect/>
                    </a:stretch>
                  </pic:blipFill>
                  <pic:spPr>
                    <a:xfrm>
                      <a:off x="0" y="0"/>
                      <a:ext cx="4389120" cy="4397203"/>
                    </a:xfrm>
                    <a:prstGeom prst="rect">
                      <a:avLst/>
                    </a:prstGeom>
                  </pic:spPr>
                </pic:pic>
              </a:graphicData>
            </a:graphic>
          </wp:inline>
        </w:drawing>
      </w:r>
    </w:p>
    <w:p w14:paraId="703953FA">
      <w:pPr>
        <w:pStyle w:val="15"/>
        <w:spacing w:after="120"/>
        <w:jc w:val="center"/>
      </w:pPr>
      <w:r>
        <w:rPr>
          <w:rFonts w:ascii="微软雅黑" w:hAnsi="微软雅黑" w:eastAsia="微软雅黑"/>
          <w:b w:val="0"/>
          <w:color w:val="707E92"/>
          <w:sz w:val="18"/>
        </w:rPr>
        <w:t>图：新增人工加扣款弹窗的人工加款模式，用于录入会员、加款类型、金额和打码倍数。</w:t>
      </w:r>
    </w:p>
    <w:p w14:paraId="3D5FEBDC">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：先输入会员ID并点击搜索，确认用户名、商户ID和当前余额后再继续操作，避免把资金加到错误账号。</w:t>
      </w:r>
    </w:p>
    <w:p w14:paraId="2F6ABB14">
      <w:pPr>
        <w:pStyle w:val="16"/>
        <w:spacing w:after="60" w:line="276" w:lineRule="auto"/>
      </w:pPr>
      <w:r>
        <w:rPr>
          <w:rFonts w:ascii="微软雅黑" w:hAnsi="微软雅黑" w:eastAsia="微软雅黑"/>
          <w:b/>
          <w:color w:val="2F5597"/>
          <w:sz w:val="20"/>
        </w:rPr>
        <w:t>操作与类型</w:t>
      </w:r>
      <w:r>
        <w:rPr>
          <w:rFonts w:ascii="微软雅黑" w:hAnsi="微软雅黑" w:eastAsia="微软雅黑"/>
          <w:b w:val="0"/>
          <w:sz w:val="20"/>
        </w:rPr>
        <w:t>：操作选择“人工加款”后，可继续选择加款类型。常见场景包括人工充值和人工赠金，需按实际业务口径选择。</w:t>
      </w:r>
    </w:p>
    <w:p w14:paraId="65E47E6C">
      <w:pPr>
        <w:pStyle w:val="16"/>
        <w:spacing w:after="60" w:line="276" w:lineRule="auto"/>
      </w:pPr>
      <w:r>
        <w:rPr>
          <w:rFonts w:ascii="微软雅黑" w:hAnsi="微软雅黑" w:eastAsia="微软雅黑"/>
          <w:b/>
          <w:color w:val="2F5597"/>
          <w:sz w:val="20"/>
        </w:rPr>
        <w:t>金额与打码倍数</w:t>
      </w:r>
      <w:r>
        <w:rPr>
          <w:rFonts w:ascii="微软雅黑" w:hAnsi="微软雅黑" w:eastAsia="微软雅黑"/>
          <w:b w:val="0"/>
          <w:sz w:val="20"/>
        </w:rPr>
        <w:t>：金额为本次实际加款数值；打码倍数用于控制该笔加款后的打码要求。填写前应确认当前平台规则，避免赠金到账后产生错误的提款限制。</w:t>
      </w:r>
    </w:p>
    <w:p w14:paraId="0F61FD3F">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：备注建议写明补发原因、审批依据或外部凭证编号。提交前应再次核对会员ID、金额方向和打码要求，提交后再回到列表确认余额是否已更新。</w:t>
      </w:r>
    </w:p>
    <w:p w14:paraId="3D636892">
      <w:pPr>
        <w:pStyle w:val="6"/>
        <w:spacing w:after="60" w:line="276" w:lineRule="auto"/>
      </w:pPr>
      <w:r>
        <w:rPr>
          <w:rFonts w:ascii="微软雅黑" w:hAnsi="微软雅黑" w:eastAsia="微软雅黑"/>
          <w:b/>
          <w:i/>
          <w:color w:val="2F5597"/>
          <w:sz w:val="21"/>
        </w:rPr>
        <w:t>新增人工扣款</w:t>
      </w:r>
    </w:p>
    <w:p w14:paraId="2A9C8403">
      <w:pPr>
        <w:spacing w:after="60" w:line="276" w:lineRule="auto"/>
      </w:pPr>
      <w:r>
        <w:rPr>
          <w:rFonts w:ascii="微软雅黑" w:hAnsi="微软雅黑" w:eastAsia="微软雅黑"/>
          <w:b w:val="0"/>
          <w:sz w:val="20"/>
        </w:rPr>
        <w:t>人工扣款弹窗用于处理异常余额修正、误发追回等场景。切换为人工扣款后，弹窗会显示扣款类型和金额输入项，不再填写打码倍数。</w:t>
      </w:r>
    </w:p>
    <w:p w14:paraId="75DAD404">
      <w:pPr>
        <w:spacing w:after="40"/>
        <w:jc w:val="center"/>
      </w:pPr>
      <w:r>
        <w:drawing>
          <wp:inline distT="0" distB="0" distL="114300" distR="114300">
            <wp:extent cx="4389120" cy="3796665"/>
            <wp:effectExtent l="0" t="0" r="11430" b="1333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pic:cNvPicPr>
                      <a:picLocks noChangeAspect="1"/>
                    </pic:cNvPicPr>
                  </pic:nvPicPr>
                  <pic:blipFill>
                    <a:blip r:embed="rId85"/>
                    <a:stretch>
                      <a:fillRect/>
                    </a:stretch>
                  </pic:blipFill>
                  <pic:spPr>
                    <a:xfrm>
                      <a:off x="0" y="0"/>
                      <a:ext cx="4389120" cy="3796873"/>
                    </a:xfrm>
                    <a:prstGeom prst="rect">
                      <a:avLst/>
                    </a:prstGeom>
                  </pic:spPr>
                </pic:pic>
              </a:graphicData>
            </a:graphic>
          </wp:inline>
        </w:drawing>
      </w:r>
    </w:p>
    <w:p w14:paraId="6218CB00">
      <w:pPr>
        <w:pStyle w:val="15"/>
        <w:spacing w:after="120"/>
        <w:jc w:val="center"/>
      </w:pPr>
      <w:r>
        <w:rPr>
          <w:rFonts w:ascii="微软雅黑" w:hAnsi="微软雅黑" w:eastAsia="微软雅黑"/>
          <w:b w:val="0"/>
          <w:color w:val="707E92"/>
          <w:sz w:val="18"/>
        </w:rPr>
        <w:t>图：新增人工加扣款弹窗的人工扣款模式，用于录入扣款类型、金额和备注。</w:t>
      </w:r>
    </w:p>
    <w:p w14:paraId="559EC320">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：适合处理多发余额追回、异常资金修正和审批通过后的人工扣减。扣款前必须确认会员当前余额足够，且扣减理由已经留痕。</w:t>
      </w:r>
    </w:p>
    <w:p w14:paraId="280A18B6">
      <w:pPr>
        <w:pStyle w:val="16"/>
        <w:spacing w:after="60" w:line="276" w:lineRule="auto"/>
      </w:pPr>
      <w:r>
        <w:rPr>
          <w:rFonts w:ascii="微软雅黑" w:hAnsi="微软雅黑" w:eastAsia="微软雅黑"/>
          <w:b/>
          <w:color w:val="2F5597"/>
          <w:sz w:val="20"/>
        </w:rPr>
        <w:t>扣款字段</w:t>
      </w:r>
      <w:r>
        <w:rPr>
          <w:rFonts w:ascii="微软雅黑" w:hAnsi="微软雅黑" w:eastAsia="微软雅黑"/>
          <w:b w:val="0"/>
          <w:sz w:val="20"/>
        </w:rPr>
        <w:t>：在人工扣款模式下，需要重点填写扣款类型、金额和备注。金额应填写本次实际扣减额度，备注建议写明问题来源和审批结论。</w:t>
      </w:r>
    </w:p>
    <w:p w14:paraId="4814ED89">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：提交前需再次确认扣款账号、金额和原因，避免误扣正常会员余额。提交后建议立即返回列表核对变动后余额，并同步查看账变记录是否生成。</w:t>
      </w:r>
    </w:p>
    <w:p w14:paraId="53760425">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账变记录</w:t>
      </w:r>
    </w:p>
    <w:p w14:paraId="0362EA67">
      <w:pPr>
        <w:spacing w:after="60" w:line="276" w:lineRule="auto"/>
      </w:pPr>
      <w:r>
        <w:rPr>
          <w:rFonts w:ascii="微软雅黑" w:hAnsi="微软雅黑" w:eastAsia="微软雅黑"/>
          <w:b w:val="0"/>
          <w:sz w:val="20"/>
        </w:rPr>
        <w:t>账变记录用于按会员和账变类型追踪账户余额的每一笔变动明细，是财务、客服和风控核对充值、提现、活动奖励与游戏结算结果的核心查询页面。</w:t>
      </w:r>
    </w:p>
    <w:p w14:paraId="6F3BAD74">
      <w:pPr>
        <w:pStyle w:val="6"/>
        <w:spacing w:after="60" w:line="276" w:lineRule="auto"/>
      </w:pPr>
      <w:r>
        <w:rPr>
          <w:rFonts w:ascii="微软雅黑" w:hAnsi="微软雅黑" w:eastAsia="微软雅黑"/>
          <w:b/>
          <w:i/>
          <w:color w:val="2F5597"/>
          <w:sz w:val="21"/>
        </w:rPr>
        <w:t>记录列表</w:t>
      </w:r>
    </w:p>
    <w:p w14:paraId="408227A0">
      <w:pPr>
        <w:spacing w:after="60" w:line="276" w:lineRule="auto"/>
      </w:pPr>
      <w:r>
        <w:rPr>
          <w:rFonts w:ascii="微软雅黑" w:hAnsi="微软雅黑" w:eastAsia="微软雅黑"/>
          <w:b w:val="0"/>
          <w:sz w:val="20"/>
        </w:rPr>
        <w:t>页面上方提供开始时间、结束时间、账变类型和会员ID筛选条件，并支持搜索、重置和导出报表；下方列表按时间倒序展示会员资金变化记录，便于快速追查单笔资金链路。</w:t>
      </w:r>
    </w:p>
    <w:p w14:paraId="0D47A3C4">
      <w:pPr>
        <w:spacing w:after="40"/>
        <w:jc w:val="center"/>
      </w:pPr>
      <w:r>
        <w:drawing>
          <wp:inline distT="0" distB="0" distL="114300" distR="114300">
            <wp:extent cx="5852160" cy="2524760"/>
            <wp:effectExtent l="0" t="0" r="15240" b="889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a:picLocks noChangeAspect="1"/>
                    </pic:cNvPicPr>
                  </pic:nvPicPr>
                  <pic:blipFill>
                    <a:blip r:embed="rId86"/>
                    <a:stretch>
                      <a:fillRect/>
                    </a:stretch>
                  </pic:blipFill>
                  <pic:spPr>
                    <a:xfrm>
                      <a:off x="0" y="0"/>
                      <a:ext cx="5852160" cy="2524881"/>
                    </a:xfrm>
                    <a:prstGeom prst="rect">
                      <a:avLst/>
                    </a:prstGeom>
                  </pic:spPr>
                </pic:pic>
              </a:graphicData>
            </a:graphic>
          </wp:inline>
        </w:drawing>
      </w:r>
    </w:p>
    <w:p w14:paraId="3CA5F47A">
      <w:pPr>
        <w:pStyle w:val="15"/>
        <w:spacing w:after="120"/>
        <w:jc w:val="center"/>
      </w:pPr>
      <w:r>
        <w:rPr>
          <w:rFonts w:ascii="微软雅黑" w:hAnsi="微软雅黑" w:eastAsia="微软雅黑"/>
          <w:b w:val="0"/>
          <w:color w:val="707E92"/>
          <w:sz w:val="18"/>
        </w:rPr>
        <w:t>图：账变记录页面，用于查询会员资金变动明细和变动前后余额。</w:t>
      </w:r>
    </w:p>
    <w:p w14:paraId="52F7C219">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：支持按开始时间、结束时间、账变类型和会员ID筛选记录。处理单笔争议时，建议优先按会员ID和时间范围缩小结果，再继续定位对应单号。</w:t>
      </w:r>
    </w:p>
    <w:p w14:paraId="51BC78DC">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：列表展示单号、交易时间、用户名、会员ID、类型、变动前余额、变动金额、变动后余额和来源，可直接还原该笔账变的发生时间、业务类型和余额变化结果。</w:t>
      </w:r>
    </w:p>
    <w:p w14:paraId="6C43AA0B">
      <w:pPr>
        <w:pStyle w:val="16"/>
        <w:spacing w:after="60" w:line="276" w:lineRule="auto"/>
      </w:pPr>
      <w:r>
        <w:rPr>
          <w:rFonts w:ascii="微软雅黑" w:hAnsi="微软雅黑" w:eastAsia="微软雅黑"/>
          <w:b/>
          <w:color w:val="2F5597"/>
          <w:sz w:val="20"/>
        </w:rPr>
        <w:t>金额方向</w:t>
      </w:r>
      <w:r>
        <w:rPr>
          <w:rFonts w:ascii="微软雅黑" w:hAnsi="微软雅黑" w:eastAsia="微软雅黑"/>
          <w:b w:val="0"/>
          <w:sz w:val="20"/>
        </w:rPr>
        <w:t>：变动金额为正数时通常表示入账或返还，为负数时表示扣减或支出；核对时应同步查看变动前余额与变动后余额，确认数值变化是否与业务动作一致。</w:t>
      </w:r>
    </w:p>
    <w:p w14:paraId="3FBC2539">
      <w:pPr>
        <w:pStyle w:val="16"/>
        <w:spacing w:after="60" w:line="276" w:lineRule="auto"/>
      </w:pPr>
      <w:r>
        <w:rPr>
          <w:rFonts w:ascii="微软雅黑" w:hAnsi="微软雅黑" w:eastAsia="微软雅黑"/>
          <w:b/>
          <w:color w:val="2F5597"/>
          <w:sz w:val="20"/>
        </w:rPr>
        <w:t>导出与核对</w:t>
      </w:r>
      <w:r>
        <w:rPr>
          <w:rFonts w:ascii="微软雅黑" w:hAnsi="微软雅黑" w:eastAsia="微软雅黑"/>
          <w:b w:val="0"/>
          <w:sz w:val="20"/>
        </w:rPr>
        <w:t>：需要批量复核时可先确认筛选条件再导出报表。处理充值、提现、人工加扣款或活动奖励争议时，建议结合充值订单列表、提现订单列表、人工加扣款和活动记录交叉核对。</w:t>
      </w:r>
    </w:p>
    <w:p w14:paraId="124545B9">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资金账变类型</w:t>
      </w:r>
    </w:p>
    <w:p w14:paraId="3D8AE8A3">
      <w:pPr>
        <w:spacing w:after="60" w:line="276" w:lineRule="auto"/>
      </w:pPr>
      <w:r>
        <w:rPr>
          <w:rFonts w:ascii="微软雅黑" w:hAnsi="微软雅黑" w:eastAsia="微软雅黑"/>
          <w:b w:val="0"/>
          <w:sz w:val="20"/>
        </w:rPr>
        <w:t>资金账变类型用于维护账变记录中的类型名称和打码量倍数，帮助后台统一资金流水口径，并为后续打码计算、列表筛选和客服解释提供基础配置。</w:t>
      </w:r>
    </w:p>
    <w:p w14:paraId="7082FC33">
      <w:pPr>
        <w:pStyle w:val="6"/>
        <w:spacing w:after="60" w:line="276" w:lineRule="auto"/>
      </w:pPr>
      <w:r>
        <w:rPr>
          <w:rFonts w:ascii="微软雅黑" w:hAnsi="微软雅黑" w:eastAsia="微软雅黑"/>
          <w:b/>
          <w:i/>
          <w:color w:val="2F5597"/>
          <w:sz w:val="21"/>
        </w:rPr>
        <w:t>类型列表</w:t>
      </w:r>
    </w:p>
    <w:p w14:paraId="1F61CC13">
      <w:pPr>
        <w:spacing w:after="60" w:line="276" w:lineRule="auto"/>
      </w:pPr>
      <w:r>
        <w:rPr>
          <w:rFonts w:ascii="微软雅黑" w:hAnsi="微软雅黑" w:eastAsia="微软雅黑"/>
          <w:b w:val="0"/>
          <w:sz w:val="20"/>
        </w:rPr>
        <w:t>列表页集中展示全部账变类型的编号、多语言名称、打码量倍数、备注和更新时间，并提供编辑入口，适合在调整资金类型口径时做统一检查。</w:t>
      </w:r>
    </w:p>
    <w:p w14:paraId="7E94549A">
      <w:pPr>
        <w:spacing w:after="40"/>
        <w:jc w:val="center"/>
      </w:pPr>
      <w:r>
        <w:drawing>
          <wp:inline distT="0" distB="0" distL="114300" distR="114300">
            <wp:extent cx="5852160" cy="2187575"/>
            <wp:effectExtent l="0" t="0" r="15240" b="317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pic:cNvPicPr>
                  </pic:nvPicPr>
                  <pic:blipFill>
                    <a:blip r:embed="rId87"/>
                    <a:stretch>
                      <a:fillRect/>
                    </a:stretch>
                  </pic:blipFill>
                  <pic:spPr>
                    <a:xfrm>
                      <a:off x="0" y="0"/>
                      <a:ext cx="5852160" cy="2187857"/>
                    </a:xfrm>
                    <a:prstGeom prst="rect">
                      <a:avLst/>
                    </a:prstGeom>
                  </pic:spPr>
                </pic:pic>
              </a:graphicData>
            </a:graphic>
          </wp:inline>
        </w:drawing>
      </w:r>
    </w:p>
    <w:p w14:paraId="61D7A297">
      <w:pPr>
        <w:pStyle w:val="15"/>
        <w:spacing w:after="120"/>
        <w:jc w:val="center"/>
      </w:pPr>
      <w:r>
        <w:rPr>
          <w:rFonts w:ascii="微软雅黑" w:hAnsi="微软雅黑" w:eastAsia="微软雅黑"/>
          <w:b w:val="0"/>
          <w:color w:val="707E92"/>
          <w:sz w:val="18"/>
        </w:rPr>
        <w:t>图：资金账变类型列表页，用于查看各账变类型的名称、多语言文案和打码量倍数。</w:t>
      </w:r>
    </w:p>
    <w:p w14:paraId="65A749A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：列表包含类型ID、名称(中文)、名称(英文)、名称(葡语)、打码量倍数、备注、更新时间和操作，可用于确认各类资金流水当前采用的展示名称与打码口径。</w:t>
      </w:r>
    </w:p>
    <w:p w14:paraId="4FE6BC1A">
      <w:pPr>
        <w:pStyle w:val="16"/>
        <w:spacing w:after="60" w:line="276" w:lineRule="auto"/>
      </w:pPr>
      <w:r>
        <w:rPr>
          <w:rFonts w:ascii="微软雅黑" w:hAnsi="微软雅黑" w:eastAsia="微软雅黑"/>
          <w:b/>
          <w:color w:val="2F5597"/>
          <w:sz w:val="20"/>
        </w:rPr>
        <w:t>编辑入口</w:t>
      </w:r>
      <w:r>
        <w:rPr>
          <w:rFonts w:ascii="微软雅黑" w:hAnsi="微软雅黑" w:eastAsia="微软雅黑"/>
          <w:b w:val="0"/>
          <w:sz w:val="20"/>
        </w:rPr>
        <w:t>：点击行内“编辑”可进入类型详情弹窗，修改当前账变类型的打码量倍数，并复核多语言名称与备注内容。</w:t>
      </w:r>
    </w:p>
    <w:p w14:paraId="3EA0BCB4">
      <w:pPr>
        <w:pStyle w:val="16"/>
        <w:spacing w:after="60" w:line="276" w:lineRule="auto"/>
      </w:pPr>
      <w:r>
        <w:rPr>
          <w:rFonts w:ascii="微软雅黑" w:hAnsi="微软雅黑" w:eastAsia="微软雅黑"/>
          <w:b/>
          <w:color w:val="2F5597"/>
          <w:sz w:val="20"/>
        </w:rPr>
        <w:t>维护要点</w:t>
      </w:r>
      <w:r>
        <w:rPr>
          <w:rFonts w:ascii="微软雅黑" w:hAnsi="微软雅黑" w:eastAsia="微软雅黑"/>
          <w:b w:val="0"/>
          <w:sz w:val="20"/>
        </w:rPr>
        <w:t>：调整前应先确认该类型对应的真实业务场景，例如充值、赠金、提现或游戏相关流水，避免因倍数设置错误影响后续打码任务或资金解释口径。</w:t>
      </w:r>
    </w:p>
    <w:p w14:paraId="31C30029">
      <w:pPr>
        <w:pStyle w:val="6"/>
        <w:spacing w:after="60" w:line="276" w:lineRule="auto"/>
      </w:pPr>
      <w:r>
        <w:rPr>
          <w:rFonts w:ascii="微软雅黑" w:hAnsi="微软雅黑" w:eastAsia="微软雅黑"/>
          <w:b/>
          <w:i/>
          <w:color w:val="2F5597"/>
          <w:sz w:val="21"/>
        </w:rPr>
        <w:t>编辑类型</w:t>
      </w:r>
    </w:p>
    <w:p w14:paraId="2666C88F">
      <w:pPr>
        <w:spacing w:after="60" w:line="276" w:lineRule="auto"/>
      </w:pPr>
      <w:r>
        <w:rPr>
          <w:rFonts w:ascii="微软雅黑" w:hAnsi="微软雅黑" w:eastAsia="微软雅黑"/>
          <w:b w:val="0"/>
          <w:sz w:val="20"/>
        </w:rPr>
        <w:t>编辑类型弹窗用于查看单个账变类型的基础信息，并维护其打码量倍数。当前页面中类型ID、各语种名称和备注为只读项，主要调整项为打码量倍数。</w:t>
      </w:r>
    </w:p>
    <w:p w14:paraId="7944748B">
      <w:pPr>
        <w:spacing w:after="40"/>
        <w:jc w:val="center"/>
      </w:pPr>
      <w:r>
        <w:drawing>
          <wp:inline distT="0" distB="0" distL="114300" distR="114300">
            <wp:extent cx="4389120" cy="3261995"/>
            <wp:effectExtent l="0" t="0" r="11430" b="1460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spect="1"/>
                    </pic:cNvPicPr>
                  </pic:nvPicPr>
                  <pic:blipFill>
                    <a:blip r:embed="rId88"/>
                    <a:stretch>
                      <a:fillRect/>
                    </a:stretch>
                  </pic:blipFill>
                  <pic:spPr>
                    <a:xfrm>
                      <a:off x="0" y="0"/>
                      <a:ext cx="4389120" cy="3262278"/>
                    </a:xfrm>
                    <a:prstGeom prst="rect">
                      <a:avLst/>
                    </a:prstGeom>
                  </pic:spPr>
                </pic:pic>
              </a:graphicData>
            </a:graphic>
          </wp:inline>
        </w:drawing>
      </w:r>
    </w:p>
    <w:p w14:paraId="34F310D7">
      <w:pPr>
        <w:pStyle w:val="15"/>
        <w:spacing w:after="120"/>
        <w:jc w:val="center"/>
      </w:pPr>
      <w:r>
        <w:rPr>
          <w:rFonts w:ascii="微软雅黑" w:hAnsi="微软雅黑" w:eastAsia="微软雅黑"/>
          <w:b w:val="0"/>
          <w:color w:val="707E92"/>
          <w:sz w:val="18"/>
        </w:rPr>
        <w:t>图：编辑类型弹窗，用于查看账变类型信息并调整打码量倍数。</w:t>
      </w:r>
    </w:p>
    <w:p w14:paraId="75C47266">
      <w:pPr>
        <w:pStyle w:val="16"/>
        <w:spacing w:after="60" w:line="276" w:lineRule="auto"/>
      </w:pPr>
      <w:r>
        <w:rPr>
          <w:rFonts w:ascii="微软雅黑" w:hAnsi="微软雅黑" w:eastAsia="微软雅黑"/>
          <w:b/>
          <w:color w:val="2F5597"/>
          <w:sz w:val="20"/>
        </w:rPr>
        <w:t>类型ID</w:t>
      </w:r>
      <w:r>
        <w:rPr>
          <w:rFonts w:ascii="微软雅黑" w:hAnsi="微软雅黑" w:eastAsia="微软雅黑"/>
          <w:b w:val="0"/>
          <w:sz w:val="20"/>
        </w:rPr>
        <w:t>：类型ID用于标识当前账变类型，便于和账变记录中的类型来源保持一致。维护时应核对当前编辑的是正确类型，避免误改其他资金场景。</w:t>
      </w:r>
    </w:p>
    <w:p w14:paraId="7BF4004F">
      <w:pPr>
        <w:pStyle w:val="16"/>
        <w:spacing w:after="60" w:line="276" w:lineRule="auto"/>
      </w:pPr>
      <w:r>
        <w:rPr>
          <w:rFonts w:ascii="微软雅黑" w:hAnsi="微软雅黑" w:eastAsia="微软雅黑"/>
          <w:b/>
          <w:color w:val="2F5597"/>
          <w:sz w:val="20"/>
        </w:rPr>
        <w:t>打码量倍数</w:t>
      </w:r>
      <w:r>
        <w:rPr>
          <w:rFonts w:ascii="微软雅黑" w:hAnsi="微软雅黑" w:eastAsia="微软雅黑"/>
          <w:b w:val="0"/>
          <w:sz w:val="20"/>
        </w:rPr>
        <w:t>：打码量倍数决定该类资金进入会员账户后对应的打码要求。</w:t>
      </w:r>
    </w:p>
    <w:p w14:paraId="7A5A32BE">
      <w:pPr>
        <w:pStyle w:val="16"/>
        <w:numPr>
          <w:ilvl w:val="2"/>
          <w:numId w:val="3"/>
        </w:numPr>
        <w:tabs>
          <w:tab w:val="clear" w:pos="1260"/>
        </w:tabs>
        <w:spacing w:after="60" w:line="276" w:lineRule="auto"/>
        <w:ind w:left="1260" w:leftChars="0" w:hanging="420" w:firstLineChars="0"/>
      </w:pPr>
      <w:r>
        <w:rPr>
          <w:rFonts w:hint="eastAsia"/>
          <w:lang w:val="en-US" w:eastAsia="zh-CN"/>
        </w:rPr>
        <w:t>此处设置的是账变类型的默认值，如果对应的任务、活动、奖励设置了打码倍数，那么使用设定的倍数；如果设置的是0,该种账变类型会遵循此处设置的打码倍数。</w:t>
      </w:r>
    </w:p>
    <w:p w14:paraId="6D1443E3">
      <w:pPr>
        <w:pStyle w:val="16"/>
        <w:spacing w:after="60" w:line="276" w:lineRule="auto"/>
      </w:pPr>
      <w:r>
        <w:rPr>
          <w:rFonts w:ascii="微软雅黑" w:hAnsi="微软雅黑" w:eastAsia="微软雅黑"/>
          <w:b/>
          <w:color w:val="2F5597"/>
          <w:sz w:val="20"/>
        </w:rPr>
        <w:t>名称与备注</w:t>
      </w:r>
      <w:r>
        <w:rPr>
          <w:rFonts w:ascii="微软雅黑" w:hAnsi="微软雅黑" w:eastAsia="微软雅黑"/>
          <w:b w:val="0"/>
          <w:sz w:val="20"/>
        </w:rPr>
        <w:t>：中文、英文、葡语名称以及备注用于前后台展示和多语言识别。虽然当前弹窗为只读展示，仍建议保存前复核文案是否与该账变类型含义一致。</w:t>
      </w:r>
    </w:p>
    <w:p w14:paraId="0CA34EEC">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：修改倍数后点击保存生效，取消则放弃本次调整。保存后建议返回列表再次核对更新时间和当前倍数，并同步确认相关账变记录与打码逻辑是否按新口径执行。</w:t>
      </w:r>
    </w:p>
    <w:p w14:paraId="3E3C5FA6">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打码管理</w:t>
      </w:r>
    </w:p>
    <w:p w14:paraId="06818565">
      <w:pPr>
        <w:spacing w:after="60" w:line="276" w:lineRule="auto"/>
      </w:pPr>
      <w:r>
        <w:rPr>
          <w:rFonts w:ascii="微软雅黑" w:hAnsi="微软雅黑" w:eastAsia="微软雅黑"/>
          <w:b w:val="0"/>
          <w:sz w:val="20"/>
        </w:rPr>
        <w:t>打码管理用于查看会员当前的打码任务、未完成打码金额和处理状态，并支持手动解除或设置自动解除额度，是处理提款前流水核对和活动奖励打码要求的重要页面。</w:t>
      </w:r>
    </w:p>
    <w:p w14:paraId="2CF7C298">
      <w:pPr>
        <w:pStyle w:val="6"/>
        <w:spacing w:after="60" w:line="276" w:lineRule="auto"/>
      </w:pPr>
      <w:r>
        <w:rPr>
          <w:rFonts w:ascii="微软雅黑" w:hAnsi="微软雅黑" w:eastAsia="微软雅黑"/>
          <w:b/>
          <w:i/>
          <w:color w:val="2F5597"/>
          <w:sz w:val="21"/>
        </w:rPr>
        <w:t>打码任务列表</w:t>
      </w:r>
    </w:p>
    <w:p w14:paraId="1F4050CD">
      <w:pPr>
        <w:spacing w:after="60" w:line="276" w:lineRule="auto"/>
      </w:pPr>
      <w:r>
        <w:rPr>
          <w:rFonts w:ascii="微软雅黑" w:hAnsi="微软雅黑" w:eastAsia="微软雅黑"/>
          <w:b w:val="0"/>
          <w:sz w:val="20"/>
        </w:rPr>
        <w:t>列表页用于集中查看各会员的打码任务来源、所需打码总金额和剩余未完成金额，并提供批量解除、单笔解除和自动解除额度入口。</w:t>
      </w:r>
    </w:p>
    <w:p w14:paraId="56887AF6">
      <w:pPr>
        <w:spacing w:after="40"/>
        <w:jc w:val="center"/>
      </w:pPr>
      <w:r>
        <w:drawing>
          <wp:inline distT="0" distB="0" distL="114300" distR="114300">
            <wp:extent cx="5852160" cy="1742440"/>
            <wp:effectExtent l="0" t="0" r="15240" b="1016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pic:cNvPicPr>
                      <a:picLocks noChangeAspect="1"/>
                    </pic:cNvPicPr>
                  </pic:nvPicPr>
                  <pic:blipFill>
                    <a:blip r:embed="rId89"/>
                    <a:stretch>
                      <a:fillRect/>
                    </a:stretch>
                  </pic:blipFill>
                  <pic:spPr>
                    <a:xfrm>
                      <a:off x="0" y="0"/>
                      <a:ext cx="5852160" cy="1742895"/>
                    </a:xfrm>
                    <a:prstGeom prst="rect">
                      <a:avLst/>
                    </a:prstGeom>
                  </pic:spPr>
                </pic:pic>
              </a:graphicData>
            </a:graphic>
          </wp:inline>
        </w:drawing>
      </w:r>
    </w:p>
    <w:p w14:paraId="70FC4495">
      <w:pPr>
        <w:pStyle w:val="15"/>
        <w:spacing w:after="120"/>
        <w:jc w:val="center"/>
      </w:pPr>
      <w:r>
        <w:rPr>
          <w:rFonts w:ascii="微软雅黑" w:hAnsi="微软雅黑" w:eastAsia="微软雅黑"/>
          <w:b w:val="0"/>
          <w:color w:val="707E92"/>
          <w:sz w:val="18"/>
        </w:rPr>
        <w:t>图：打码管理列表页，用于查询会员打码任务、剩余打码金额和解除入口。</w:t>
      </w:r>
    </w:p>
    <w:p w14:paraId="66272A2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：支持按交易时间、会员ID和状态筛选记录，状态通常用于区分未开始、已完成和手动解除，方便快速定位待处理任务。</w:t>
      </w:r>
    </w:p>
    <w:p w14:paraId="0707C8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：列表包含会员ID、活动名称、变更金额、打码倍数、需打码总金额、未打码、状态、来源、操作人、创建时间和操作时间，可据此判断任务来源和当前完成进度。</w:t>
      </w:r>
    </w:p>
    <w:p w14:paraId="493CE06C">
      <w:pPr>
        <w:pStyle w:val="16"/>
        <w:spacing w:after="60" w:line="276" w:lineRule="auto"/>
      </w:pPr>
      <w:r>
        <w:rPr>
          <w:rFonts w:ascii="微软雅黑" w:hAnsi="微软雅黑" w:eastAsia="微软雅黑"/>
          <w:b/>
          <w:color w:val="2F5597"/>
          <w:sz w:val="20"/>
        </w:rPr>
        <w:t>处理入口</w:t>
      </w:r>
      <w:r>
        <w:rPr>
          <w:rFonts w:ascii="微软雅黑" w:hAnsi="微软雅黑" w:eastAsia="微软雅黑"/>
          <w:b w:val="0"/>
          <w:sz w:val="20"/>
        </w:rPr>
        <w:t>：页面上方提供批量解除打码、解除玩家打码和打码自动解除额度入口；列表行内也可对单条未完成任务发起解除处理。</w:t>
      </w:r>
    </w:p>
    <w:p w14:paraId="29E8832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：处理提款、活动申诉或人工加款后的流水争议时，建议先核对未打码金额、任务来源和最近操作时间，再决定是否做手动解除。</w:t>
      </w:r>
    </w:p>
    <w:p w14:paraId="1D06F39C">
      <w:pPr>
        <w:pStyle w:val="6"/>
        <w:spacing w:after="60" w:line="276" w:lineRule="auto"/>
      </w:pPr>
      <w:r>
        <w:rPr>
          <w:rFonts w:ascii="微软雅黑" w:hAnsi="微软雅黑" w:eastAsia="微软雅黑"/>
          <w:b/>
          <w:i/>
          <w:color w:val="2F5597"/>
          <w:sz w:val="21"/>
        </w:rPr>
        <w:t>解除玩家打码</w:t>
      </w:r>
    </w:p>
    <w:p w14:paraId="53BD2F08">
      <w:pPr>
        <w:spacing w:after="60" w:line="276" w:lineRule="auto"/>
      </w:pPr>
      <w:r>
        <w:rPr>
          <w:rFonts w:ascii="微软雅黑" w:hAnsi="微软雅黑" w:eastAsia="微软雅黑"/>
          <w:b w:val="0"/>
          <w:sz w:val="20"/>
        </w:rPr>
        <w:t>解除玩家打码弹窗用于按会员维度手动减少打码量。输入会员ID并查询后，可看到该会员的基础信息和当前打码量，再录入本次解除金额。</w:t>
      </w:r>
    </w:p>
    <w:p w14:paraId="4A013E7F">
      <w:pPr>
        <w:spacing w:after="40"/>
        <w:jc w:val="center"/>
      </w:pPr>
      <w:r>
        <w:drawing>
          <wp:inline distT="0" distB="0" distL="114300" distR="114300">
            <wp:extent cx="4572000" cy="2493010"/>
            <wp:effectExtent l="0" t="0" r="0" b="254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pic:cNvPicPr>
                      <a:picLocks noChangeAspect="1"/>
                    </pic:cNvPicPr>
                  </pic:nvPicPr>
                  <pic:blipFill>
                    <a:blip r:embed="rId90"/>
                    <a:stretch>
                      <a:fillRect/>
                    </a:stretch>
                  </pic:blipFill>
                  <pic:spPr>
                    <a:xfrm>
                      <a:off x="0" y="0"/>
                      <a:ext cx="4572000" cy="2493050"/>
                    </a:xfrm>
                    <a:prstGeom prst="rect">
                      <a:avLst/>
                    </a:prstGeom>
                  </pic:spPr>
                </pic:pic>
              </a:graphicData>
            </a:graphic>
          </wp:inline>
        </w:drawing>
      </w:r>
    </w:p>
    <w:p w14:paraId="4D6821DF">
      <w:pPr>
        <w:pStyle w:val="15"/>
        <w:spacing w:after="120"/>
        <w:jc w:val="center"/>
      </w:pPr>
      <w:r>
        <w:rPr>
          <w:rFonts w:ascii="微软雅黑" w:hAnsi="微软雅黑" w:eastAsia="微软雅黑"/>
          <w:b w:val="0"/>
          <w:color w:val="707E92"/>
          <w:sz w:val="18"/>
        </w:rPr>
        <w:t>图：解除玩家打码弹窗，用于按会员查询后录入本次解除的打码金额。</w:t>
      </w:r>
    </w:p>
    <w:p w14:paraId="0DE209B1">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：先输入会员ID并点击搜索，确认用户名、商户ID、余额和当前打码量后再执行解除，避免误操作到错误账号。</w:t>
      </w:r>
    </w:p>
    <w:p w14:paraId="49622AB7">
      <w:pPr>
        <w:pStyle w:val="16"/>
        <w:spacing w:after="60" w:line="276" w:lineRule="auto"/>
      </w:pPr>
      <w:r>
        <w:rPr>
          <w:rFonts w:ascii="微软雅黑" w:hAnsi="微软雅黑" w:eastAsia="微软雅黑"/>
          <w:b/>
          <w:color w:val="2F5597"/>
          <w:sz w:val="20"/>
        </w:rPr>
        <w:t>解除金额</w:t>
      </w:r>
      <w:r>
        <w:rPr>
          <w:rFonts w:ascii="微软雅黑" w:hAnsi="微软雅黑" w:eastAsia="微软雅黑"/>
          <w:b w:val="0"/>
          <w:sz w:val="20"/>
        </w:rPr>
        <w:t>：解除打码金额为本次要减少的打码量，应根据活动规则、人工调整审批或投诉处理结论填写，不宜随意扩大。</w:t>
      </w:r>
    </w:p>
    <w:p w14:paraId="34E0B780">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：提交前应再次确认该会员是否确有减免依据，并记录处理原因。提交后建议回到列表复核未打码金额和状态是否已按预期更新。</w:t>
      </w:r>
    </w:p>
    <w:p w14:paraId="53985D57">
      <w:pPr>
        <w:pStyle w:val="6"/>
        <w:spacing w:after="60" w:line="276" w:lineRule="auto"/>
      </w:pPr>
      <w:r>
        <w:rPr>
          <w:rFonts w:ascii="微软雅黑" w:hAnsi="微软雅黑" w:eastAsia="微软雅黑"/>
          <w:b/>
          <w:i/>
          <w:color w:val="2F5597"/>
          <w:sz w:val="21"/>
        </w:rPr>
        <w:t>打码自动解除额度</w:t>
      </w:r>
    </w:p>
    <w:p w14:paraId="545A5BD3">
      <w:pPr>
        <w:spacing w:after="60" w:line="276" w:lineRule="auto"/>
      </w:pPr>
      <w:r>
        <w:rPr>
          <w:rFonts w:ascii="微软雅黑" w:hAnsi="微软雅黑" w:eastAsia="微软雅黑"/>
          <w:b w:val="0"/>
          <w:sz w:val="20"/>
        </w:rPr>
        <w:t>打码自动解除额度用于配置系统自动减免打码量的触发阈值。当会员总余额低于设定值时，系统可在后续满足条件时自动处理对应打码任务。</w:t>
      </w:r>
    </w:p>
    <w:p w14:paraId="2AF5FAE6">
      <w:pPr>
        <w:spacing w:after="40"/>
        <w:jc w:val="center"/>
      </w:pPr>
      <w:r>
        <w:drawing>
          <wp:inline distT="0" distB="0" distL="114300" distR="114300">
            <wp:extent cx="4572000" cy="2106930"/>
            <wp:effectExtent l="0" t="0" r="0" b="762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pic:cNvPicPr>
                      <a:picLocks noChangeAspect="1"/>
                    </pic:cNvPicPr>
                  </pic:nvPicPr>
                  <pic:blipFill>
                    <a:blip r:embed="rId91"/>
                    <a:stretch>
                      <a:fillRect/>
                    </a:stretch>
                  </pic:blipFill>
                  <pic:spPr>
                    <a:xfrm>
                      <a:off x="0" y="0"/>
                      <a:ext cx="4572000" cy="2107539"/>
                    </a:xfrm>
                    <a:prstGeom prst="rect">
                      <a:avLst/>
                    </a:prstGeom>
                  </pic:spPr>
                </pic:pic>
              </a:graphicData>
            </a:graphic>
          </wp:inline>
        </w:drawing>
      </w:r>
    </w:p>
    <w:p w14:paraId="778254F2">
      <w:pPr>
        <w:pStyle w:val="15"/>
        <w:spacing w:after="120"/>
        <w:jc w:val="center"/>
      </w:pPr>
      <w:r>
        <w:rPr>
          <w:rFonts w:ascii="微软雅黑" w:hAnsi="微软雅黑" w:eastAsia="微软雅黑"/>
          <w:b w:val="0"/>
          <w:color w:val="707E92"/>
          <w:sz w:val="18"/>
        </w:rPr>
        <w:t>图：打码自动解除额度弹窗，用于设置自动解除打码量的余额触发阈值。</w:t>
      </w:r>
    </w:p>
    <w:p w14:paraId="59CF1781">
      <w:pPr>
        <w:pStyle w:val="16"/>
        <w:spacing w:after="60" w:line="276" w:lineRule="auto"/>
        <w:rPr>
          <w:b/>
          <w:bCs/>
        </w:rPr>
      </w:pPr>
      <w:r>
        <w:rPr>
          <w:rFonts w:ascii="微软雅黑" w:hAnsi="微软雅黑" w:eastAsia="微软雅黑"/>
          <w:b/>
          <w:color w:val="2F5597"/>
          <w:sz w:val="20"/>
        </w:rPr>
        <w:t>额度含义</w:t>
      </w:r>
      <w:r>
        <w:rPr>
          <w:rFonts w:ascii="微软雅黑" w:hAnsi="微软雅黑" w:eastAsia="微软雅黑"/>
          <w:b w:val="0"/>
          <w:sz w:val="20"/>
        </w:rPr>
        <w:t>：当玩家总余额低于该阈值时，</w:t>
      </w:r>
      <w:r>
        <w:rPr>
          <w:rFonts w:hint="eastAsia"/>
          <w:b/>
          <w:bCs/>
          <w:sz w:val="20"/>
          <w:lang w:val="en-US" w:eastAsia="zh-CN"/>
        </w:rPr>
        <w:t>玩家再次充值时，</w:t>
      </w:r>
      <w:r>
        <w:rPr>
          <w:rFonts w:ascii="微软雅黑" w:hAnsi="微软雅黑" w:eastAsia="微软雅黑"/>
          <w:b/>
          <w:bCs/>
          <w:sz w:val="20"/>
        </w:rPr>
        <w:t>系统会将其自动解除条件；</w:t>
      </w:r>
      <w:r>
        <w:rPr>
          <w:rFonts w:hint="eastAsia"/>
          <w:b/>
          <w:bCs/>
          <w:sz w:val="20"/>
          <w:lang w:val="en-US" w:eastAsia="zh-CN"/>
        </w:rPr>
        <w:t>重新按新的一次充值计算打码。</w:t>
      </w:r>
    </w:p>
    <w:p w14:paraId="7D62532A">
      <w:pPr>
        <w:pStyle w:val="16"/>
        <w:spacing w:after="60" w:line="276" w:lineRule="auto"/>
      </w:pPr>
      <w:r>
        <w:rPr>
          <w:rFonts w:ascii="微软雅黑" w:hAnsi="微软雅黑" w:eastAsia="微软雅黑"/>
          <w:b/>
          <w:color w:val="2F5597"/>
          <w:sz w:val="20"/>
        </w:rPr>
        <w:t>关闭方式</w:t>
      </w:r>
      <w:r>
        <w:rPr>
          <w:rFonts w:ascii="微软雅黑" w:hAnsi="微软雅黑" w:eastAsia="微软雅黑"/>
          <w:b w:val="0"/>
          <w:sz w:val="20"/>
        </w:rPr>
        <w:t>：若不希望启用自动解除，可将额度设置为 0。调整前应先确认当前站点的提款准入金额和活动规则，避免自动减免过宽。</w:t>
      </w:r>
    </w:p>
    <w:p w14:paraId="54D9E26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：建议将自动解除额度控制在平台允许的风险范围内，并与财务、风控口径保持一致，防止会员利用自动解除规则反复套利。</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综合数据报表</w:t>
      </w:r>
    </w:p>
    <w:p w14:paraId="765FDF8B">
      <w:pPr>
        <w:spacing w:after="60" w:line="276" w:lineRule="auto"/>
      </w:pPr>
      <w:r>
        <w:rPr>
          <w:rFonts w:ascii="微软雅黑" w:hAnsi="微软雅黑" w:eastAsia="微软雅黑"/>
          <w:b w:val="0"/>
          <w:sz w:val="20"/>
        </w:rPr>
        <w:t>综合数据报表用于按日期汇总查看站点的注册、充值、提现、投注和输赢等核心经营指标，适合运营、财务和管理层做日报复盘与趋势跟踪。</w:t>
      </w:r>
    </w:p>
    <w:p w14:paraId="1963F4F6">
      <w:pPr>
        <w:pStyle w:val="6"/>
        <w:spacing w:after="60" w:line="276" w:lineRule="auto"/>
      </w:pPr>
      <w:r>
        <w:rPr>
          <w:rFonts w:ascii="微软雅黑" w:hAnsi="微软雅黑" w:eastAsia="微软雅黑"/>
          <w:b/>
          <w:i/>
          <w:color w:val="2F5597"/>
          <w:sz w:val="21"/>
        </w:rPr>
        <w:t>页面概览</w:t>
      </w:r>
    </w:p>
    <w:p w14:paraId="7B17D317">
      <w:pPr>
        <w:spacing w:after="60" w:line="276" w:lineRule="auto"/>
      </w:pPr>
      <w:r>
        <w:rPr>
          <w:rFonts w:ascii="微软雅黑" w:hAnsi="微软雅黑" w:eastAsia="微软雅黑"/>
          <w:b w:val="0"/>
          <w:sz w:val="20"/>
        </w:rPr>
        <w:t>页面上方提供开始时间、结束时间、搜索、重置和导出表格入口，下方列表按日期展示各项经营数据，便于快速对比每日波动。</w:t>
      </w:r>
    </w:p>
    <w:p w14:paraId="28723CBA">
      <w:pPr>
        <w:spacing w:after="40"/>
        <w:jc w:val="center"/>
      </w:pPr>
      <w:r>
        <w:drawing>
          <wp:inline distT="0" distB="0" distL="114300" distR="114300">
            <wp:extent cx="5852160" cy="2063115"/>
            <wp:effectExtent l="0" t="0" r="15240" b="1333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spect="1"/>
                    </pic:cNvPicPr>
                  </pic:nvPicPr>
                  <pic:blipFill>
                    <a:blip r:embed="rId92"/>
                    <a:stretch>
                      <a:fillRect/>
                    </a:stretch>
                  </pic:blipFill>
                  <pic:spPr>
                    <a:xfrm>
                      <a:off x="0" y="0"/>
                      <a:ext cx="5852160" cy="2063194"/>
                    </a:xfrm>
                    <a:prstGeom prst="rect">
                      <a:avLst/>
                    </a:prstGeom>
                  </pic:spPr>
                </pic:pic>
              </a:graphicData>
            </a:graphic>
          </wp:inline>
        </w:drawing>
      </w:r>
    </w:p>
    <w:p w14:paraId="59A41A46">
      <w:pPr>
        <w:pStyle w:val="15"/>
        <w:spacing w:after="120"/>
        <w:jc w:val="center"/>
      </w:pPr>
      <w:r>
        <w:rPr>
          <w:rFonts w:ascii="微软雅黑" w:hAnsi="微软雅黑" w:eastAsia="微软雅黑"/>
          <w:b w:val="0"/>
          <w:color w:val="707E92"/>
          <w:sz w:val="18"/>
        </w:rPr>
        <w:t>图：综合数据报表页面，用于查看每日注册、充值、提现、投注、输赢和返佣等经营指标汇总。</w:t>
      </w:r>
    </w:p>
    <w:p w14:paraId="621C82B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：支持按开始时间和结束时间查询指定周期数据。复盘某次活动或异常波动时，建议先固定时间范围，再与其他报表交叉核对。</w:t>
      </w:r>
    </w:p>
    <w:p w14:paraId="386A41D3">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：列表包含注册人数、充值金额、充值次数、充值人数、首充金额、首充人数、提现金额、提现次数、提现人数、投注金额、投注次数、输赢、游戏返水和代理返佣，可用于快速判断站点整体经营表现。</w:t>
      </w:r>
    </w:p>
    <w:p w14:paraId="4526D6B6">
      <w:pPr>
        <w:pStyle w:val="16"/>
        <w:spacing w:after="60" w:line="276" w:lineRule="auto"/>
      </w:pPr>
      <w:r>
        <w:rPr>
          <w:rFonts w:ascii="微软雅黑" w:hAnsi="微软雅黑" w:eastAsia="微软雅黑"/>
          <w:b/>
          <w:color w:val="2F5597"/>
          <w:sz w:val="20"/>
        </w:rPr>
        <w:t>分析用途</w:t>
      </w:r>
      <w:r>
        <w:rPr>
          <w:rFonts w:ascii="微软雅黑" w:hAnsi="微软雅黑" w:eastAsia="微软雅黑"/>
          <w:b w:val="0"/>
          <w:sz w:val="20"/>
        </w:rPr>
        <w:t>：当充值、提现或投注数据出现异常波动时，可先在本页定位异常日期，再继续结合充值订单列表、提现订单列表、游戏记录和活动相关报表做原因拆解。</w:t>
      </w:r>
    </w:p>
    <w:p w14:paraId="2D3E323E">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：确认筛选条件后可导出当前结果，便于沉淀日报、周报或提供给财务与管理层做对账和经营分析。</w:t>
      </w:r>
    </w:p>
    <w:p w14:paraId="2D9CF65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游戏人数据表</w:t>
      </w:r>
    </w:p>
    <w:p w14:paraId="110029F9">
      <w:pPr>
        <w:spacing w:after="60" w:line="276" w:lineRule="auto"/>
      </w:pPr>
      <w:r>
        <w:rPr>
          <w:rFonts w:ascii="微软雅黑" w:hAnsi="微软雅黑" w:eastAsia="微软雅黑"/>
          <w:b w:val="0"/>
          <w:sz w:val="20"/>
        </w:rPr>
        <w:t>游戏人数据表用于按日期统计参与游戏的玩家人数，适合快速观察游戏活跃规模变化，并判断近期活动、渠道流量或游戏内容调整对参与人数的影响。</w:t>
      </w:r>
    </w:p>
    <w:p w14:paraId="3C953A31">
      <w:pPr>
        <w:pStyle w:val="6"/>
        <w:spacing w:after="60" w:line="276" w:lineRule="auto"/>
      </w:pPr>
      <w:r>
        <w:rPr>
          <w:rFonts w:ascii="微软雅黑" w:hAnsi="微软雅黑" w:eastAsia="微软雅黑"/>
          <w:b/>
          <w:i/>
          <w:color w:val="2F5597"/>
          <w:sz w:val="21"/>
        </w:rPr>
        <w:t>页面概览</w:t>
      </w:r>
    </w:p>
    <w:p w14:paraId="5DEA82C8">
      <w:pPr>
        <w:spacing w:after="60" w:line="276" w:lineRule="auto"/>
      </w:pPr>
      <w:r>
        <w:rPr>
          <w:rFonts w:ascii="微软雅黑" w:hAnsi="微软雅黑" w:eastAsia="微软雅黑"/>
          <w:b w:val="0"/>
          <w:sz w:val="20"/>
        </w:rPr>
        <w:t>页面上方提供开始时间、结束时间、搜索、重置和导出表格入口，下方列表按日期展示游戏人数总计，便于查看每日活跃趋势。</w:t>
      </w:r>
    </w:p>
    <w:p w14:paraId="214B077A">
      <w:pPr>
        <w:spacing w:after="40"/>
        <w:jc w:val="center"/>
      </w:pPr>
      <w:r>
        <w:drawing>
          <wp:inline distT="0" distB="0" distL="114300" distR="114300">
            <wp:extent cx="5852160" cy="2271395"/>
            <wp:effectExtent l="0" t="0" r="15240" b="1460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pic:cNvPicPr>
                      <a:picLocks noChangeAspect="1"/>
                    </pic:cNvPicPr>
                  </pic:nvPicPr>
                  <pic:blipFill>
                    <a:blip r:embed="rId93"/>
                    <a:stretch>
                      <a:fillRect/>
                    </a:stretch>
                  </pic:blipFill>
                  <pic:spPr>
                    <a:xfrm>
                      <a:off x="0" y="0"/>
                      <a:ext cx="5852160" cy="2271890"/>
                    </a:xfrm>
                    <a:prstGeom prst="rect">
                      <a:avLst/>
                    </a:prstGeom>
                  </pic:spPr>
                </pic:pic>
              </a:graphicData>
            </a:graphic>
          </wp:inline>
        </w:drawing>
      </w:r>
    </w:p>
    <w:p w14:paraId="6AEA6EB5">
      <w:pPr>
        <w:pStyle w:val="15"/>
        <w:spacing w:after="120"/>
        <w:jc w:val="center"/>
      </w:pPr>
      <w:r>
        <w:rPr>
          <w:rFonts w:ascii="微软雅黑" w:hAnsi="微软雅黑" w:eastAsia="微软雅黑"/>
          <w:b w:val="0"/>
          <w:color w:val="707E92"/>
          <w:sz w:val="18"/>
        </w:rPr>
        <w:t>图：游戏人数据表页面，用于查看各统计日期的游戏人数总计。</w:t>
      </w:r>
    </w:p>
    <w:p w14:paraId="63D1EDC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：支持按时间范围查询数据。建议按自然日或活动周期对比使用，方便观察某段时间内游戏参与人数的变化。</w:t>
      </w:r>
    </w:p>
    <w:p w14:paraId="171CC039">
      <w:pPr>
        <w:pStyle w:val="16"/>
        <w:spacing w:after="60" w:line="276" w:lineRule="auto"/>
      </w:pPr>
      <w:r>
        <w:rPr>
          <w:rFonts w:ascii="微软雅黑" w:hAnsi="微软雅黑" w:eastAsia="微软雅黑"/>
          <w:b/>
          <w:color w:val="2F5597"/>
          <w:sz w:val="20"/>
        </w:rPr>
        <w:t>统计字段</w:t>
      </w:r>
      <w:r>
        <w:rPr>
          <w:rFonts w:ascii="微软雅黑" w:hAnsi="微软雅黑" w:eastAsia="微软雅黑"/>
          <w:b w:val="0"/>
          <w:sz w:val="20"/>
        </w:rPr>
        <w:t>：当前列表按日期汇总展示游戏人数总计，适合用于快速判断某天是否出现明显拉新、回流或活跃下滑。</w:t>
      </w:r>
    </w:p>
    <w:p w14:paraId="2AD87D8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：如果某日游戏人数异常偏高或偏低，建议继续结合综合数据报表、游戏记录和活动统计报表核对是否存在活动刺激、渠道波动或统计口径变化。</w:t>
      </w:r>
    </w:p>
    <w:p w14:paraId="361509EA">
      <w:pPr>
        <w:pStyle w:val="16"/>
        <w:spacing w:after="60" w:line="276" w:lineRule="auto"/>
      </w:pPr>
      <w:r>
        <w:rPr>
          <w:rFonts w:ascii="微软雅黑" w:hAnsi="微软雅黑" w:eastAsia="微软雅黑"/>
          <w:b/>
          <w:color w:val="2F5597"/>
          <w:sz w:val="20"/>
        </w:rPr>
        <w:t>导出场景</w:t>
      </w:r>
      <w:r>
        <w:rPr>
          <w:rFonts w:ascii="微软雅黑" w:hAnsi="微软雅黑" w:eastAsia="微软雅黑"/>
          <w:b w:val="0"/>
          <w:sz w:val="20"/>
        </w:rPr>
        <w:t>：可导出结果给运营团队做活跃趋势分析，也可与游戏报表、游戏人数报表等页面数据一起用于周报汇总。</w:t>
      </w:r>
    </w:p>
    <w:p w14:paraId="4F380F61">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优惠数据报表</w:t>
      </w:r>
    </w:p>
    <w:p w14:paraId="2743C1A3">
      <w:r>
        <w:drawing>
          <wp:inline distT="0" distB="0" distL="114300" distR="114300">
            <wp:extent cx="6391910" cy="1524000"/>
            <wp:effectExtent l="0" t="0" r="889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56"/>
                    <a:stretch>
                      <a:fillRect/>
                    </a:stretch>
                  </pic:blipFill>
                  <pic:spPr>
                    <a:xfrm>
                      <a:off x="0" y="0"/>
                      <a:ext cx="6391910" cy="1524000"/>
                    </a:xfrm>
                    <a:prstGeom prst="rect">
                      <a:avLst/>
                    </a:prstGeom>
                    <a:noFill/>
                    <a:ln>
                      <a:noFill/>
                    </a:ln>
                  </pic:spPr>
                </pic:pic>
              </a:graphicData>
            </a:graphic>
          </wp:inline>
        </w:drawing>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充值留存报表</w:t>
      </w:r>
    </w:p>
    <w:p w14:paraId="4C1DC239">
      <w:pPr>
        <w:spacing w:after="60" w:line="276" w:lineRule="auto"/>
      </w:pPr>
      <w:r>
        <w:rPr>
          <w:rFonts w:ascii="微软雅黑" w:hAnsi="微软雅黑" w:eastAsia="微软雅黑"/>
          <w:b w:val="0"/>
          <w:sz w:val="20"/>
        </w:rPr>
        <w:t>充值留存报表用于观察充值用户在后续周期中的充值表现和留存情况，适合评估付费用户质量、活动带来的长期价值以及站点复购能力。</w:t>
      </w:r>
    </w:p>
    <w:p w14:paraId="1AE97C78">
      <w:pPr>
        <w:pStyle w:val="6"/>
        <w:spacing w:after="60" w:line="276" w:lineRule="auto"/>
      </w:pPr>
      <w:r>
        <w:rPr>
          <w:rFonts w:ascii="微软雅黑" w:hAnsi="微软雅黑" w:eastAsia="微软雅黑"/>
          <w:b/>
          <w:i/>
          <w:color w:val="2F5597"/>
          <w:sz w:val="21"/>
        </w:rPr>
        <w:t>页面概览</w:t>
      </w:r>
    </w:p>
    <w:p w14:paraId="63E12BB1">
      <w:pPr>
        <w:spacing w:after="60" w:line="276" w:lineRule="auto"/>
      </w:pPr>
      <w:r>
        <w:rPr>
          <w:rFonts w:ascii="微软雅黑" w:hAnsi="微软雅黑" w:eastAsia="微软雅黑"/>
          <w:b w:val="0"/>
          <w:sz w:val="20"/>
        </w:rPr>
        <w:t>页面上方提供开始时间、结束时间、搜索、重置和导出表格入口，下方列表按统计日期展示投注、首充、再次充值、提现以及 3 日、5 日等留存维度数据。</w:t>
      </w:r>
    </w:p>
    <w:p w14:paraId="2C5D703D">
      <w:pPr>
        <w:spacing w:after="40"/>
        <w:jc w:val="center"/>
      </w:pPr>
      <w:r>
        <w:drawing>
          <wp:inline distT="0" distB="0" distL="114300" distR="114300">
            <wp:extent cx="5852160" cy="2056130"/>
            <wp:effectExtent l="0" t="0" r="15240" b="127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pic:cNvPicPr>
                      <a:picLocks noChangeAspect="1"/>
                    </pic:cNvPicPr>
                  </pic:nvPicPr>
                  <pic:blipFill>
                    <a:blip r:embed="rId94"/>
                    <a:stretch>
                      <a:fillRect/>
                    </a:stretch>
                  </pic:blipFill>
                  <pic:spPr>
                    <a:xfrm>
                      <a:off x="0" y="0"/>
                      <a:ext cx="5852160" cy="2056737"/>
                    </a:xfrm>
                    <a:prstGeom prst="rect">
                      <a:avLst/>
                    </a:prstGeom>
                  </pic:spPr>
                </pic:pic>
              </a:graphicData>
            </a:graphic>
          </wp:inline>
        </w:drawing>
      </w:r>
    </w:p>
    <w:p w14:paraId="2ACA9048">
      <w:pPr>
        <w:pStyle w:val="15"/>
        <w:spacing w:after="120"/>
        <w:jc w:val="center"/>
      </w:pPr>
      <w:r>
        <w:rPr>
          <w:rFonts w:ascii="微软雅黑" w:hAnsi="微软雅黑" w:eastAsia="微软雅黑"/>
          <w:b w:val="0"/>
          <w:color w:val="707E92"/>
          <w:sz w:val="18"/>
        </w:rPr>
        <w:t>图：充值留存报表页面，用于查看各统计日期的充值、提现和多日留存表现。</w:t>
      </w:r>
    </w:p>
    <w:p w14:paraId="7C7FAB2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：支持按时间范围查询留存数据。分析某次充值活动效果时，建议覆盖活动前后完整周期，避免只看单日结果。</w:t>
      </w:r>
    </w:p>
    <w:p w14:paraId="1F1920B3">
      <w:pPr>
        <w:pStyle w:val="16"/>
        <w:spacing w:after="60" w:line="276" w:lineRule="auto"/>
      </w:pPr>
      <w:r>
        <w:rPr>
          <w:rFonts w:ascii="微软雅黑" w:hAnsi="微软雅黑" w:eastAsia="微软雅黑"/>
          <w:b/>
          <w:color w:val="2F5597"/>
          <w:sz w:val="20"/>
        </w:rPr>
        <w:t>留存指标</w:t>
      </w:r>
      <w:r>
        <w:rPr>
          <w:rFonts w:ascii="微软雅黑" w:hAnsi="微软雅黑" w:eastAsia="微软雅黑"/>
          <w:b w:val="0"/>
          <w:sz w:val="20"/>
        </w:rPr>
        <w:t>：列表除基础的投注金额、首充人数、首充金额、再次充值人数、再次充值金额、注册人数和提现金额外，还展示 3 日、5 日等阶段的充值人数、充值金额和留存率。</w:t>
      </w:r>
    </w:p>
    <w:p w14:paraId="2947C6B6">
      <w:pPr>
        <w:pStyle w:val="16"/>
        <w:spacing w:after="60" w:line="276" w:lineRule="auto"/>
      </w:pPr>
      <w:r>
        <w:rPr>
          <w:rFonts w:ascii="微软雅黑" w:hAnsi="微软雅黑" w:eastAsia="微软雅黑"/>
          <w:b/>
          <w:color w:val="2F5597"/>
          <w:sz w:val="20"/>
        </w:rPr>
        <w:t>解读方式</w:t>
      </w:r>
      <w:r>
        <w:rPr>
          <w:rFonts w:ascii="微软雅黑" w:hAnsi="微软雅黑" w:eastAsia="微软雅黑"/>
          <w:b w:val="0"/>
          <w:sz w:val="20"/>
        </w:rPr>
        <w:t>：当某日充值金额较高但后续留存率偏低时，通常说明短期转化较强但长期价值不足；应结合用户分析、LTV 和渠道数据继续判断该批用户质量。</w:t>
      </w:r>
    </w:p>
    <w:p w14:paraId="5DB4EDD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：若表格中部分留存列显示为“-”，通常表示该统计日期尚未到达对应观察窗口或暂无有效数据，解读时不要与已完成窗口的数据直接混比。</w:t>
      </w:r>
    </w:p>
    <w:p w14:paraId="6B51C8CF">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代理结算明细</w:t>
      </w:r>
    </w:p>
    <w:p w14:paraId="5B6A5C39">
      <w:pPr>
        <w:spacing w:after="60" w:line="276" w:lineRule="auto"/>
      </w:pPr>
      <w:r>
        <w:rPr>
          <w:rFonts w:ascii="微软雅黑" w:hAnsi="微软雅黑" w:eastAsia="微软雅黑"/>
          <w:b w:val="0"/>
          <w:sz w:val="20"/>
        </w:rPr>
        <w:t>代理结算明细用于按站点和结算时间汇总查看代理佣金与投注金额，是代理结算复核、渠道评估和财务对账的重要参考页面。</w:t>
      </w:r>
    </w:p>
    <w:p w14:paraId="698BEE27">
      <w:pPr>
        <w:pStyle w:val="6"/>
        <w:spacing w:after="60" w:line="276" w:lineRule="auto"/>
      </w:pPr>
      <w:r>
        <w:rPr>
          <w:rFonts w:ascii="微软雅黑" w:hAnsi="微软雅黑" w:eastAsia="微软雅黑"/>
          <w:b/>
          <w:i/>
          <w:color w:val="2F5597"/>
          <w:sz w:val="21"/>
        </w:rPr>
        <w:t>页面概览</w:t>
      </w:r>
    </w:p>
    <w:p w14:paraId="422A8C10">
      <w:pPr>
        <w:spacing w:after="60" w:line="276" w:lineRule="auto"/>
      </w:pPr>
      <w:r>
        <w:rPr>
          <w:rFonts w:ascii="微软雅黑" w:hAnsi="微软雅黑" w:eastAsia="微软雅黑"/>
          <w:b w:val="0"/>
          <w:sz w:val="20"/>
        </w:rPr>
        <w:t>页面上方提供开始时间、结束时间、站点选择、搜索和重置入口，下方列表展示各结算日期的站点结算数据，并带有合计汇总行。</w:t>
      </w:r>
    </w:p>
    <w:p w14:paraId="7E2621FC">
      <w:pPr>
        <w:spacing w:after="40"/>
        <w:jc w:val="center"/>
      </w:pPr>
      <w:r>
        <w:drawing>
          <wp:inline distT="0" distB="0" distL="114300" distR="114300">
            <wp:extent cx="5852160" cy="1656715"/>
            <wp:effectExtent l="0" t="0" r="15240" b="63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pic:cNvPicPr>
                      <a:picLocks noChangeAspect="1"/>
                    </pic:cNvPicPr>
                  </pic:nvPicPr>
                  <pic:blipFill>
                    <a:blip r:embed="rId95"/>
                    <a:stretch>
                      <a:fillRect/>
                    </a:stretch>
                  </pic:blipFill>
                  <pic:spPr>
                    <a:xfrm>
                      <a:off x="0" y="0"/>
                      <a:ext cx="5852160" cy="1657000"/>
                    </a:xfrm>
                    <a:prstGeom prst="rect">
                      <a:avLst/>
                    </a:prstGeom>
                  </pic:spPr>
                </pic:pic>
              </a:graphicData>
            </a:graphic>
          </wp:inline>
        </w:drawing>
      </w:r>
    </w:p>
    <w:p w14:paraId="1848FB6B">
      <w:pPr>
        <w:pStyle w:val="15"/>
        <w:spacing w:after="120"/>
        <w:jc w:val="center"/>
      </w:pPr>
      <w:r>
        <w:rPr>
          <w:rFonts w:ascii="微软雅黑" w:hAnsi="微软雅黑" w:eastAsia="微软雅黑"/>
          <w:b w:val="0"/>
          <w:color w:val="707E92"/>
          <w:sz w:val="18"/>
        </w:rPr>
        <w:t>图：代理结算明细页面，用于查看各结算日期的代理佣金与投注金额汇总。</w:t>
      </w:r>
    </w:p>
    <w:p w14:paraId="068695C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：支持按开始时间、结束时间和站点筛选数据。多站点运营时，建议先固定站点再查看，避免不同站点数据混在一起影响结算判断。</w:t>
      </w:r>
    </w:p>
    <w:p w14:paraId="4FBF17CB">
      <w:pPr>
        <w:pStyle w:val="16"/>
        <w:spacing w:after="60" w:line="276" w:lineRule="auto"/>
      </w:pPr>
      <w:r>
        <w:rPr>
          <w:rFonts w:ascii="微软雅黑" w:hAnsi="微软雅黑" w:eastAsia="微软雅黑"/>
          <w:b/>
          <w:color w:val="2F5597"/>
          <w:sz w:val="20"/>
        </w:rPr>
        <w:t>汇总字段</w:t>
      </w:r>
      <w:r>
        <w:rPr>
          <w:rFonts w:ascii="微软雅黑" w:hAnsi="微软雅黑" w:eastAsia="微软雅黑"/>
          <w:b w:val="0"/>
          <w:sz w:val="20"/>
        </w:rPr>
        <w:t>：列表展示结算时间、站点名称、佣金和投注金额；顶部合计行会同步汇总当前筛选条件下的总佣金和总投注金额，方便快速掌握整体规模。</w:t>
      </w:r>
    </w:p>
    <w:p w14:paraId="221FB29E">
      <w:pPr>
        <w:pStyle w:val="16"/>
        <w:spacing w:after="60" w:line="276" w:lineRule="auto"/>
      </w:pPr>
      <w:r>
        <w:rPr>
          <w:rFonts w:ascii="微软雅黑" w:hAnsi="微软雅黑" w:eastAsia="微软雅黑"/>
          <w:b/>
          <w:color w:val="2F5597"/>
          <w:sz w:val="20"/>
        </w:rPr>
        <w:t>对账场景</w:t>
      </w:r>
      <w:r>
        <w:rPr>
          <w:rFonts w:ascii="微软雅黑" w:hAnsi="微软雅黑" w:eastAsia="微软雅黑"/>
          <w:b w:val="0"/>
          <w:sz w:val="20"/>
        </w:rPr>
        <w:t>：结算前建议结合代理配置、代理返佣报表和相关账变记录核对佣金来源与投注基数，确认是否存在异常调整或跨站点口径差异。</w:t>
      </w:r>
    </w:p>
    <w:p w14:paraId="3D47B8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：若某站点佣金与投注金额变化不匹配，应优先检查代理层级配置、返佣规则和统计时间范围是否一致，再决定是否进入明细级排查。</w:t>
      </w:r>
    </w:p>
    <w:p w14:paraId="028AA85F">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VIP数据统计</w:t>
      </w:r>
    </w:p>
    <w:p w14:paraId="4F2ED0B3">
      <w:pPr>
        <w:spacing w:after="60" w:line="276" w:lineRule="auto"/>
      </w:pPr>
      <w:r>
        <w:rPr>
          <w:rFonts w:ascii="微软雅黑" w:hAnsi="微软雅黑" w:eastAsia="微软雅黑"/>
          <w:b w:val="0"/>
          <w:sz w:val="20"/>
        </w:rPr>
        <w:t>VIP数据统计用于查看不同日期、不同 VIP 等级下的会员人数、升级人数以及充提表现，适合评估 VIP 体系运营效果和高价值会员活跃情况。</w:t>
      </w:r>
    </w:p>
    <w:p w14:paraId="11D3218F">
      <w:pPr>
        <w:pStyle w:val="6"/>
        <w:spacing w:after="60" w:line="276" w:lineRule="auto"/>
      </w:pPr>
      <w:r>
        <w:rPr>
          <w:rFonts w:ascii="微软雅黑" w:hAnsi="微软雅黑" w:eastAsia="微软雅黑"/>
          <w:b/>
          <w:i/>
          <w:color w:val="2F5597"/>
          <w:sz w:val="21"/>
        </w:rPr>
        <w:t>页面概览</w:t>
      </w:r>
    </w:p>
    <w:p w14:paraId="3DED38B6">
      <w:pPr>
        <w:spacing w:after="60" w:line="276" w:lineRule="auto"/>
      </w:pPr>
      <w:r>
        <w:rPr>
          <w:rFonts w:ascii="微软雅黑" w:hAnsi="微软雅黑" w:eastAsia="微软雅黑"/>
          <w:b w:val="0"/>
          <w:sz w:val="20"/>
        </w:rPr>
        <w:t>页面上方提供开始时间、结束时间、VIP 等级筛选、搜索、重置、导出报表和查看所有数据入口，下方列表展示 VIP 规模与充提相关指标。</w:t>
      </w:r>
    </w:p>
    <w:p w14:paraId="5F833432">
      <w:pPr>
        <w:spacing w:after="40"/>
        <w:jc w:val="center"/>
      </w:pPr>
      <w:r>
        <w:drawing>
          <wp:inline distT="0" distB="0" distL="114300" distR="114300">
            <wp:extent cx="6395720" cy="2847340"/>
            <wp:effectExtent l="0" t="0" r="5080" b="1016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96"/>
                    <a:stretch>
                      <a:fillRect/>
                    </a:stretch>
                  </pic:blipFill>
                  <pic:spPr>
                    <a:xfrm>
                      <a:off x="0" y="0"/>
                      <a:ext cx="6395720" cy="2847340"/>
                    </a:xfrm>
                    <a:prstGeom prst="rect">
                      <a:avLst/>
                    </a:prstGeom>
                    <a:noFill/>
                    <a:ln>
                      <a:noFill/>
                    </a:ln>
                  </pic:spPr>
                </pic:pic>
              </a:graphicData>
            </a:graphic>
          </wp:inline>
        </w:drawing>
      </w:r>
    </w:p>
    <w:p w14:paraId="530F8B80">
      <w:pPr>
        <w:pStyle w:val="15"/>
        <w:spacing w:after="120"/>
        <w:jc w:val="center"/>
      </w:pPr>
      <w:r>
        <w:rPr>
          <w:rFonts w:ascii="微软雅黑" w:hAnsi="微软雅黑" w:eastAsia="微软雅黑"/>
          <w:b w:val="0"/>
          <w:color w:val="707E92"/>
          <w:sz w:val="18"/>
        </w:rPr>
        <w:t>图：VIP数据统计页面，用于查看各 VIP 等级的人数、升级人数及充提差等指标。</w:t>
      </w:r>
    </w:p>
    <w:p w14:paraId="1E2C4230">
      <w:pPr>
        <w:pStyle w:val="16"/>
        <w:spacing w:after="60" w:line="276" w:lineRule="auto"/>
      </w:pPr>
      <w:r>
        <w:rPr>
          <w:rFonts w:ascii="微软雅黑" w:hAnsi="微软雅黑" w:eastAsia="微软雅黑"/>
          <w:b/>
          <w:color w:val="2F5597"/>
          <w:sz w:val="20"/>
        </w:rPr>
        <w:t>筛选维度</w:t>
      </w:r>
      <w:r>
        <w:rPr>
          <w:rFonts w:ascii="微软雅黑" w:hAnsi="微软雅黑" w:eastAsia="微软雅黑"/>
          <w:b w:val="0"/>
          <w:sz w:val="20"/>
        </w:rPr>
        <w:t>：支持按时间范围和 VIP 等级查询数据。做等级复盘时，可按单一等级查看；做整体评估时，可切换查看全部等级。</w:t>
      </w:r>
    </w:p>
    <w:p w14:paraId="3196E54F">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：列表包含日期、VIP 等级、VIP 人数、每日升级人数、充值人数、充值金额、提现人数、提现金额和充提差，可用于判断高价值会员规模变化与资金表现。</w:t>
      </w:r>
    </w:p>
    <w:p w14:paraId="14D30052">
      <w:pPr>
        <w:pStyle w:val="16"/>
        <w:spacing w:after="60" w:line="276" w:lineRule="auto"/>
      </w:pPr>
      <w:r>
        <w:rPr>
          <w:rFonts w:ascii="微软雅黑" w:hAnsi="微软雅黑" w:eastAsia="微软雅黑"/>
          <w:b/>
          <w:color w:val="2F5597"/>
          <w:sz w:val="20"/>
        </w:rPr>
        <w:t>运营用途</w:t>
      </w:r>
      <w:r>
        <w:rPr>
          <w:rFonts w:ascii="微软雅黑" w:hAnsi="微软雅黑" w:eastAsia="微软雅黑"/>
          <w:b w:val="0"/>
          <w:sz w:val="20"/>
        </w:rPr>
        <w:t>：当某等级 VIP 人数增长但充值金额未同步提升时，建议结合用户分析、会员活动和客服运营动作继续判断该等级会员的真实质量与活跃度。</w:t>
      </w:r>
    </w:p>
    <w:p w14:paraId="36C819BB">
      <w:pPr>
        <w:pStyle w:val="16"/>
        <w:spacing w:after="60" w:line="276" w:lineRule="auto"/>
      </w:pPr>
      <w:r>
        <w:rPr>
          <w:rFonts w:ascii="微软雅黑" w:hAnsi="微软雅黑" w:eastAsia="微软雅黑"/>
          <w:b/>
          <w:color w:val="2F5597"/>
          <w:sz w:val="20"/>
        </w:rPr>
        <w:t>查看所有数据</w:t>
      </w:r>
      <w:r>
        <w:rPr>
          <w:rFonts w:ascii="微软雅黑" w:hAnsi="微软雅黑" w:eastAsia="微软雅黑"/>
          <w:b w:val="0"/>
          <w:sz w:val="20"/>
        </w:rPr>
        <w:t>：“查看所有数据”适合在筛选条件较多时回到全量视角重新核对；导出报表则更适合沉淀周期性 VIP 经营分析结果。</w:t>
      </w:r>
    </w:p>
    <w:p w14:paraId="0928B106">
      <w:pPr>
        <w:pStyle w:val="5"/>
        <w:keepNext/>
        <w:spacing w:before="180" w:after="100" w:line="259" w:lineRule="auto"/>
      </w:pPr>
      <w:r>
        <w:rPr>
          <w:rFonts w:ascii="微软雅黑" w:hAnsi="微软雅黑" w:eastAsia="微软雅黑"/>
          <w:b/>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游戏记录</w:t>
      </w:r>
    </w:p>
    <w:p w14:paraId="683F977C">
      <w:pPr>
        <w:spacing w:after="60" w:line="276" w:lineRule="auto"/>
      </w:pPr>
      <w:r>
        <w:rPr>
          <w:rFonts w:ascii="微软雅黑" w:hAnsi="微软雅黑" w:eastAsia="微软雅黑"/>
          <w:b w:val="0"/>
          <w:sz w:val="20"/>
        </w:rPr>
        <w:t>游戏记录用于按游戏类型、厂商、会员和注单维度查询投注明细，是处理输赢争议、核对结算结果和排查异常注单的基础页面。</w:t>
      </w:r>
    </w:p>
    <w:p w14:paraId="1F3DAE7E">
      <w:pPr>
        <w:pStyle w:val="6"/>
        <w:spacing w:after="60" w:line="276" w:lineRule="auto"/>
      </w:pPr>
      <w:r>
        <w:rPr>
          <w:rFonts w:ascii="微软雅黑" w:hAnsi="微软雅黑" w:eastAsia="微软雅黑"/>
          <w:b/>
          <w:i/>
          <w:color w:val="2F5597"/>
          <w:sz w:val="21"/>
        </w:rPr>
        <w:t>页面概览</w:t>
      </w:r>
    </w:p>
    <w:p w14:paraId="40DAED4C">
      <w:pPr>
        <w:spacing w:after="60" w:line="276" w:lineRule="auto"/>
      </w:pPr>
      <w:r>
        <w:rPr>
          <w:rFonts w:ascii="微软雅黑" w:hAnsi="微软雅黑" w:eastAsia="微软雅黑"/>
          <w:b w:val="0"/>
          <w:sz w:val="20"/>
        </w:rPr>
        <w:t>页面上方提供游戏类型切换、时间范围与多条件筛选，中间展示注单汇总指标，下方列表用于查看每一笔投注的订单信息、结算结果和扩展明细。</w:t>
      </w:r>
    </w:p>
    <w:p w14:paraId="6DCAEDE9">
      <w:pPr>
        <w:spacing w:after="40"/>
        <w:jc w:val="center"/>
      </w:pPr>
      <w:r>
        <w:drawing>
          <wp:inline distT="0" distB="0" distL="114300" distR="114300">
            <wp:extent cx="5852160" cy="2679065"/>
            <wp:effectExtent l="0" t="0" r="15240" b="698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pic:cNvPicPr>
                      <a:picLocks noChangeAspect="1"/>
                    </pic:cNvPicPr>
                  </pic:nvPicPr>
                  <pic:blipFill>
                    <a:blip r:embed="rId97"/>
                    <a:stretch>
                      <a:fillRect/>
                    </a:stretch>
                  </pic:blipFill>
                  <pic:spPr>
                    <a:xfrm>
                      <a:off x="0" y="0"/>
                      <a:ext cx="5852160" cy="2679560"/>
                    </a:xfrm>
                    <a:prstGeom prst="rect">
                      <a:avLst/>
                    </a:prstGeom>
                  </pic:spPr>
                </pic:pic>
              </a:graphicData>
            </a:graphic>
          </wp:inline>
        </w:drawing>
      </w:r>
    </w:p>
    <w:p w14:paraId="2343F715">
      <w:pPr>
        <w:pStyle w:val="15"/>
        <w:spacing w:after="120"/>
        <w:jc w:val="center"/>
      </w:pPr>
      <w:r>
        <w:rPr>
          <w:rFonts w:ascii="微软雅黑" w:hAnsi="微软雅黑" w:eastAsia="微软雅黑"/>
          <w:b w:val="0"/>
          <w:color w:val="707E92"/>
          <w:sz w:val="18"/>
        </w:rPr>
        <w:t>图：游戏记录页面，用于查看各游戏类型的注单明细、输赢结果和结算状态。</w:t>
      </w:r>
    </w:p>
    <w:p w14:paraId="634E6844">
      <w:pPr>
        <w:pStyle w:val="16"/>
        <w:spacing w:after="60" w:line="276" w:lineRule="auto"/>
      </w:pPr>
      <w:r>
        <w:rPr>
          <w:rFonts w:ascii="微软雅黑" w:hAnsi="微软雅黑" w:eastAsia="微软雅黑"/>
          <w:b/>
          <w:color w:val="2F5597"/>
          <w:sz w:val="20"/>
        </w:rPr>
        <w:t>筛选与切换</w:t>
      </w:r>
      <w:r>
        <w:rPr>
          <w:rFonts w:ascii="微软雅黑" w:hAnsi="微软雅黑" w:eastAsia="微软雅黑"/>
          <w:b w:val="0"/>
          <w:sz w:val="20"/>
        </w:rPr>
        <w:t>：支持在所有类型、视讯、电子、体育、彩票、棋牌、捕鱼和区块链等分类之间切换，并结合时间范围、厂商、会员ID、注单号和状态等条件定位目标记录。</w:t>
      </w:r>
    </w:p>
    <w:p w14:paraId="05FC3AE0">
      <w:pPr>
        <w:pStyle w:val="16"/>
        <w:spacing w:after="60" w:line="276" w:lineRule="auto"/>
      </w:pPr>
      <w:r>
        <w:rPr>
          <w:rFonts w:ascii="微软雅黑" w:hAnsi="微软雅黑" w:eastAsia="微软雅黑"/>
          <w:b/>
          <w:color w:val="2F5597"/>
          <w:sz w:val="20"/>
        </w:rPr>
        <w:t>汇总指标</w:t>
      </w:r>
      <w:r>
        <w:rPr>
          <w:rFonts w:ascii="微软雅黑" w:hAnsi="微软雅黑" w:eastAsia="微软雅黑"/>
          <w:b w:val="0"/>
          <w:sz w:val="20"/>
        </w:rPr>
        <w:t>：页面顶部会同步汇总注单总数、投注额、有效投注、派彩、玩家输赢、已结算数量、异常或待开奖数量以及平均投注额，便于先从整体判断当期投注分布。</w:t>
      </w:r>
    </w:p>
    <w:p w14:paraId="334EADC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：列表重点展示会员账号、会员ID、注单号、游戏厂商、游戏类型、游戏名称、币种、投注额、有效投注、玩家输赢、派彩、投注内容、结算结果、桌台编码和投注时间，可直接用于核账与申诉排查。</w:t>
      </w:r>
    </w:p>
    <w:p w14:paraId="290F4052">
      <w:pPr>
        <w:pStyle w:val="16"/>
        <w:spacing w:after="60" w:line="276" w:lineRule="auto"/>
      </w:pPr>
      <w:r>
        <w:rPr>
          <w:rFonts w:ascii="微软雅黑" w:hAnsi="微软雅黑" w:eastAsia="微软雅黑"/>
          <w:b/>
          <w:color w:val="2F5597"/>
          <w:sz w:val="20"/>
        </w:rPr>
        <w:t>明细排查</w:t>
      </w:r>
      <w:r>
        <w:rPr>
          <w:rFonts w:ascii="微软雅黑" w:hAnsi="微软雅黑" w:eastAsia="微软雅黑"/>
          <w:b w:val="0"/>
          <w:sz w:val="20"/>
        </w:rPr>
        <w:t>：部分注单支持展开查看结果类型、倍率、触发方式或链上校验等扩展信息。处理争议时，建议将该页结果与账变记录、充值提现订单和游戏平台回传结果一并核对。</w:t>
      </w:r>
    </w:p>
    <w:p w14:paraId="72DD9253">
      <w:pPr>
        <w:pStyle w:val="5"/>
        <w:keepNext/>
        <w:spacing w:before="180" w:after="100" w:line="259" w:lineRule="auto"/>
      </w:pPr>
      <w:r>
        <w:rPr>
          <w:rFonts w:ascii="微软雅黑" w:hAnsi="微软雅黑" w:eastAsia="微软雅黑"/>
          <w:b/>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65EA5E4B">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游戏类型设置</w:t>
      </w:r>
    </w:p>
    <w:p w14:paraId="07E26B46">
      <w:pPr>
        <w:spacing w:after="60" w:line="276" w:lineRule="auto"/>
      </w:pPr>
      <w:r>
        <w:rPr>
          <w:rFonts w:ascii="微软雅黑" w:hAnsi="微软雅黑" w:eastAsia="微软雅黑"/>
          <w:b w:val="0"/>
          <w:sz w:val="20"/>
        </w:rPr>
        <w:t>游戏类型设置用于维护前台游戏大厅的类型分类、图标和排序规则，配置结果会影响游戏入口展示顺序以及后台部分统计归类。</w:t>
      </w:r>
    </w:p>
    <w:p w14:paraId="6F80870E">
      <w:pPr>
        <w:spacing w:after="40"/>
        <w:jc w:val="center"/>
      </w:pPr>
      <w:r>
        <w:drawing>
          <wp:inline distT="0" distB="0" distL="114300" distR="114300">
            <wp:extent cx="5852160" cy="1626235"/>
            <wp:effectExtent l="0" t="0" r="15240" b="1206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a:picLocks noChangeAspect="1"/>
                    </pic:cNvPicPr>
                  </pic:nvPicPr>
                  <pic:blipFill>
                    <a:blip r:embed="rId98"/>
                    <a:stretch>
                      <a:fillRect/>
                    </a:stretch>
                  </pic:blipFill>
                  <pic:spPr>
                    <a:xfrm>
                      <a:off x="0" y="0"/>
                      <a:ext cx="5852160" cy="1626572"/>
                    </a:xfrm>
                    <a:prstGeom prst="rect">
                      <a:avLst/>
                    </a:prstGeom>
                  </pic:spPr>
                </pic:pic>
              </a:graphicData>
            </a:graphic>
          </wp:inline>
        </w:drawing>
      </w:r>
    </w:p>
    <w:p w14:paraId="430D4820">
      <w:pPr>
        <w:pStyle w:val="15"/>
        <w:spacing w:after="120"/>
        <w:jc w:val="center"/>
      </w:pPr>
      <w:r>
        <w:rPr>
          <w:rFonts w:ascii="微软雅黑" w:hAnsi="微软雅黑" w:eastAsia="微软雅黑"/>
          <w:b w:val="0"/>
          <w:color w:val="707E92"/>
          <w:sz w:val="18"/>
        </w:rPr>
        <w:t>图：游戏类型设置列表页，用于查看各游戏类型的图标、排序和启用状态。</w:t>
      </w:r>
    </w:p>
    <w:p w14:paraId="20616EFC">
      <w:pPr>
        <w:pStyle w:val="16"/>
        <w:spacing w:after="60" w:line="276" w:lineRule="auto"/>
      </w:pPr>
      <w:r>
        <w:rPr>
          <w:rFonts w:ascii="微软雅黑" w:hAnsi="微软雅黑" w:eastAsia="微软雅黑"/>
          <w:b/>
          <w:color w:val="2F5597"/>
          <w:sz w:val="20"/>
        </w:rPr>
        <w:t>列表用途</w:t>
      </w:r>
      <w:r>
        <w:rPr>
          <w:rFonts w:ascii="微软雅黑" w:hAnsi="微软雅黑" w:eastAsia="微软雅黑"/>
          <w:b w:val="0"/>
          <w:sz w:val="20"/>
        </w:rPr>
        <w:t>：可直接查看热门、区块链、彩票、电子、棋牌、捕鱼、视讯、体育以及收藏游戏、最近游戏等分类的当前配置，便于核对前台导航分组是否齐全。</w:t>
      </w:r>
    </w:p>
    <w:p w14:paraId="271928DE">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：点击列表右侧的“编辑”可进入单个类型的</w:t>
      </w:r>
      <w:r>
        <w:rPr>
          <w:rFonts w:hint="eastAsia"/>
          <w:b w:val="0"/>
          <w:sz w:val="20"/>
          <w:lang w:val="en-US" w:eastAsia="zh-CN"/>
        </w:rPr>
        <w:t>编辑</w:t>
      </w:r>
      <w:r>
        <w:rPr>
          <w:rFonts w:ascii="微软雅黑" w:hAnsi="微软雅黑" w:eastAsia="微软雅黑"/>
          <w:b w:val="0"/>
          <w:sz w:val="20"/>
        </w:rPr>
        <w:t>弹窗；调整排序后，前台大厅通常会按新的顺序展示对应分类。</w:t>
      </w:r>
    </w:p>
    <w:p w14:paraId="31CAF996">
      <w:pPr>
        <w:pStyle w:val="16"/>
        <w:spacing w:after="60" w:line="276" w:lineRule="auto"/>
      </w:pPr>
      <w:r>
        <w:rPr>
          <w:rFonts w:ascii="微软雅黑" w:hAnsi="微软雅黑" w:eastAsia="微软雅黑"/>
          <w:b/>
          <w:color w:val="2F5597"/>
          <w:sz w:val="20"/>
        </w:rPr>
        <w:t>启停影响</w:t>
      </w:r>
      <w:r>
        <w:rPr>
          <w:rFonts w:ascii="微软雅黑" w:hAnsi="微软雅黑" w:eastAsia="微软雅黑"/>
          <w:b w:val="0"/>
          <w:sz w:val="20"/>
        </w:rPr>
        <w:t>：关闭某个游戏类型后，该类型在前台入口中的展示</w:t>
      </w:r>
      <w:r>
        <w:rPr>
          <w:rFonts w:hint="eastAsia"/>
          <w:b w:val="0"/>
          <w:sz w:val="20"/>
          <w:lang w:val="en-US" w:eastAsia="zh-CN"/>
        </w:rPr>
        <w:t>会</w:t>
      </w:r>
      <w:r>
        <w:rPr>
          <w:rFonts w:ascii="微软雅黑" w:hAnsi="微软雅黑" w:eastAsia="微软雅黑"/>
          <w:b w:val="0"/>
          <w:sz w:val="20"/>
        </w:rPr>
        <w:t>被隐藏，操作前应先确认是否会影响当前站点已上线的游戏分组。</w:t>
      </w:r>
    </w:p>
    <w:p w14:paraId="3CA2DBF5">
      <w:pPr>
        <w:pStyle w:val="6"/>
        <w:spacing w:after="60" w:line="276" w:lineRule="auto"/>
      </w:pPr>
      <w:r>
        <w:rPr>
          <w:rFonts w:ascii="微软雅黑" w:hAnsi="微软雅黑" w:eastAsia="微软雅黑"/>
          <w:b/>
          <w:i/>
          <w:color w:val="2F5597"/>
          <w:sz w:val="21"/>
        </w:rPr>
        <w:t>编辑游戏类型</w:t>
      </w:r>
    </w:p>
    <w:p w14:paraId="13A9723E">
      <w:pPr>
        <w:spacing w:after="60" w:line="276" w:lineRule="auto"/>
      </w:pPr>
      <w:r>
        <w:rPr>
          <w:rFonts w:ascii="微软雅黑" w:hAnsi="微软雅黑" w:eastAsia="微软雅黑"/>
          <w:b w:val="0"/>
          <w:sz w:val="20"/>
        </w:rPr>
        <w:t>编辑弹窗用于维护单个游戏类型的激活图标、未激活图标、排序值和启用状态，适合处理分类样式调整或大厅展示优化。</w:t>
      </w:r>
    </w:p>
    <w:p w14:paraId="7BC8CA98">
      <w:pPr>
        <w:spacing w:after="40"/>
        <w:jc w:val="center"/>
      </w:pPr>
      <w:r>
        <w:drawing>
          <wp:inline distT="0" distB="0" distL="114300" distR="114300">
            <wp:extent cx="4114800" cy="5361305"/>
            <wp:effectExtent l="0" t="0" r="0" b="1079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pic:cNvPicPr>
                      <a:picLocks noChangeAspect="1"/>
                    </pic:cNvPicPr>
                  </pic:nvPicPr>
                  <pic:blipFill>
                    <a:blip r:embed="rId99"/>
                    <a:stretch>
                      <a:fillRect/>
                    </a:stretch>
                  </pic:blipFill>
                  <pic:spPr>
                    <a:xfrm>
                      <a:off x="0" y="0"/>
                      <a:ext cx="4114800" cy="5361445"/>
                    </a:xfrm>
                    <a:prstGeom prst="rect">
                      <a:avLst/>
                    </a:prstGeom>
                  </pic:spPr>
                </pic:pic>
              </a:graphicData>
            </a:graphic>
          </wp:inline>
        </w:drawing>
      </w:r>
    </w:p>
    <w:p w14:paraId="3AA2E617">
      <w:pPr>
        <w:pStyle w:val="15"/>
        <w:spacing w:after="120"/>
        <w:jc w:val="center"/>
      </w:pPr>
      <w:r>
        <w:rPr>
          <w:rFonts w:ascii="微软雅黑" w:hAnsi="微软雅黑" w:eastAsia="微软雅黑"/>
          <w:b w:val="0"/>
          <w:color w:val="707E92"/>
          <w:sz w:val="18"/>
        </w:rPr>
        <w:t>图：编辑游戏类型弹窗，用于维护图标、排序和是否启用。</w:t>
      </w:r>
    </w:p>
    <w:p w14:paraId="2EEFC346">
      <w:pPr>
        <w:pStyle w:val="16"/>
        <w:spacing w:after="60" w:line="276" w:lineRule="auto"/>
      </w:pPr>
      <w:r>
        <w:rPr>
          <w:rFonts w:ascii="微软雅黑" w:hAnsi="微软雅黑" w:eastAsia="微软雅黑"/>
          <w:b/>
          <w:color w:val="2F5597"/>
          <w:sz w:val="20"/>
        </w:rPr>
        <w:t>图标配置</w:t>
      </w:r>
      <w:r>
        <w:rPr>
          <w:rFonts w:ascii="微软雅黑" w:hAnsi="微软雅黑" w:eastAsia="微软雅黑"/>
          <w:b w:val="0"/>
          <w:sz w:val="20"/>
        </w:rPr>
        <w:t>：激活图标和未激活图标分别对应前台选中态与未选中态的展示效果。上传前应按页面提示检查尺寸、格式和文件大小，避免前台图标失真。</w:t>
      </w:r>
    </w:p>
    <w:p w14:paraId="19AD4A32">
      <w:pPr>
        <w:pStyle w:val="16"/>
        <w:spacing w:after="60" w:line="276" w:lineRule="auto"/>
      </w:pPr>
      <w:r>
        <w:rPr>
          <w:rFonts w:ascii="微软雅黑" w:hAnsi="微软雅黑" w:eastAsia="微软雅黑"/>
          <w:b/>
          <w:color w:val="2F5597"/>
          <w:sz w:val="20"/>
        </w:rPr>
        <w:t>排序规则</w:t>
      </w:r>
      <w:r>
        <w:rPr>
          <w:rFonts w:ascii="微软雅黑" w:hAnsi="微软雅黑" w:eastAsia="微软雅黑"/>
          <w:b w:val="0"/>
          <w:sz w:val="20"/>
        </w:rPr>
        <w:t>：排序值越靠前，前台同层级展示越靠前。调整排序时建议同步检查相邻类型，避免热门入口或主推分类被错误后移。</w:t>
      </w:r>
    </w:p>
    <w:p w14:paraId="4997F055">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：提交前应确认分类名称、图标素材和启用状态与运营计划一致；保存后建议在前台大厅或相关配置页面复核展示顺序是否正确。</w:t>
      </w:r>
    </w:p>
    <w:p w14:paraId="4B2C4F2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游戏频道管理</w:t>
      </w:r>
    </w:p>
    <w:p w14:paraId="64F8B984">
      <w:pPr>
        <w:spacing w:after="60" w:line="276" w:lineRule="auto"/>
      </w:pPr>
      <w:r>
        <w:rPr>
          <w:rFonts w:ascii="微软雅黑" w:hAnsi="微软雅黑" w:eastAsia="微软雅黑"/>
          <w:b w:val="0"/>
          <w:sz w:val="20"/>
        </w:rPr>
        <w:t>游戏频道管理用于维护游戏大厅频道、频道名称、多语言文案、图标素材以及频道内的游戏展示范围，是配置首页频道导航和侧滑频道的重要页面。</w:t>
      </w:r>
    </w:p>
    <w:p w14:paraId="18B609C8">
      <w:pPr>
        <w:spacing w:after="40"/>
        <w:jc w:val="center"/>
      </w:pPr>
      <w:r>
        <w:drawing>
          <wp:inline distT="0" distB="0" distL="114300" distR="114300">
            <wp:extent cx="5852160" cy="1795145"/>
            <wp:effectExtent l="0" t="0" r="15240" b="1460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pic:cNvPicPr>
                      <a:picLocks noChangeAspect="1"/>
                    </pic:cNvPicPr>
                  </pic:nvPicPr>
                  <pic:blipFill>
                    <a:blip r:embed="rId100"/>
                    <a:stretch>
                      <a:fillRect/>
                    </a:stretch>
                  </pic:blipFill>
                  <pic:spPr>
                    <a:xfrm>
                      <a:off x="0" y="0"/>
                      <a:ext cx="5852160" cy="1795549"/>
                    </a:xfrm>
                    <a:prstGeom prst="rect">
                      <a:avLst/>
                    </a:prstGeom>
                  </pic:spPr>
                </pic:pic>
              </a:graphicData>
            </a:graphic>
          </wp:inline>
        </w:drawing>
      </w:r>
    </w:p>
    <w:p w14:paraId="4CAC486C">
      <w:pPr>
        <w:pStyle w:val="15"/>
        <w:spacing w:after="120"/>
        <w:jc w:val="center"/>
      </w:pPr>
      <w:r>
        <w:rPr>
          <w:rFonts w:ascii="微软雅黑" w:hAnsi="微软雅黑" w:eastAsia="微软雅黑"/>
          <w:b w:val="0"/>
          <w:color w:val="707E92"/>
          <w:sz w:val="18"/>
        </w:rPr>
        <w:t>图1：游戏频道管理主表，用于查看频道列表并进入编辑或游戏配置。</w:t>
      </w:r>
    </w:p>
    <w:p w14:paraId="3E3AF9E4">
      <w:pPr>
        <w:pStyle w:val="16"/>
        <w:spacing w:after="60" w:line="276" w:lineRule="auto"/>
      </w:pPr>
      <w:r>
        <w:rPr>
          <w:rFonts w:ascii="微软雅黑" w:hAnsi="微软雅黑" w:eastAsia="微软雅黑"/>
          <w:b/>
          <w:color w:val="2F5597"/>
          <w:sz w:val="20"/>
        </w:rPr>
        <w:t>频道分类</w:t>
      </w:r>
      <w:r>
        <w:rPr>
          <w:rFonts w:ascii="微软雅黑" w:hAnsi="微软雅黑" w:eastAsia="微软雅黑"/>
          <w:b w:val="0"/>
          <w:sz w:val="20"/>
        </w:rPr>
        <w:t>：热门、收藏、最近为系统频道，主要承担前台固定入口展示；其余频道为运营新增的自定义频道，可按业务主题、玩法或厂商组合灵活配置。</w:t>
      </w:r>
    </w:p>
    <w:p w14:paraId="47D96540">
      <w:pPr>
        <w:pStyle w:val="16"/>
        <w:spacing w:after="60" w:line="276" w:lineRule="auto"/>
      </w:pPr>
      <w:r>
        <w:rPr>
          <w:rFonts w:ascii="微软雅黑" w:hAnsi="微软雅黑" w:eastAsia="微软雅黑"/>
          <w:b/>
          <w:color w:val="2F5597"/>
          <w:sz w:val="20"/>
        </w:rPr>
        <w:t>查询与维护</w:t>
      </w:r>
      <w:r>
        <w:rPr>
          <w:rFonts w:ascii="微软雅黑" w:hAnsi="微软雅黑" w:eastAsia="微软雅黑"/>
          <w:b w:val="0"/>
          <w:sz w:val="20"/>
        </w:rPr>
        <w:t>：可按频道名称、游戏类型、游戏厂商和状态筛选记录，并通过“添加频道”“编辑”或“游戏配置”进入对应维护动作。</w:t>
      </w:r>
    </w:p>
    <w:p w14:paraId="7FE45384">
      <w:pPr>
        <w:pStyle w:val="16"/>
        <w:spacing w:after="60" w:line="276" w:lineRule="auto"/>
      </w:pPr>
      <w:r>
        <w:rPr>
          <w:rFonts w:ascii="微软雅黑" w:hAnsi="微软雅黑" w:eastAsia="微软雅黑"/>
          <w:b/>
          <w:color w:val="2F5597"/>
          <w:sz w:val="20"/>
        </w:rPr>
        <w:t>游戏同步</w:t>
      </w:r>
      <w:r>
        <w:rPr>
          <w:rFonts w:ascii="微软雅黑" w:hAnsi="微软雅黑" w:eastAsia="微软雅黑"/>
          <w:b w:val="0"/>
          <w:sz w:val="20"/>
        </w:rPr>
        <w:t>：执行游戏同步时，系统会根据平台最新游戏状态回写频道相关配置，确保频道内展示的启用状态与平台实际上下架状态保持一致。</w:t>
      </w:r>
    </w:p>
    <w:p w14:paraId="59E6CB37">
      <w:pPr>
        <w:pStyle w:val="6"/>
        <w:spacing w:after="60" w:line="276" w:lineRule="auto"/>
      </w:pPr>
      <w:r>
        <w:rPr>
          <w:rFonts w:ascii="微软雅黑" w:hAnsi="微软雅黑" w:eastAsia="微软雅黑"/>
          <w:b/>
          <w:i/>
          <w:color w:val="2F5597"/>
          <w:sz w:val="21"/>
        </w:rPr>
        <w:t>编辑频道信息</w:t>
      </w:r>
    </w:p>
    <w:p w14:paraId="2648F538">
      <w:pPr>
        <w:spacing w:after="60" w:line="276" w:lineRule="auto"/>
      </w:pPr>
      <w:r>
        <w:rPr>
          <w:rFonts w:ascii="微软雅黑" w:hAnsi="微软雅黑" w:eastAsia="微软雅黑"/>
          <w:b w:val="0"/>
          <w:sz w:val="20"/>
        </w:rPr>
        <w:t>编辑频道信息弹窗用于维护频道名称、多语言文案、是否开启、图标素材以及频道允许选择的游戏类型和游戏厂商范围。</w:t>
      </w:r>
    </w:p>
    <w:p w14:paraId="46A3E2E0">
      <w:pPr>
        <w:spacing w:after="40"/>
        <w:jc w:val="center"/>
      </w:pPr>
      <w:r>
        <w:drawing>
          <wp:inline distT="0" distB="0" distL="114300" distR="114300">
            <wp:extent cx="4754880" cy="3733800"/>
            <wp:effectExtent l="0" t="0" r="762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pic:cNvPicPr>
                      <a:picLocks noChangeAspect="1"/>
                    </pic:cNvPicPr>
                  </pic:nvPicPr>
                  <pic:blipFill>
                    <a:blip r:embed="rId101"/>
                    <a:stretch>
                      <a:fillRect/>
                    </a:stretch>
                  </pic:blipFill>
                  <pic:spPr>
                    <a:xfrm>
                      <a:off x="0" y="0"/>
                      <a:ext cx="4754880" cy="3734172"/>
                    </a:xfrm>
                    <a:prstGeom prst="rect">
                      <a:avLst/>
                    </a:prstGeom>
                  </pic:spPr>
                </pic:pic>
              </a:graphicData>
            </a:graphic>
          </wp:inline>
        </w:drawing>
      </w:r>
    </w:p>
    <w:p w14:paraId="20F9060F">
      <w:pPr>
        <w:pStyle w:val="15"/>
        <w:spacing w:after="120"/>
        <w:jc w:val="center"/>
      </w:pPr>
      <w:r>
        <w:rPr>
          <w:rFonts w:ascii="微软雅黑" w:hAnsi="微软雅黑" w:eastAsia="微软雅黑"/>
          <w:b w:val="0"/>
          <w:color w:val="707E92"/>
          <w:sz w:val="18"/>
        </w:rPr>
        <w:t>图2：编辑频道信息弹窗，用于维护频道基础信息、图标和游戏范围。</w:t>
      </w:r>
    </w:p>
    <w:p w14:paraId="1B7FC45D">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：可配置默认语言名称及其他语言文案，并通过开启开关控制该频道是否在前台展示。多语言未单独配置时，前端将回落展示默认语言。</w:t>
      </w:r>
    </w:p>
    <w:p w14:paraId="303C93C2">
      <w:pPr>
        <w:pStyle w:val="16"/>
        <w:spacing w:after="60" w:line="276" w:lineRule="auto"/>
      </w:pPr>
      <w:r>
        <w:rPr>
          <w:rFonts w:ascii="微软雅黑" w:hAnsi="微软雅黑" w:eastAsia="微软雅黑"/>
          <w:b/>
          <w:color w:val="2F5597"/>
          <w:sz w:val="20"/>
        </w:rPr>
        <w:t>图标与范围</w:t>
      </w:r>
      <w:r>
        <w:rPr>
          <w:rFonts w:ascii="微软雅黑" w:hAnsi="微软雅黑" w:eastAsia="微软雅黑"/>
          <w:b w:val="0"/>
          <w:sz w:val="20"/>
        </w:rPr>
        <w:t>：图标和激活图标决定频道入口的视觉效果；游戏类型和游戏厂商范围会限制后续“配置游戏”弹窗中可筛选、可添加的候选游戏。</w:t>
      </w:r>
    </w:p>
    <w:p w14:paraId="30B0EC60">
      <w:pPr>
        <w:pStyle w:val="16"/>
        <w:spacing w:after="60" w:line="276" w:lineRule="auto"/>
      </w:pPr>
      <w:r>
        <w:rPr>
          <w:rFonts w:ascii="微软雅黑" w:hAnsi="微软雅黑" w:eastAsia="微软雅黑"/>
          <w:b/>
          <w:color w:val="2F5597"/>
          <w:sz w:val="20"/>
        </w:rPr>
        <w:t>系统频道说明</w:t>
      </w:r>
      <w:r>
        <w:rPr>
          <w:rFonts w:ascii="微软雅黑" w:hAnsi="微软雅黑" w:eastAsia="微软雅黑"/>
          <w:b w:val="0"/>
          <w:sz w:val="20"/>
        </w:rPr>
        <w:t>：系统频道通常不</w:t>
      </w:r>
      <w:r>
        <w:rPr>
          <w:rFonts w:hint="eastAsia"/>
          <w:b w:val="0"/>
          <w:sz w:val="20"/>
          <w:lang w:val="en-US" w:eastAsia="zh-CN"/>
        </w:rPr>
        <w:t>能</w:t>
      </w:r>
      <w:r>
        <w:rPr>
          <w:rFonts w:ascii="微软雅黑" w:hAnsi="微软雅黑" w:eastAsia="微软雅黑"/>
          <w:b w:val="0"/>
          <w:sz w:val="20"/>
        </w:rPr>
        <w:t>改动频道名称，自定义频道则可根据活动或运营规划按需扩展。</w:t>
      </w:r>
    </w:p>
    <w:p w14:paraId="49F967EB">
      <w:pPr>
        <w:pStyle w:val="6"/>
        <w:spacing w:after="60" w:line="276" w:lineRule="auto"/>
      </w:pPr>
      <w:r>
        <w:rPr>
          <w:rFonts w:ascii="微软雅黑" w:hAnsi="微软雅黑" w:eastAsia="微软雅黑"/>
          <w:b/>
          <w:i/>
          <w:color w:val="2F5597"/>
          <w:sz w:val="21"/>
        </w:rPr>
        <w:t>配置游戏</w:t>
      </w:r>
    </w:p>
    <w:p w14:paraId="6D81859E">
      <w:pPr>
        <w:spacing w:after="60" w:line="276" w:lineRule="auto"/>
      </w:pPr>
      <w:r>
        <w:rPr>
          <w:rFonts w:ascii="微软雅黑" w:hAnsi="微软雅黑" w:eastAsia="微软雅黑"/>
          <w:b w:val="0"/>
          <w:sz w:val="20"/>
        </w:rPr>
        <w:t>配置游戏界面用于维护当前频道下的游戏列表、排序和状态，并支持从右侧添加区域选择候选游戏加入频道。</w:t>
      </w:r>
    </w:p>
    <w:p w14:paraId="52CCFAE9">
      <w:pPr>
        <w:spacing w:after="40"/>
        <w:jc w:val="center"/>
      </w:pPr>
      <w:r>
        <w:drawing>
          <wp:inline distT="0" distB="0" distL="114300" distR="114300">
            <wp:extent cx="5852160" cy="3614420"/>
            <wp:effectExtent l="0" t="0" r="15240" b="508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pic:cNvPicPr>
                      <a:picLocks noChangeAspect="1"/>
                    </pic:cNvPicPr>
                  </pic:nvPicPr>
                  <pic:blipFill>
                    <a:blip r:embed="rId102"/>
                    <a:stretch>
                      <a:fillRect/>
                    </a:stretch>
                  </pic:blipFill>
                  <pic:spPr>
                    <a:xfrm>
                      <a:off x="0" y="0"/>
                      <a:ext cx="5852160" cy="3615035"/>
                    </a:xfrm>
                    <a:prstGeom prst="rect">
                      <a:avLst/>
                    </a:prstGeom>
                  </pic:spPr>
                </pic:pic>
              </a:graphicData>
            </a:graphic>
          </wp:inline>
        </w:drawing>
      </w:r>
    </w:p>
    <w:p w14:paraId="3DA9ADBF">
      <w:pPr>
        <w:pStyle w:val="15"/>
        <w:spacing w:after="120"/>
        <w:jc w:val="center"/>
      </w:pPr>
      <w:r>
        <w:rPr>
          <w:rFonts w:ascii="微软雅黑" w:hAnsi="微软雅黑" w:eastAsia="微软雅黑"/>
          <w:b w:val="0"/>
          <w:color w:val="707E92"/>
          <w:sz w:val="18"/>
        </w:rPr>
        <w:t>图3：频道游戏配置界面，左侧维护当前频道游戏，右侧从添加区域勾选后加入列表。</w:t>
      </w:r>
    </w:p>
    <w:p w14:paraId="0890F1FA">
      <w:pPr>
        <w:pStyle w:val="16"/>
        <w:spacing w:after="60" w:line="276" w:lineRule="auto"/>
      </w:pPr>
      <w:r>
        <w:rPr>
          <w:rFonts w:ascii="微软雅黑" w:hAnsi="微软雅黑" w:eastAsia="微软雅黑"/>
          <w:b/>
          <w:color w:val="2F5597"/>
          <w:sz w:val="20"/>
        </w:rPr>
        <w:t>当前列表</w:t>
      </w:r>
      <w:r>
        <w:rPr>
          <w:rFonts w:ascii="微软雅黑" w:hAnsi="微软雅黑" w:eastAsia="微软雅黑"/>
          <w:b w:val="0"/>
          <w:sz w:val="20"/>
        </w:rPr>
        <w:t>：左侧列表用于查看已加入当前频道的游戏，支持按游戏名、游戏ID、标签、游戏类型和游戏厂商筛选，并可执行全选、批量移除、单条移除和排序维护。</w:t>
      </w:r>
    </w:p>
    <w:p w14:paraId="15CAA8DA">
      <w:pPr>
        <w:pStyle w:val="16"/>
        <w:spacing w:after="60" w:line="276" w:lineRule="auto"/>
      </w:pPr>
      <w:r>
        <w:rPr>
          <w:rFonts w:ascii="微软雅黑" w:hAnsi="微软雅黑" w:eastAsia="微软雅黑"/>
          <w:b/>
          <w:color w:val="2F5597"/>
          <w:sz w:val="20"/>
        </w:rPr>
        <w:t>添加游戏</w:t>
      </w:r>
      <w:r>
        <w:rPr>
          <w:rFonts w:ascii="微软雅黑" w:hAnsi="微软雅黑" w:eastAsia="微软雅黑"/>
          <w:b w:val="0"/>
          <w:sz w:val="20"/>
        </w:rPr>
        <w:t>：点击“添加游戏”后，右侧会打开添加区域。可在候选列表中勾选目标游戏，确认后所选游戏会加入左侧频道列表；已在左侧存在的游戏不会重复添加。</w:t>
      </w:r>
    </w:p>
    <w:p w14:paraId="060F6B5E">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：调整完成后应保存频道配置，并复核热门标签、封面图、排序和状态是否符合频道运营策略。对于系统频道，还应重点确认固定入口下的展示游戏是否满足系统规则。</w:t>
      </w:r>
    </w:p>
    <w:p w14:paraId="6618AAB0">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子游戏列表</w:t>
      </w:r>
    </w:p>
    <w:p w14:paraId="2C836F54">
      <w:pPr>
        <w:spacing w:after="60" w:line="276" w:lineRule="auto"/>
      </w:pPr>
      <w:r>
        <w:rPr>
          <w:rFonts w:ascii="微软雅黑" w:hAnsi="微软雅黑" w:eastAsia="微软雅黑"/>
          <w:b w:val="0"/>
          <w:sz w:val="20"/>
        </w:rPr>
        <w:t>子游戏列表用于维护平台接入的具体游戏条目，包括游戏图标、激活图、排序、热门状态和启用状态，是前台游戏素材与展示开关的集中维护页面。</w:t>
      </w:r>
      <w:r>
        <w:drawing>
          <wp:inline distT="0" distB="0" distL="114300" distR="114300">
            <wp:extent cx="5852160" cy="2553335"/>
            <wp:effectExtent l="0" t="0" r="15240" b="1841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spect="1"/>
                    </pic:cNvPicPr>
                  </pic:nvPicPr>
                  <pic:blipFill>
                    <a:blip r:embed="rId103"/>
                    <a:stretch>
                      <a:fillRect/>
                    </a:stretch>
                  </pic:blipFill>
                  <pic:spPr>
                    <a:xfrm>
                      <a:off x="0" y="0"/>
                      <a:ext cx="5852160" cy="2553926"/>
                    </a:xfrm>
                    <a:prstGeom prst="rect">
                      <a:avLst/>
                    </a:prstGeom>
                  </pic:spPr>
                </pic:pic>
              </a:graphicData>
            </a:graphic>
          </wp:inline>
        </w:drawing>
      </w:r>
    </w:p>
    <w:p w14:paraId="0F28EC0B">
      <w:pPr>
        <w:pStyle w:val="15"/>
        <w:spacing w:after="120"/>
        <w:jc w:val="center"/>
      </w:pPr>
      <w:r>
        <w:rPr>
          <w:rFonts w:ascii="微软雅黑" w:hAnsi="微软雅黑" w:eastAsia="微软雅黑"/>
          <w:b w:val="0"/>
          <w:color w:val="707E92"/>
          <w:sz w:val="18"/>
        </w:rPr>
        <w:t>图：子游戏列表页面，用于查看子游戏素材、状态并执行批量维护。</w:t>
      </w:r>
    </w:p>
    <w:p w14:paraId="04E8038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：列表重点展示排序、游戏ID、游戏名称、供应商、厂商、游戏类型、热门开关、游戏开关、图标、激活图标和操作入口，可直接用于核对前台展示素材是否齐备。</w:t>
      </w:r>
    </w:p>
    <w:p w14:paraId="6A289627">
      <w:pPr>
        <w:pStyle w:val="16"/>
        <w:spacing w:after="60" w:line="276" w:lineRule="auto"/>
      </w:pPr>
      <w:r>
        <w:rPr>
          <w:rFonts w:ascii="微软雅黑" w:hAnsi="微软雅黑" w:eastAsia="微软雅黑"/>
          <w:b/>
          <w:color w:val="2F5597"/>
          <w:sz w:val="20"/>
        </w:rPr>
        <w:t>批量操作</w:t>
      </w:r>
      <w:r>
        <w:rPr>
          <w:rFonts w:ascii="微软雅黑" w:hAnsi="微软雅黑" w:eastAsia="微软雅黑"/>
          <w:b w:val="0"/>
          <w:sz w:val="20"/>
        </w:rPr>
        <w:t>：支持批量开启或关闭游戏开关，也支持批量开启或关闭热门开关。批量处理前建议先通过筛选条件缩小范围，避免误改无关游戏。</w:t>
      </w:r>
    </w:p>
    <w:p w14:paraId="785CE19B">
      <w:pPr>
        <w:pStyle w:val="16"/>
        <w:spacing w:after="60" w:line="276" w:lineRule="auto"/>
      </w:pPr>
      <w:r>
        <w:rPr>
          <w:rFonts w:ascii="微软雅黑" w:hAnsi="微软雅黑" w:eastAsia="微软雅黑"/>
          <w:b/>
          <w:color w:val="2F5597"/>
          <w:sz w:val="20"/>
        </w:rPr>
        <w:t>同步游戏</w:t>
      </w:r>
      <w:r>
        <w:rPr>
          <w:rFonts w:ascii="微软雅黑" w:hAnsi="微软雅黑" w:eastAsia="微软雅黑"/>
          <w:b w:val="0"/>
          <w:sz w:val="20"/>
        </w:rPr>
        <w:t>：点击“同步游戏”后，系统会从平台拉取最新的子游戏列表，并同步新增游戏的图标、激活图和游戏说明等基础资料。对于平台已有但本地未更新的子游戏，也应通过同步及时补齐展示素材与说明信息。</w:t>
      </w:r>
    </w:p>
    <w:p w14:paraId="49340F80">
      <w:pPr>
        <w:pStyle w:val="6"/>
        <w:spacing w:after="60" w:line="276" w:lineRule="auto"/>
      </w:pPr>
      <w:r>
        <w:rPr>
          <w:rFonts w:ascii="微软雅黑" w:hAnsi="微软雅黑" w:eastAsia="微软雅黑"/>
          <w:b/>
          <w:i/>
          <w:color w:val="2F5597"/>
          <w:sz w:val="21"/>
        </w:rPr>
        <w:t>编辑子游戏</w:t>
      </w:r>
    </w:p>
    <w:p w14:paraId="2E3B8CD8">
      <w:pPr>
        <w:spacing w:after="60" w:line="276" w:lineRule="auto"/>
      </w:pPr>
      <w:r>
        <w:rPr>
          <w:rFonts w:ascii="微软雅黑" w:hAnsi="微软雅黑" w:eastAsia="微软雅黑"/>
          <w:b w:val="0"/>
          <w:sz w:val="20"/>
        </w:rPr>
        <w:t>编辑弹窗用于维护单个子游戏的图标、激活图、排序、热门状态和启用状态，适合处理单个游戏的素材替换或前台展示调整。</w:t>
      </w:r>
    </w:p>
    <w:p w14:paraId="6B58C5A9">
      <w:pPr>
        <w:spacing w:after="40"/>
        <w:jc w:val="center"/>
      </w:pPr>
      <w:r>
        <w:drawing>
          <wp:inline distT="0" distB="0" distL="114300" distR="114300">
            <wp:extent cx="4206240" cy="4801235"/>
            <wp:effectExtent l="0" t="0" r="3810" b="1841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spect="1"/>
                    </pic:cNvPicPr>
                  </pic:nvPicPr>
                  <pic:blipFill>
                    <a:blip r:embed="rId104"/>
                    <a:stretch>
                      <a:fillRect/>
                    </a:stretch>
                  </pic:blipFill>
                  <pic:spPr>
                    <a:xfrm>
                      <a:off x="0" y="0"/>
                      <a:ext cx="4206240" cy="4801609"/>
                    </a:xfrm>
                    <a:prstGeom prst="rect">
                      <a:avLst/>
                    </a:prstGeom>
                  </pic:spPr>
                </pic:pic>
              </a:graphicData>
            </a:graphic>
          </wp:inline>
        </w:drawing>
      </w:r>
    </w:p>
    <w:p w14:paraId="435E8C0E">
      <w:pPr>
        <w:pStyle w:val="15"/>
        <w:spacing w:after="120"/>
        <w:jc w:val="center"/>
      </w:pPr>
      <w:r>
        <w:rPr>
          <w:rFonts w:ascii="微软雅黑" w:hAnsi="微软雅黑" w:eastAsia="微软雅黑"/>
          <w:b w:val="0"/>
          <w:color w:val="707E92"/>
          <w:sz w:val="18"/>
        </w:rPr>
        <w:t>图：编辑子游戏弹窗，用于上传图片并维护排序、热门和状态开关。</w:t>
      </w:r>
    </w:p>
    <w:p w14:paraId="6D952CF6">
      <w:pPr>
        <w:pStyle w:val="16"/>
        <w:spacing w:after="60" w:line="276" w:lineRule="auto"/>
      </w:pPr>
      <w:r>
        <w:rPr>
          <w:rFonts w:ascii="微软雅黑" w:hAnsi="微软雅黑" w:eastAsia="微软雅黑"/>
          <w:b/>
          <w:color w:val="2F5597"/>
          <w:sz w:val="20"/>
        </w:rPr>
        <w:t>图片素材</w:t>
      </w:r>
      <w:r>
        <w:rPr>
          <w:rFonts w:ascii="微软雅黑" w:hAnsi="微软雅黑" w:eastAsia="微软雅黑"/>
          <w:b w:val="0"/>
          <w:sz w:val="20"/>
        </w:rPr>
        <w:t>：图标和激活图分别用于普通态和选中态展示，上传前应按页面提示检查像素比例、格式和文件大小，避免前台图片拉伸或加载失败。</w:t>
      </w:r>
    </w:p>
    <w:p w14:paraId="4744E963">
      <w:pPr>
        <w:pStyle w:val="16"/>
        <w:spacing w:after="60" w:line="276" w:lineRule="auto"/>
      </w:pPr>
      <w:r>
        <w:rPr>
          <w:rFonts w:ascii="微软雅黑" w:hAnsi="微软雅黑" w:eastAsia="微软雅黑"/>
          <w:b/>
          <w:color w:val="2F5597"/>
          <w:sz w:val="20"/>
        </w:rPr>
        <w:t>热门与状态</w:t>
      </w:r>
      <w:r>
        <w:rPr>
          <w:rFonts w:ascii="微软雅黑" w:hAnsi="微软雅黑" w:eastAsia="微软雅黑"/>
          <w:b w:val="0"/>
          <w:sz w:val="20"/>
        </w:rPr>
        <w:t>：热门开关用于控制游戏是否进入热门推荐类展示区域，状态开关用于控制该子游戏是否允许在前台被正常展示或进入。</w:t>
      </w:r>
    </w:p>
    <w:p w14:paraId="57B15F1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：提交前应确认排序值、图片素材和启停状态是否与当前频道配置、游戏类型配置保持一致；保存后建议回到列表复核对应行是否已更新。</w:t>
      </w:r>
    </w:p>
    <w:p w14:paraId="6D89B25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游戏统计</w:t>
      </w:r>
    </w:p>
    <w:p w14:paraId="52B2D976">
      <w:pPr>
        <w:spacing w:after="60" w:line="276" w:lineRule="auto"/>
      </w:pPr>
      <w:r>
        <w:rPr>
          <w:rFonts w:ascii="微软雅黑" w:hAnsi="微软雅黑" w:eastAsia="微软雅黑"/>
          <w:b w:val="0"/>
          <w:sz w:val="20"/>
        </w:rPr>
        <w:t>游戏统计用于按单个游戏维度汇总投注人数、投注次数、投注金额、损益和 RTP 表现，适合用于观察具体游戏的热度、盈利情况和回报率波动。</w:t>
      </w:r>
      <w:r>
        <w:drawing>
          <wp:inline distT="0" distB="0" distL="114300" distR="114300">
            <wp:extent cx="5852160" cy="2609215"/>
            <wp:effectExtent l="0" t="0" r="15240" b="63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pic:cNvPicPr>
                      <a:picLocks noChangeAspect="1"/>
                    </pic:cNvPicPr>
                  </pic:nvPicPr>
                  <pic:blipFill>
                    <a:blip r:embed="rId105"/>
                    <a:stretch>
                      <a:fillRect/>
                    </a:stretch>
                  </pic:blipFill>
                  <pic:spPr>
                    <a:xfrm>
                      <a:off x="0" y="0"/>
                      <a:ext cx="5852160" cy="2609557"/>
                    </a:xfrm>
                    <a:prstGeom prst="rect">
                      <a:avLst/>
                    </a:prstGeom>
                  </pic:spPr>
                </pic:pic>
              </a:graphicData>
            </a:graphic>
          </wp:inline>
        </w:drawing>
      </w:r>
    </w:p>
    <w:p w14:paraId="10BD12E5">
      <w:pPr>
        <w:pStyle w:val="15"/>
        <w:spacing w:after="120"/>
        <w:jc w:val="center"/>
      </w:pPr>
      <w:r>
        <w:rPr>
          <w:rFonts w:ascii="微软雅黑" w:hAnsi="微软雅黑" w:eastAsia="微软雅黑"/>
          <w:b w:val="0"/>
          <w:color w:val="707E92"/>
          <w:sz w:val="18"/>
        </w:rPr>
        <w:t>图：游戏统计页面，用于按游戏维度查看投注量、损益和 RTP。</w:t>
      </w:r>
    </w:p>
    <w:p w14:paraId="5E7E121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：支持按开始日期、结束日期、游戏类型和游戏编码过滤结果。需要定位异常游戏时，建议优先使用时间范围和游戏编码联合查询。</w:t>
      </w:r>
    </w:p>
    <w:p w14:paraId="2AE81997">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：列表包含厂商编码、游戏类型、游戏英文名、游戏中文名、游戏编号、投注人数、投注总次数、投注总金额、损益和 RTP，可直接用于判断单个游戏的活跃度和收益水平。</w:t>
      </w:r>
    </w:p>
    <w:p w14:paraId="28E9390F">
      <w:pPr>
        <w:pStyle w:val="16"/>
        <w:spacing w:after="60" w:line="276" w:lineRule="auto"/>
      </w:pPr>
      <w:r>
        <w:rPr>
          <w:rFonts w:ascii="微软雅黑" w:hAnsi="微软雅黑" w:eastAsia="微软雅黑"/>
          <w:b/>
          <w:color w:val="2F5597"/>
          <w:sz w:val="20"/>
        </w:rPr>
        <w:t>损益口径</w:t>
      </w:r>
      <w:r>
        <w:rPr>
          <w:rFonts w:ascii="微软雅黑" w:hAnsi="微软雅黑" w:eastAsia="微软雅黑"/>
          <w:b w:val="0"/>
          <w:sz w:val="20"/>
        </w:rPr>
        <w:t>：页面明确标注“正数代表会员赢、商户输，负数代表会员输、商户赢”。分析结果时应与该口径保持一致，避免将会员收益和商户收益方向理解反。</w:t>
      </w:r>
    </w:p>
    <w:p w14:paraId="53FA547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：当某个游戏 RTP 异常偏高、投注总金额突增或损益明显异常时，建议继续结合游戏记录和游戏厂商统计核对具体注单来源与厂商维度表现。</w:t>
      </w:r>
    </w:p>
    <w:p w14:paraId="11EEA7F1">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游戏厂商统计</w:t>
      </w:r>
    </w:p>
    <w:p w14:paraId="583E39C1">
      <w:pPr>
        <w:spacing w:after="60" w:line="276" w:lineRule="auto"/>
      </w:pPr>
      <w:r>
        <w:rPr>
          <w:rFonts w:ascii="微软雅黑" w:hAnsi="微软雅黑" w:eastAsia="微软雅黑"/>
          <w:b w:val="0"/>
          <w:sz w:val="20"/>
        </w:rPr>
        <w:t>游戏厂商统计用于按厂商维度汇总各类游戏的投注规模、派彩结果、损益和 RTP 表现，适合评估厂商接入质量、运营贡献和风险波动。</w:t>
      </w:r>
    </w:p>
    <w:p w14:paraId="2BEE3EE4">
      <w:pPr>
        <w:spacing w:after="40"/>
        <w:jc w:val="center"/>
      </w:pPr>
      <w:r>
        <w:drawing>
          <wp:inline distT="0" distB="0" distL="114300" distR="114300">
            <wp:extent cx="5852160" cy="1665605"/>
            <wp:effectExtent l="0" t="0" r="15240" b="1079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pic:cNvPicPr>
                      <a:picLocks noChangeAspect="1"/>
                    </pic:cNvPicPr>
                  </pic:nvPicPr>
                  <pic:blipFill>
                    <a:blip r:embed="rId106"/>
                    <a:stretch>
                      <a:fillRect/>
                    </a:stretch>
                  </pic:blipFill>
                  <pic:spPr>
                    <a:xfrm>
                      <a:off x="0" y="0"/>
                      <a:ext cx="5852160" cy="1666020"/>
                    </a:xfrm>
                    <a:prstGeom prst="rect">
                      <a:avLst/>
                    </a:prstGeom>
                  </pic:spPr>
                </pic:pic>
              </a:graphicData>
            </a:graphic>
          </wp:inline>
        </w:drawing>
      </w:r>
    </w:p>
    <w:p w14:paraId="24C9F9CF">
      <w:pPr>
        <w:pStyle w:val="15"/>
        <w:spacing w:after="120"/>
        <w:jc w:val="center"/>
      </w:pPr>
      <w:r>
        <w:rPr>
          <w:rFonts w:ascii="微软雅黑" w:hAnsi="微软雅黑" w:eastAsia="微软雅黑"/>
          <w:b w:val="0"/>
          <w:color w:val="707E92"/>
          <w:sz w:val="18"/>
        </w:rPr>
        <w:t>图：游戏厂商统计页面，用于按厂商维度查看游戏数量、投注量、总派彩和总损益。</w:t>
      </w:r>
    </w:p>
    <w:p w14:paraId="59FB678F">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：支持按开始日期、结束日期、游戏类型、厂商编码和厂商名称过滤数据，适合按指定厂商或指定玩法范围做阶段性复盘。</w:t>
      </w:r>
    </w:p>
    <w:p w14:paraId="3CE82BE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：列表重点展示商户币种、厂商编码、厂商名称、游戏类型、游戏数量、投注总次数、投注总金额、总派彩、总损益和 RTP，可用于衡量不同厂商的接入规模和收益水平。</w:t>
      </w:r>
    </w:p>
    <w:p w14:paraId="767C965E">
      <w:pPr>
        <w:pStyle w:val="16"/>
        <w:spacing w:after="60" w:line="276" w:lineRule="auto"/>
      </w:pPr>
      <w:r>
        <w:rPr>
          <w:rFonts w:ascii="微软雅黑" w:hAnsi="微软雅黑" w:eastAsia="微软雅黑"/>
          <w:b/>
          <w:color w:val="2F5597"/>
          <w:sz w:val="20"/>
        </w:rPr>
        <w:t>损益说明</w:t>
      </w:r>
      <w:r>
        <w:rPr>
          <w:rFonts w:ascii="微软雅黑" w:hAnsi="微软雅黑" w:eastAsia="微软雅黑"/>
          <w:b w:val="0"/>
          <w:sz w:val="20"/>
        </w:rPr>
        <w:t>：页面提示“正数代表商户收益，负数代表会员收益；总损益 = 投注总金额 - 总派彩”。查看报表时应据此判断厂商是否存在高派彩或异常赔付风险。</w:t>
      </w:r>
    </w:p>
    <w:p w14:paraId="657C429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：若某厂商总损益异常偏低或 RTP 持续偏高，建议继续结合游戏统计和游戏记录下钻到具体游戏与注单层面，确认是活动波动、热门游戏集中爆发还是厂商侧结算异常。</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在线玩家列表</w:t>
      </w:r>
    </w:p>
    <w:p w14:paraId="7FE09289">
      <w:r>
        <w:drawing>
          <wp:inline distT="0" distB="0" distL="114300" distR="114300">
            <wp:extent cx="6388735" cy="2738755"/>
            <wp:effectExtent l="0" t="0" r="12065" b="444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07"/>
                    <a:stretch>
                      <a:fillRect/>
                    </a:stretch>
                  </pic:blipFill>
                  <pic:spPr>
                    <a:xfrm>
                      <a:off x="0" y="0"/>
                      <a:ext cx="6388735" cy="2738755"/>
                    </a:xfrm>
                    <a:prstGeom prst="rect">
                      <a:avLst/>
                    </a:prstGeom>
                    <a:noFill/>
                    <a:ln>
                      <a:noFill/>
                    </a:ln>
                  </pic:spPr>
                </pic:pic>
              </a:graphicData>
            </a:graphic>
          </wp:inline>
        </w:drawing>
      </w:r>
    </w:p>
    <w:p w14:paraId="1B48DE56">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14:paraId="6CC5D4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14:paraId="50D074F6">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所有会员</w:t>
      </w:r>
    </w:p>
    <w:p w14:paraId="42D151F1">
      <w:r>
        <w:drawing>
          <wp:inline distT="0" distB="0" distL="114300" distR="114300">
            <wp:extent cx="6388735" cy="2244725"/>
            <wp:effectExtent l="0" t="0" r="12065" b="317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08"/>
                    <a:stretch>
                      <a:fillRect/>
                    </a:stretch>
                  </pic:blipFill>
                  <pic:spPr>
                    <a:xfrm>
                      <a:off x="0" y="0"/>
                      <a:ext cx="6388735" cy="2244725"/>
                    </a:xfrm>
                    <a:prstGeom prst="rect">
                      <a:avLst/>
                    </a:prstGeom>
                    <a:noFill/>
                    <a:ln>
                      <a:noFill/>
                    </a:ln>
                  </pic:spPr>
                </pic:pic>
              </a:graphicData>
            </a:graphic>
          </wp:inline>
        </w:drawing>
      </w:r>
    </w:p>
    <w:p w14:paraId="7BA5154A">
      <w:r>
        <w:drawing>
          <wp:inline distT="0" distB="0" distL="114300" distR="114300">
            <wp:extent cx="4133850" cy="3238500"/>
            <wp:effectExtent l="0" t="0" r="0" b="0"/>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109"/>
                    <a:stretch>
                      <a:fillRect/>
                    </a:stretch>
                  </pic:blipFill>
                  <pic:spPr>
                    <a:xfrm>
                      <a:off x="0" y="0"/>
                      <a:ext cx="4133850" cy="3238500"/>
                    </a:xfrm>
                    <a:prstGeom prst="rect">
                      <a:avLst/>
                    </a:prstGeom>
                    <a:noFill/>
                    <a:ln>
                      <a:noFill/>
                    </a:ln>
                  </pic:spPr>
                </pic:pic>
              </a:graphicData>
            </a:graphic>
          </wp:inline>
        </w:drawing>
      </w:r>
    </w:p>
    <w:p w14:paraId="7BA593D9">
      <w:r>
        <w:drawing>
          <wp:inline distT="0" distB="0" distL="114300" distR="114300">
            <wp:extent cx="4086225" cy="2628900"/>
            <wp:effectExtent l="0" t="0" r="9525" b="0"/>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110"/>
                    <a:stretch>
                      <a:fillRect/>
                    </a:stretch>
                  </pic:blipFill>
                  <pic:spPr>
                    <a:xfrm>
                      <a:off x="0" y="0"/>
                      <a:ext cx="4086225" cy="2628900"/>
                    </a:xfrm>
                    <a:prstGeom prst="rect">
                      <a:avLst/>
                    </a:prstGeom>
                    <a:noFill/>
                    <a:ln>
                      <a:noFill/>
                    </a:ln>
                  </pic:spPr>
                </pic:pic>
              </a:graphicData>
            </a:graphic>
          </wp:inline>
        </w:drawing>
      </w:r>
    </w:p>
    <w:p w14:paraId="31D54323">
      <w:r>
        <w:drawing>
          <wp:inline distT="0" distB="0" distL="114300" distR="114300">
            <wp:extent cx="6390640" cy="4519930"/>
            <wp:effectExtent l="0" t="0" r="10160" b="13970"/>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111"/>
                    <a:stretch>
                      <a:fillRect/>
                    </a:stretch>
                  </pic:blipFill>
                  <pic:spPr>
                    <a:xfrm>
                      <a:off x="0" y="0"/>
                      <a:ext cx="6390640" cy="4519930"/>
                    </a:xfrm>
                    <a:prstGeom prst="rect">
                      <a:avLst/>
                    </a:prstGeom>
                    <a:noFill/>
                    <a:ln>
                      <a:noFill/>
                    </a:ln>
                  </pic:spPr>
                </pic:pic>
              </a:graphicData>
            </a:graphic>
          </wp:inline>
        </w:drawing>
      </w:r>
    </w:p>
    <w:p w14:paraId="20FF2DF4">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14:paraId="2BA1C63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14:paraId="4871796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VIP设置</w:t>
      </w:r>
    </w:p>
    <w:p w14:paraId="7D22FF3B">
      <w:r>
        <w:drawing>
          <wp:inline distT="0" distB="0" distL="114300" distR="114300">
            <wp:extent cx="6396355" cy="2626360"/>
            <wp:effectExtent l="0" t="0" r="4445" b="2540"/>
            <wp:docPr id="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
                    <pic:cNvPicPr>
                      <a:picLocks noChangeAspect="1"/>
                    </pic:cNvPicPr>
                  </pic:nvPicPr>
                  <pic:blipFill>
                    <a:blip r:embed="rId112"/>
                    <a:stretch>
                      <a:fillRect/>
                    </a:stretch>
                  </pic:blipFill>
                  <pic:spPr>
                    <a:xfrm>
                      <a:off x="0" y="0"/>
                      <a:ext cx="6396355" cy="2626360"/>
                    </a:xfrm>
                    <a:prstGeom prst="rect">
                      <a:avLst/>
                    </a:prstGeom>
                    <a:noFill/>
                    <a:ln>
                      <a:noFill/>
                    </a:ln>
                  </pic:spPr>
                </pic:pic>
              </a:graphicData>
            </a:graphic>
          </wp:inline>
        </w:drawing>
      </w:r>
    </w:p>
    <w:p w14:paraId="1639271C">
      <w:r>
        <w:drawing>
          <wp:inline distT="0" distB="0" distL="114300" distR="114300">
            <wp:extent cx="6393180" cy="3175000"/>
            <wp:effectExtent l="0" t="0" r="7620" b="6350"/>
            <wp:docPr id="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
                    <pic:cNvPicPr>
                      <a:picLocks noChangeAspect="1"/>
                    </pic:cNvPicPr>
                  </pic:nvPicPr>
                  <pic:blipFill>
                    <a:blip r:embed="rId113"/>
                    <a:stretch>
                      <a:fillRect/>
                    </a:stretch>
                  </pic:blipFill>
                  <pic:spPr>
                    <a:xfrm>
                      <a:off x="0" y="0"/>
                      <a:ext cx="6393180" cy="3175000"/>
                    </a:xfrm>
                    <a:prstGeom prst="rect">
                      <a:avLst/>
                    </a:prstGeom>
                    <a:noFill/>
                    <a:ln>
                      <a:noFill/>
                    </a:ln>
                  </pic:spPr>
                </pic:pic>
              </a:graphicData>
            </a:graphic>
          </wp:inline>
        </w:drawing>
      </w:r>
      <w:r>
        <w:drawing>
          <wp:inline distT="0" distB="0" distL="114300" distR="114300">
            <wp:extent cx="6388735" cy="3077210"/>
            <wp:effectExtent l="0" t="0" r="12065" b="8890"/>
            <wp:docPr id="4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
                    <pic:cNvPicPr>
                      <a:picLocks noChangeAspect="1"/>
                    </pic:cNvPicPr>
                  </pic:nvPicPr>
                  <pic:blipFill>
                    <a:blip r:embed="rId114"/>
                    <a:stretch>
                      <a:fillRect/>
                    </a:stretch>
                  </pic:blipFill>
                  <pic:spPr>
                    <a:xfrm>
                      <a:off x="0" y="0"/>
                      <a:ext cx="6388735" cy="3077210"/>
                    </a:xfrm>
                    <a:prstGeom prst="rect">
                      <a:avLst/>
                    </a:prstGeom>
                    <a:noFill/>
                    <a:ln>
                      <a:noFill/>
                    </a:ln>
                  </pic:spPr>
                </pic:pic>
              </a:graphicData>
            </a:graphic>
          </wp:inline>
        </w:drawing>
      </w:r>
      <w:r>
        <w:drawing>
          <wp:inline distT="0" distB="0" distL="114300" distR="114300">
            <wp:extent cx="6386830" cy="3137535"/>
            <wp:effectExtent l="0" t="0" r="13970" b="5715"/>
            <wp:docPr id="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6"/>
                    <pic:cNvPicPr>
                      <a:picLocks noChangeAspect="1"/>
                    </pic:cNvPicPr>
                  </pic:nvPicPr>
                  <pic:blipFill>
                    <a:blip r:embed="rId115"/>
                    <a:stretch>
                      <a:fillRect/>
                    </a:stretch>
                  </pic:blipFill>
                  <pic:spPr>
                    <a:xfrm>
                      <a:off x="0" y="0"/>
                      <a:ext cx="6386830" cy="3137535"/>
                    </a:xfrm>
                    <a:prstGeom prst="rect">
                      <a:avLst/>
                    </a:prstGeom>
                    <a:noFill/>
                    <a:ln>
                      <a:noFill/>
                    </a:ln>
                  </pic:spPr>
                </pic:pic>
              </a:graphicData>
            </a:graphic>
          </wp:inline>
        </w:drawing>
      </w:r>
      <w:r>
        <w:drawing>
          <wp:inline distT="0" distB="0" distL="114300" distR="114300">
            <wp:extent cx="6396990" cy="3089275"/>
            <wp:effectExtent l="0" t="0" r="3810" b="15875"/>
            <wp:docPr id="4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7"/>
                    <pic:cNvPicPr>
                      <a:picLocks noChangeAspect="1"/>
                    </pic:cNvPicPr>
                  </pic:nvPicPr>
                  <pic:blipFill>
                    <a:blip r:embed="rId116"/>
                    <a:stretch>
                      <a:fillRect/>
                    </a:stretch>
                  </pic:blipFill>
                  <pic:spPr>
                    <a:xfrm>
                      <a:off x="0" y="0"/>
                      <a:ext cx="6396990" cy="3089275"/>
                    </a:xfrm>
                    <a:prstGeom prst="rect">
                      <a:avLst/>
                    </a:prstGeom>
                    <a:noFill/>
                    <a:ln>
                      <a:noFill/>
                    </a:ln>
                  </pic:spPr>
                </pic:pic>
              </a:graphicData>
            </a:graphic>
          </wp:inline>
        </w:drawing>
      </w:r>
      <w:r>
        <w:drawing>
          <wp:inline distT="0" distB="0" distL="114300" distR="114300">
            <wp:extent cx="6388100" cy="1374140"/>
            <wp:effectExtent l="0" t="0" r="12700" b="16510"/>
            <wp:docPr id="6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8"/>
                    <pic:cNvPicPr>
                      <a:picLocks noChangeAspect="1"/>
                    </pic:cNvPicPr>
                  </pic:nvPicPr>
                  <pic:blipFill>
                    <a:blip r:embed="rId117"/>
                    <a:stretch>
                      <a:fillRect/>
                    </a:stretch>
                  </pic:blipFill>
                  <pic:spPr>
                    <a:xfrm>
                      <a:off x="0" y="0"/>
                      <a:ext cx="6388100" cy="1374140"/>
                    </a:xfrm>
                    <a:prstGeom prst="rect">
                      <a:avLst/>
                    </a:prstGeom>
                    <a:noFill/>
                    <a:ln>
                      <a:noFill/>
                    </a:ln>
                  </pic:spPr>
                </pic:pic>
              </a:graphicData>
            </a:graphic>
          </wp:inline>
        </w:drawing>
      </w:r>
      <w:bookmarkStart w:id="0" w:name="_GoBack"/>
      <w:bookmarkEnd w:id="0"/>
    </w:p>
    <w:p w14:paraId="1B2A3596"/>
    <w:p w14:paraId="3C970DBD">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14:paraId="64A3E67E">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14:paraId="2B732B8F">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有奖反馈</w:t>
      </w:r>
    </w:p>
    <w:p w14:paraId="630C1ECC">
      <w:r>
        <w:drawing>
          <wp:inline distT="0" distB="0" distL="114300" distR="114300">
            <wp:extent cx="6388735" cy="2451735"/>
            <wp:effectExtent l="0" t="0" r="12065" b="5715"/>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pic:cNvPicPr>
                      <a:picLocks noChangeAspect="1"/>
                    </pic:cNvPicPr>
                  </pic:nvPicPr>
                  <pic:blipFill>
                    <a:blip r:embed="rId118"/>
                    <a:stretch>
                      <a:fillRect/>
                    </a:stretch>
                  </pic:blipFill>
                  <pic:spPr>
                    <a:xfrm>
                      <a:off x="0" y="0"/>
                      <a:ext cx="6388735" cy="2451735"/>
                    </a:xfrm>
                    <a:prstGeom prst="rect">
                      <a:avLst/>
                    </a:prstGeom>
                    <a:noFill/>
                    <a:ln>
                      <a:noFill/>
                    </a:ln>
                  </pic:spPr>
                </pic:pic>
              </a:graphicData>
            </a:graphic>
          </wp:inline>
        </w:drawing>
      </w:r>
    </w:p>
    <w:p w14:paraId="46D22C23">
      <w:r>
        <w:drawing>
          <wp:inline distT="0" distB="0" distL="114300" distR="114300">
            <wp:extent cx="4119880" cy="4608195"/>
            <wp:effectExtent l="0" t="0" r="13970" b="1905"/>
            <wp:docPr id="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pic:cNvPicPr>
                      <a:picLocks noChangeAspect="1"/>
                    </pic:cNvPicPr>
                  </pic:nvPicPr>
                  <pic:blipFill>
                    <a:blip r:embed="rId119"/>
                    <a:stretch>
                      <a:fillRect/>
                    </a:stretch>
                  </pic:blipFill>
                  <pic:spPr>
                    <a:xfrm>
                      <a:off x="0" y="0"/>
                      <a:ext cx="4119880" cy="4608195"/>
                    </a:xfrm>
                    <a:prstGeom prst="rect">
                      <a:avLst/>
                    </a:prstGeom>
                    <a:noFill/>
                    <a:ln>
                      <a:noFill/>
                    </a:ln>
                  </pic:spPr>
                </pic:pic>
              </a:graphicData>
            </a:graphic>
          </wp:inline>
        </w:drawing>
      </w:r>
    </w:p>
    <w:p w14:paraId="04EABB9C">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14:paraId="2A5C855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14:paraId="2A97AFAD">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14:paraId="32E84B52">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14:paraId="2764B9F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14:paraId="0468D12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14:paraId="63DBE911">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14:paraId="48F29FA1">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14:paraId="29D47E7C">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14:paraId="5EB7FD94">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14:paraId="06F90DFE">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14:paraId="749874C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14:paraId="760FEA40">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14:paraId="1F17117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14:paraId="344CFFF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14:paraId="60BA53C8">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14:paraId="325491E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14:paraId="33E46AA7">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14:paraId="2C8865F6">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14:paraId="32E92F7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14:paraId="5E5377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14:paraId="179154A2">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14:paraId="17CFACE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14:paraId="11541BF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53ACBE49">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14:paraId="0E0D782B">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14:paraId="6B9A34F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14:paraId="4CD48A6E">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14:paraId="345CE640">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14:paraId="4D0AB50D">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14:paraId="265AE88E">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14:paraId="171EC97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14:paraId="1C825F0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14:paraId="22F48B13">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14:paraId="5A32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14:paraId="6B00DA32">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14:paraId="71BBEE76">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14:paraId="4D46181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14:paraId="66F52684">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0D55633A">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14:paraId="3FAC7D6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14:paraId="29164E8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14:paraId="343B0883">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14:paraId="5CB49EC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14:paraId="00BDF11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14:paraId="13FFCB8C">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14:paraId="0C95FAE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14:paraId="44846780">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46360FD6">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14:paraId="6FC547C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14:paraId="3751F99B">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2BD5E249">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14:paraId="204C081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14:paraId="7AEC321F">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14:paraId="01BD4412">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14:paraId="19C6307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14:paraId="77DB7B4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14:paraId="2D46A050">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14:paraId="0E2DA1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14:paraId="177BEA7D">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100"/>
      </w:pPr>
    </w:p>
    <w:p w14:paraId="47EA7662">
      <w:pPr>
        <w:spacing w:after="40"/>
      </w:pPr>
    </w:p>
    <w:p w14:paraId="1DD5EFF0">
      <w:pPr>
        <w:spacing w:after="120"/>
      </w:pPr>
    </w:p>
    <w:p w14:paraId="2162B6BE">
      <w:pPr>
        <w:spacing w:after="60" w:line="276" w:lineRule="auto"/>
      </w:pPr>
    </w:p>
    <w:p w14:paraId="21DF37FA">
      <w:pPr>
        <w:spacing w:after="60" w:line="276" w:lineRule="auto"/>
      </w:pPr>
    </w:p>
    <w:p w14:paraId="61EC073D">
      <w:pPr>
        <w:spacing w:after="100"/>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100"/>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100"/>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100"/>
      </w:pPr>
    </w:p>
    <w:p w14:paraId="1C59233A">
      <w:pPr>
        <w:spacing w:after="60" w:line="276" w:lineRule="auto"/>
      </w:pPr>
    </w:p>
    <w:p w14:paraId="173B6EA6">
      <w:pPr>
        <w:spacing w:after="60" w:line="276" w:lineRule="auto"/>
      </w:pPr>
    </w:p>
    <w:p w14:paraId="7A4B564B">
      <w:pPr>
        <w:spacing w:after="60" w:line="276" w:lineRule="auto"/>
      </w:pPr>
    </w:p>
    <w:p w14:paraId="1C0B8D10">
      <w:pPr>
        <w:spacing w:after="100"/>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100"/>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40"/>
      </w:pPr>
    </w:p>
    <w:p w14:paraId="76AC0E76">
      <w:pPr>
        <w:spacing w:after="120"/>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40"/>
      </w:pPr>
    </w:p>
    <w:p w14:paraId="4EFCB32C">
      <w:pPr>
        <w:spacing w:after="120"/>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53B0B"/>
    <w:rsid w:val="00AA1D8D"/>
    <w:rsid w:val="00B47730"/>
    <w:rsid w:val="00CB0664"/>
    <w:rsid w:val="00F83D16"/>
    <w:rsid w:val="00FC693F"/>
    <w:rsid w:val="046225D4"/>
    <w:rsid w:val="05956E55"/>
    <w:rsid w:val="068766C3"/>
    <w:rsid w:val="0FE06DEA"/>
    <w:rsid w:val="0FFB4C2D"/>
    <w:rsid w:val="101C69A6"/>
    <w:rsid w:val="15F63412"/>
    <w:rsid w:val="17F0696C"/>
    <w:rsid w:val="183B3024"/>
    <w:rsid w:val="18FA3DCE"/>
    <w:rsid w:val="1E20265C"/>
    <w:rsid w:val="1EBC22D2"/>
    <w:rsid w:val="259865AB"/>
    <w:rsid w:val="25E47275"/>
    <w:rsid w:val="274033B7"/>
    <w:rsid w:val="29C87436"/>
    <w:rsid w:val="2F885AC1"/>
    <w:rsid w:val="308E051A"/>
    <w:rsid w:val="368F18C6"/>
    <w:rsid w:val="38A20FFB"/>
    <w:rsid w:val="398E654D"/>
    <w:rsid w:val="3AEF22C6"/>
    <w:rsid w:val="3B62700C"/>
    <w:rsid w:val="428608CB"/>
    <w:rsid w:val="449F4114"/>
    <w:rsid w:val="48E318B7"/>
    <w:rsid w:val="4E892E94"/>
    <w:rsid w:val="4F407994"/>
    <w:rsid w:val="578C750D"/>
    <w:rsid w:val="58CF0BA1"/>
    <w:rsid w:val="59C16051"/>
    <w:rsid w:val="5DB26AD9"/>
    <w:rsid w:val="5F465A0D"/>
    <w:rsid w:val="61DB474F"/>
    <w:rsid w:val="65674A25"/>
    <w:rsid w:val="6AD35998"/>
    <w:rsid w:val="6E1353FB"/>
    <w:rsid w:val="6E5F3FAE"/>
    <w:rsid w:val="6E8D0303"/>
    <w:rsid w:val="6F374E0B"/>
    <w:rsid w:val="72EE6907"/>
    <w:rsid w:val="79F022DC"/>
    <w:rsid w:val="7C724E24"/>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2" Type="http://schemas.openxmlformats.org/officeDocument/2006/relationships/fontTable" Target="fontTable.xml"/><Relationship Id="rId121" Type="http://schemas.openxmlformats.org/officeDocument/2006/relationships/customXml" Target="../customXml/item1.xml"/><Relationship Id="rId120" Type="http://schemas.openxmlformats.org/officeDocument/2006/relationships/numbering" Target="numbering.xml"/><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116</Pages>
  <Words>21422</Words>
  <Characters>22289</Characters>
  <Lines>0</Lines>
  <Paragraphs>0</Paragraphs>
  <TotalTime>15</TotalTime>
  <ScaleCrop>false</ScaleCrop>
  <LinksUpToDate>false</LinksUpToDate>
  <CharactersWithSpaces>22516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2026-06-12T08:31:13Z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