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52B6685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用于处理“分享配置”相关后台业务，具体说明可在后续补充截图时继续细化。</w:t>
      </w:r>
    </w:p>
    <w:p w14:paraId="192829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DAA842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EC66326">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2EB46B84">
      <w:pPr>
        <w:jc w:val="center"/>
      </w:pPr>
      <w:r>
        <w:drawing>
          <wp:inline distT="0" distB="0" distL="114300" distR="114300">
            <wp:extent cx="5806440" cy="1687830"/>
            <wp:effectExtent l="0" t="0" r="381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806440" cy="1688000"/>
                    </a:xfrm>
                    <a:prstGeom prst="rect">
                      <a:avLst/>
                    </a:prstGeom>
                  </pic:spPr>
                </pic:pic>
              </a:graphicData>
            </a:graphic>
          </wp:inline>
        </w:drawing>
      </w:r>
    </w:p>
    <w:p w14:paraId="4A646741">
      <w:pPr>
        <w:jc w:val="center"/>
      </w:pPr>
      <w:r>
        <w:rPr>
          <w:rFonts w:ascii="微软雅黑" w:hAnsi="微软雅黑" w:eastAsia="微软雅黑"/>
          <w:b w:val="0"/>
          <w:color w:val="707E92"/>
          <w:sz w:val="18"/>
        </w:rPr>
        <w:t>图：支付通道配置列表。</w:t>
      </w:r>
    </w:p>
    <w:p w14:paraId="648DF0AE">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02ACE695">
      <w:pPr>
        <w:jc w:val="center"/>
      </w:pPr>
      <w:r>
        <w:drawing>
          <wp:inline distT="0" distB="0" distL="114300" distR="114300">
            <wp:extent cx="5806440" cy="6962140"/>
            <wp:effectExtent l="0" t="0" r="381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806440" cy="6962225"/>
                    </a:xfrm>
                    <a:prstGeom prst="rect">
                      <a:avLst/>
                    </a:prstGeom>
                  </pic:spPr>
                </pic:pic>
              </a:graphicData>
            </a:graphic>
          </wp:inline>
        </w:drawing>
      </w:r>
    </w:p>
    <w:p w14:paraId="234EC68D">
      <w:pPr>
        <w:jc w:val="center"/>
      </w:pPr>
      <w:r>
        <w:rPr>
          <w:rFonts w:ascii="微软雅黑" w:hAnsi="微软雅黑" w:eastAsia="微软雅黑"/>
          <w:b w:val="0"/>
          <w:color w:val="707E92"/>
          <w:sz w:val="18"/>
        </w:rPr>
        <w:t>图：新增在线支付平台参数配置。</w:t>
      </w:r>
    </w:p>
    <w:p w14:paraId="02554A87">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5CBC41E1">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7E420AE6">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79075BAD">
      <w:pPr>
        <w:pStyle w:val="16"/>
      </w:pPr>
      <w:r>
        <w:rPr>
          <w:rFonts w:ascii="微软雅黑" w:hAnsi="微软雅黑" w:eastAsia="微软雅黑"/>
          <w:b/>
          <w:color w:val="2F5597"/>
          <w:sz w:val="20"/>
        </w:rPr>
        <w:t>常用操作：</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7EB4EF9">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65CC745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用于处理“广告埋点配置”相关后台业务，具体说明可在后续补充截图时继续细化。</w:t>
      </w:r>
    </w:p>
    <w:p w14:paraId="1D4CCEA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06CE9B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3"/>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bookmarkStart w:id="0" w:name="_GoBack"/>
      <w:bookmarkEnd w:id="0"/>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49FAB625">
      <w:pPr>
        <w:pStyle w:val="5"/>
        <w:keepNext/>
        <w:spacing w:before="180" w:after="100" w:line="259" w:lineRule="auto"/>
      </w:pPr>
      <w:r>
        <w:rPr>
          <w:rFonts w:ascii="微软雅黑" w:hAnsi="微软雅黑" w:eastAsia="微软雅黑"/>
          <w:b/>
          <w:color w:val="2F5597"/>
          <w:sz w:val="25"/>
        </w:rPr>
        <w:t>用户分群思维导图</w:t>
      </w:r>
    </w:p>
    <w:p w14:paraId="495530D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用于处理“用户分群思维导图”相关后台业务，具体说明可在后续补充截图时继续细化。</w:t>
      </w:r>
    </w:p>
    <w:p w14:paraId="2545681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380739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E329C96">
      <w:pPr>
        <w:pStyle w:val="5"/>
        <w:keepNext/>
        <w:spacing w:before="180" w:after="100" w:line="259" w:lineRule="auto"/>
      </w:pPr>
      <w:r>
        <w:rPr>
          <w:rFonts w:ascii="微软雅黑" w:hAnsi="微软雅黑" w:eastAsia="微软雅黑"/>
          <w:b/>
          <w:color w:val="2F5597"/>
          <w:sz w:val="25"/>
        </w:rPr>
        <w:t>站点维护管理</w:t>
      </w:r>
    </w:p>
    <w:p w14:paraId="0234442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用于处理“站点维护管理”相关后台业务，具体说明可在后续补充截图时继续细化。</w:t>
      </w:r>
    </w:p>
    <w:p w14:paraId="64E1C5F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F201B9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9F87390">
      <w:pPr>
        <w:pStyle w:val="5"/>
        <w:keepNext/>
        <w:spacing w:before="180" w:after="100" w:line="259" w:lineRule="auto"/>
      </w:pPr>
      <w:r>
        <w:rPr>
          <w:rFonts w:ascii="微软雅黑" w:hAnsi="微软雅黑" w:eastAsia="微软雅黑"/>
          <w:b/>
          <w:color w:val="2F5597"/>
          <w:sz w:val="25"/>
        </w:rPr>
        <w:t>平台公告</w:t>
      </w:r>
    </w:p>
    <w:p w14:paraId="3F3C1E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用于处理“平台公告”相关后台业务，具体说明可在后续补充截图时继续细化。</w:t>
      </w:r>
    </w:p>
    <w:p w14:paraId="6C204C6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F2660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4C9FC42">
      <w:pPr>
        <w:pStyle w:val="5"/>
        <w:keepNext/>
        <w:spacing w:before="180" w:after="100" w:line="259" w:lineRule="auto"/>
      </w:pPr>
      <w:r>
        <w:rPr>
          <w:rFonts w:ascii="微软雅黑" w:hAnsi="微软雅黑" w:eastAsia="微软雅黑"/>
          <w:b/>
          <w:color w:val="2F5597"/>
          <w:sz w:val="25"/>
        </w:rPr>
        <w:t>给平台提建议</w:t>
      </w:r>
    </w:p>
    <w:p w14:paraId="4E2D2F9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用于处理“给平台提建议”相关后台业务，具体说明可在后续补充截图时继续细化。</w:t>
      </w:r>
    </w:p>
    <w:p w14:paraId="6E1041C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A7FDAF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39E6456">
      <w:pPr>
        <w:pStyle w:val="5"/>
        <w:keepNext/>
        <w:spacing w:before="180" w:after="100" w:line="259" w:lineRule="auto"/>
      </w:pPr>
      <w:r>
        <w:rPr>
          <w:rFonts w:ascii="微软雅黑" w:hAnsi="微软雅黑" w:eastAsia="微软雅黑"/>
          <w:b/>
          <w:color w:val="2F5597"/>
          <w:sz w:val="25"/>
        </w:rPr>
        <w:t>会员投诉列表</w:t>
      </w:r>
    </w:p>
    <w:p w14:paraId="6EB7F8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用于处理“会员投诉列表”相关后台业务，具体说明可在后续补充截图时继续细化。</w:t>
      </w:r>
    </w:p>
    <w:p w14:paraId="5B7BEB9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79E61E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EC7769">
      <w:pPr>
        <w:pStyle w:val="5"/>
        <w:keepNext/>
        <w:spacing w:before="180" w:after="100" w:line="259" w:lineRule="auto"/>
      </w:pPr>
      <w:r>
        <w:rPr>
          <w:rFonts w:ascii="微软雅黑" w:hAnsi="微软雅黑" w:eastAsia="微软雅黑"/>
          <w:b/>
          <w:color w:val="2F5597"/>
          <w:sz w:val="25"/>
        </w:rPr>
        <w:t>消息推送</w:t>
      </w:r>
    </w:p>
    <w:p w14:paraId="1BA89E8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用于处理“消息推送”相关后台业务，具体说明可在后续补充截图时继续细化。</w:t>
      </w:r>
    </w:p>
    <w:p w14:paraId="5970A2A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F4989BE">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CDEBA92">
      <w:pPr>
        <w:pStyle w:val="5"/>
        <w:keepNext/>
        <w:spacing w:before="180" w:after="100" w:line="259" w:lineRule="auto"/>
      </w:pPr>
      <w:r>
        <w:rPr>
          <w:rFonts w:ascii="微软雅黑" w:hAnsi="微软雅黑" w:eastAsia="微软雅黑"/>
          <w:b/>
          <w:color w:val="2F5597"/>
          <w:sz w:val="25"/>
        </w:rPr>
        <w:t>宣传管理</w:t>
      </w:r>
    </w:p>
    <w:p w14:paraId="5D110068">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用于处理“宣传管理”相关后台业务，具体说明可在后续补充截图时继续细化。</w:t>
      </w:r>
    </w:p>
    <w:p w14:paraId="3F65D83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EF603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9D66ED6">
      <w:pPr>
        <w:pStyle w:val="5"/>
        <w:keepNext/>
        <w:spacing w:before="180" w:after="100" w:line="259" w:lineRule="auto"/>
      </w:pPr>
      <w:r>
        <w:rPr>
          <w:rFonts w:ascii="微软雅黑" w:hAnsi="微软雅黑" w:eastAsia="微软雅黑"/>
          <w:b/>
          <w:color w:val="2F5597"/>
          <w:sz w:val="25"/>
        </w:rPr>
        <w:t>客服中心</w:t>
      </w:r>
    </w:p>
    <w:p w14:paraId="78D074B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用于处理“客服中心”相关后台业务，具体说明可在后续补充截图时继续细化。</w:t>
      </w:r>
    </w:p>
    <w:p w14:paraId="1388BF3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042038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53F86C3">
      <w:pPr>
        <w:pStyle w:val="5"/>
        <w:keepNext/>
        <w:spacing w:before="180" w:after="100" w:line="259" w:lineRule="auto"/>
      </w:pPr>
      <w:r>
        <w:rPr>
          <w:rFonts w:ascii="微软雅黑" w:hAnsi="微软雅黑" w:eastAsia="微软雅黑"/>
          <w:b/>
          <w:color w:val="2F5597"/>
          <w:sz w:val="25"/>
        </w:rPr>
        <w:t>任务中心</w:t>
      </w:r>
    </w:p>
    <w:p w14:paraId="34F62E7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用于处理“任务中心”相关后台业务，具体说明可在后续补充截图时继续细化。</w:t>
      </w:r>
    </w:p>
    <w:p w14:paraId="381E649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BF90CD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5A28C8D">
      <w:pPr>
        <w:pStyle w:val="5"/>
        <w:keepNext/>
        <w:spacing w:before="180" w:after="100" w:line="259" w:lineRule="auto"/>
      </w:pPr>
      <w:r>
        <w:rPr>
          <w:rFonts w:ascii="微软雅黑" w:hAnsi="微软雅黑" w:eastAsia="微软雅黑"/>
          <w:b/>
          <w:color w:val="2F5597"/>
          <w:sz w:val="25"/>
        </w:rPr>
        <w:t>落地页管理</w:t>
      </w:r>
    </w:p>
    <w:p w14:paraId="435042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用于处理“落地页管理”相关后台业务，具体说明可在后续补充截图时继续细化。</w:t>
      </w:r>
    </w:p>
    <w:p w14:paraId="55BB8F9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C30472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D87C06F">
      <w:pPr>
        <w:pStyle w:val="5"/>
        <w:keepNext/>
        <w:spacing w:before="180" w:after="100" w:line="259" w:lineRule="auto"/>
      </w:pPr>
      <w:r>
        <w:rPr>
          <w:rFonts w:ascii="微软雅黑" w:hAnsi="微软雅黑" w:eastAsia="微软雅黑"/>
          <w:b/>
          <w:color w:val="2F5597"/>
          <w:sz w:val="25"/>
        </w:rPr>
        <w:t>活动排行统计</w:t>
      </w:r>
    </w:p>
    <w:p w14:paraId="3617A24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用于处理“活动排行统计”相关后台业务，具体说明可在后续补充截图时继续细化。</w:t>
      </w:r>
    </w:p>
    <w:p w14:paraId="5728F15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561610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2CCB15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用于处理“优惠活动列表”相关后台业务，具体说明可在后续补充截图时继续细化。</w:t>
      </w:r>
    </w:p>
    <w:p w14:paraId="60673AB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488149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E0C8557">
      <w:pPr>
        <w:pStyle w:val="5"/>
        <w:keepNext/>
        <w:spacing w:before="180" w:after="100" w:line="259" w:lineRule="auto"/>
      </w:pPr>
      <w:r>
        <w:rPr>
          <w:rFonts w:ascii="微软雅黑" w:hAnsi="微软雅黑" w:eastAsia="微软雅黑"/>
          <w:b/>
          <w:color w:val="2F5597"/>
          <w:sz w:val="25"/>
        </w:rPr>
        <w:t>幸运转盘配置</w:t>
      </w:r>
    </w:p>
    <w:p w14:paraId="69DA5D4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用于处理“幸运转盘配置”相关后台业务，具体说明可在后续补充截图时继续细化。</w:t>
      </w:r>
    </w:p>
    <w:p w14:paraId="373615F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A15085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6D48AC">
      <w:pPr>
        <w:pStyle w:val="5"/>
        <w:keepNext/>
        <w:spacing w:before="180" w:after="100" w:line="259" w:lineRule="auto"/>
      </w:pPr>
      <w:r>
        <w:rPr>
          <w:rFonts w:ascii="微软雅黑" w:hAnsi="微软雅黑" w:eastAsia="微软雅黑"/>
          <w:b/>
          <w:color w:val="2F5597"/>
          <w:sz w:val="25"/>
        </w:rPr>
        <w:t>新增活动</w:t>
      </w:r>
    </w:p>
    <w:p w14:paraId="5E2A09A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用于处理“新增活动”相关后台业务，具体说明可在后续补充截图时继续细化。</w:t>
      </w:r>
    </w:p>
    <w:p w14:paraId="13C8425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C9FE44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BFA7C18">
      <w:pPr>
        <w:pStyle w:val="5"/>
        <w:keepNext/>
        <w:spacing w:before="180" w:after="100" w:line="259" w:lineRule="auto"/>
      </w:pPr>
      <w:r>
        <w:rPr>
          <w:rFonts w:ascii="微软雅黑" w:hAnsi="微软雅黑" w:eastAsia="微软雅黑"/>
          <w:b/>
          <w:color w:val="2F5597"/>
          <w:sz w:val="25"/>
        </w:rPr>
        <w:t>活动分析</w:t>
      </w:r>
    </w:p>
    <w:p w14:paraId="4830525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用于处理“活动分析”相关后台业务，具体说明可在后续补充截图时继续细化。</w:t>
      </w:r>
    </w:p>
    <w:p w14:paraId="526A0DA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916D95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888D1C6">
      <w:pPr>
        <w:pStyle w:val="5"/>
        <w:keepNext/>
        <w:spacing w:before="180" w:after="100" w:line="259" w:lineRule="auto"/>
      </w:pPr>
      <w:r>
        <w:rPr>
          <w:rFonts w:ascii="微软雅黑" w:hAnsi="微软雅黑" w:eastAsia="微软雅黑"/>
          <w:b/>
          <w:color w:val="2F5597"/>
          <w:sz w:val="25"/>
        </w:rPr>
        <w:t>优惠数据报表</w:t>
      </w:r>
    </w:p>
    <w:p w14:paraId="65155CB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176BB0A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6F1212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4F5B3AE">
      <w:pPr>
        <w:pStyle w:val="5"/>
        <w:keepNext/>
        <w:spacing w:before="180" w:after="100" w:line="259" w:lineRule="auto"/>
      </w:pPr>
      <w:r>
        <w:rPr>
          <w:rFonts w:ascii="微软雅黑" w:hAnsi="微软雅黑" w:eastAsia="微软雅黑"/>
          <w:b/>
          <w:color w:val="2F5597"/>
          <w:sz w:val="25"/>
        </w:rPr>
        <w:t>票券中心</w:t>
      </w:r>
    </w:p>
    <w:p w14:paraId="18543AA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用于处理“票券中心”相关后台业务，具体说明可在后续补充截图时继续细化。</w:t>
      </w:r>
    </w:p>
    <w:p w14:paraId="426C512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555F9E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6B5E40D">
      <w:pPr>
        <w:pStyle w:val="5"/>
        <w:keepNext/>
        <w:spacing w:before="180" w:after="100" w:line="259" w:lineRule="auto"/>
      </w:pPr>
      <w:r>
        <w:rPr>
          <w:rFonts w:ascii="微软雅黑" w:hAnsi="微软雅黑" w:eastAsia="微软雅黑"/>
          <w:b/>
          <w:color w:val="2F5597"/>
          <w:sz w:val="25"/>
        </w:rPr>
        <w:t>票券使用记录</w:t>
      </w:r>
    </w:p>
    <w:p w14:paraId="23744DF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用于处理“票券使用记录”相关后台业务，具体说明可在后续补充截图时继续细化。</w:t>
      </w:r>
    </w:p>
    <w:p w14:paraId="57D3FC2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E90602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11BE088">
      <w:pPr>
        <w:pStyle w:val="5"/>
        <w:keepNext/>
        <w:spacing w:before="180" w:after="100" w:line="259" w:lineRule="auto"/>
      </w:pPr>
      <w:r>
        <w:rPr>
          <w:rFonts w:ascii="微软雅黑" w:hAnsi="微软雅黑" w:eastAsia="微软雅黑"/>
          <w:b/>
          <w:color w:val="2F5597"/>
          <w:sz w:val="25"/>
        </w:rPr>
        <w:t>全局配置</w:t>
      </w:r>
    </w:p>
    <w:p w14:paraId="1051BA3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用于处理“全局配置”相关后台业务，具体说明可在后续补充截图时继续细化。</w:t>
      </w:r>
    </w:p>
    <w:p w14:paraId="61887E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6F0470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14:paraId="136D534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用于处理“会员提现设置”相关后台业务，具体说明可在后续补充截图时继续细化。</w:t>
      </w:r>
    </w:p>
    <w:p w14:paraId="2639D93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0735A3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33CA22C">
      <w:pPr>
        <w:pStyle w:val="5"/>
        <w:keepNext/>
        <w:spacing w:before="180" w:after="100" w:line="259" w:lineRule="auto"/>
      </w:pPr>
      <w:r>
        <w:rPr>
          <w:rFonts w:ascii="微软雅黑" w:hAnsi="微软雅黑" w:eastAsia="微软雅黑"/>
          <w:b/>
          <w:color w:val="2F5597"/>
          <w:sz w:val="25"/>
        </w:rPr>
        <w:t>会员充值配置</w:t>
      </w:r>
    </w:p>
    <w:p w14:paraId="2E60B06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用于处理“会员充值配置”相关后台业务，具体说明可在后续补充截图时继续细化。</w:t>
      </w:r>
    </w:p>
    <w:p w14:paraId="381DA66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EC1EFF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C845537">
      <w:pPr>
        <w:pStyle w:val="5"/>
        <w:keepNext/>
        <w:spacing w:before="180" w:after="100" w:line="259" w:lineRule="auto"/>
      </w:pPr>
      <w:r>
        <w:rPr>
          <w:rFonts w:ascii="微软雅黑" w:hAnsi="微软雅黑" w:eastAsia="微软雅黑"/>
          <w:b/>
          <w:color w:val="2F5597"/>
          <w:sz w:val="25"/>
        </w:rPr>
        <w:t>充值订单列表</w:t>
      </w:r>
    </w:p>
    <w:p w14:paraId="2052326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用于处理“充值订单列表”相关后台业务，具体说明可在后续补充截图时继续细化。</w:t>
      </w:r>
    </w:p>
    <w:p w14:paraId="13F76FC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B22D9E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5C231D4">
      <w:pPr>
        <w:pStyle w:val="5"/>
        <w:keepNext/>
        <w:spacing w:before="180" w:after="100" w:line="259" w:lineRule="auto"/>
      </w:pPr>
      <w:r>
        <w:rPr>
          <w:rFonts w:ascii="微软雅黑" w:hAnsi="微软雅黑" w:eastAsia="微软雅黑"/>
          <w:b/>
          <w:color w:val="2F5597"/>
          <w:sz w:val="25"/>
        </w:rPr>
        <w:t>提现订单列表</w:t>
      </w:r>
    </w:p>
    <w:p w14:paraId="179D9BF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用于处理“提现订单列表”相关后台业务，具体说明可在后续补充截图时继续细化。</w:t>
      </w:r>
    </w:p>
    <w:p w14:paraId="47BF752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700BF6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8BC6AE">
      <w:pPr>
        <w:pStyle w:val="5"/>
        <w:keepNext/>
        <w:spacing w:before="180" w:after="100" w:line="259" w:lineRule="auto"/>
      </w:pPr>
      <w:r>
        <w:rPr>
          <w:rFonts w:ascii="微软雅黑" w:hAnsi="微软雅黑" w:eastAsia="微软雅黑"/>
          <w:b/>
          <w:color w:val="2F5597"/>
          <w:sz w:val="25"/>
        </w:rPr>
        <w:t>提现风控审核</w:t>
      </w:r>
    </w:p>
    <w:p w14:paraId="7FE746C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用于处理“提现风控审核”相关后台业务，具体说明可在后续补充截图时继续细化。</w:t>
      </w:r>
    </w:p>
    <w:p w14:paraId="3ACBAF3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13A79A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761347B">
      <w:pPr>
        <w:pStyle w:val="5"/>
        <w:keepNext/>
        <w:spacing w:before="180" w:after="100" w:line="259" w:lineRule="auto"/>
      </w:pPr>
      <w:r>
        <w:rPr>
          <w:rFonts w:ascii="微软雅黑" w:hAnsi="微软雅黑" w:eastAsia="微软雅黑"/>
          <w:b/>
          <w:color w:val="2F5597"/>
          <w:sz w:val="25"/>
        </w:rPr>
        <w:t>支付通道数据</w:t>
      </w:r>
    </w:p>
    <w:p w14:paraId="6F853A7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用于处理“支付通道数据”相关后台业务，具体说明可在后续补充截图时继续细化。</w:t>
      </w:r>
    </w:p>
    <w:p w14:paraId="796E586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FCB78F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CF38EB6">
      <w:pPr>
        <w:pStyle w:val="5"/>
        <w:keepNext/>
        <w:spacing w:before="180" w:after="100" w:line="259" w:lineRule="auto"/>
      </w:pPr>
      <w:r>
        <w:rPr>
          <w:rFonts w:ascii="微软雅黑" w:hAnsi="微软雅黑" w:eastAsia="微软雅黑"/>
          <w:b/>
          <w:color w:val="2F5597"/>
          <w:sz w:val="25"/>
        </w:rPr>
        <w:t>人工加扣款</w:t>
      </w:r>
    </w:p>
    <w:p w14:paraId="1A4652D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用于处理“人工加扣款”相关后台业务，具体说明可在后续补充截图时继续细化。</w:t>
      </w:r>
    </w:p>
    <w:p w14:paraId="33F6561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0D752B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3760425">
      <w:pPr>
        <w:pStyle w:val="5"/>
        <w:keepNext/>
        <w:spacing w:before="180" w:after="100" w:line="259" w:lineRule="auto"/>
      </w:pPr>
      <w:r>
        <w:rPr>
          <w:rFonts w:ascii="微软雅黑" w:hAnsi="微软雅黑" w:eastAsia="微软雅黑"/>
          <w:b/>
          <w:color w:val="2F5597"/>
          <w:sz w:val="25"/>
        </w:rPr>
        <w:t>账变记录</w:t>
      </w:r>
    </w:p>
    <w:p w14:paraId="2031CFE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用于处理“账变记录”相关后台业务，具体说明可在后续补充截图时继续细化。</w:t>
      </w:r>
    </w:p>
    <w:p w14:paraId="7681523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B1CF29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24545B9">
      <w:pPr>
        <w:pStyle w:val="5"/>
        <w:keepNext/>
        <w:spacing w:before="180" w:after="100" w:line="259" w:lineRule="auto"/>
      </w:pPr>
      <w:r>
        <w:rPr>
          <w:rFonts w:ascii="微软雅黑" w:hAnsi="微软雅黑" w:eastAsia="微软雅黑"/>
          <w:b/>
          <w:color w:val="2F5597"/>
          <w:sz w:val="25"/>
        </w:rPr>
        <w:t>资金账变类型</w:t>
      </w:r>
    </w:p>
    <w:p w14:paraId="582B6DD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用于处理“资金账变类型”相关后台业务，具体说明可在后续补充截图时继续细化。</w:t>
      </w:r>
    </w:p>
    <w:p w14:paraId="38A4628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452E7F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E3C5FA6">
      <w:pPr>
        <w:pStyle w:val="5"/>
        <w:keepNext/>
        <w:spacing w:before="180" w:after="100" w:line="259" w:lineRule="auto"/>
      </w:pPr>
      <w:r>
        <w:rPr>
          <w:rFonts w:ascii="微软雅黑" w:hAnsi="微软雅黑" w:eastAsia="微软雅黑"/>
          <w:b/>
          <w:color w:val="2F5597"/>
          <w:sz w:val="25"/>
        </w:rPr>
        <w:t>打码管理</w:t>
      </w:r>
    </w:p>
    <w:p w14:paraId="10EDADE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用于处理“打码管理”相关后台业务，具体说明可在后续补充截图时继续细化。</w:t>
      </w:r>
    </w:p>
    <w:p w14:paraId="28C0B04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4A3443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14:paraId="71D0E1C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用于处理“综合数据报表”相关后台业务，具体说明可在后续补充截图时继续细化。</w:t>
      </w:r>
    </w:p>
    <w:p w14:paraId="4CCC9C0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FBB1CE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D9CF65D">
      <w:pPr>
        <w:pStyle w:val="5"/>
        <w:keepNext/>
        <w:spacing w:before="180" w:after="100" w:line="259" w:lineRule="auto"/>
      </w:pPr>
      <w:r>
        <w:rPr>
          <w:rFonts w:ascii="微软雅黑" w:hAnsi="微软雅黑" w:eastAsia="微软雅黑"/>
          <w:b/>
          <w:color w:val="2F5597"/>
          <w:sz w:val="25"/>
        </w:rPr>
        <w:t>游戏人数据表</w:t>
      </w:r>
    </w:p>
    <w:p w14:paraId="3FDFD4E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用于处理“游戏人数据表”相关后台业务，具体说明可在后续补充截图时继续细化。</w:t>
      </w:r>
    </w:p>
    <w:p w14:paraId="2A372CD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3A1EBD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F380F61">
      <w:pPr>
        <w:pStyle w:val="5"/>
        <w:keepNext/>
        <w:spacing w:before="180" w:after="100" w:line="259" w:lineRule="auto"/>
      </w:pPr>
      <w:r>
        <w:rPr>
          <w:rFonts w:ascii="微软雅黑" w:hAnsi="微软雅黑" w:eastAsia="微软雅黑"/>
          <w:b/>
          <w:color w:val="2F5597"/>
          <w:sz w:val="25"/>
        </w:rPr>
        <w:t>优惠数据报表</w:t>
      </w:r>
    </w:p>
    <w:p w14:paraId="370C463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用于处理“优惠数据报表”相关后台业务，具体说明可在后续补充截图时继续细化。</w:t>
      </w:r>
    </w:p>
    <w:p w14:paraId="0B41744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1F8873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72DC0E">
      <w:pPr>
        <w:pStyle w:val="5"/>
        <w:keepNext/>
        <w:spacing w:before="180" w:after="100" w:line="259" w:lineRule="auto"/>
      </w:pPr>
      <w:r>
        <w:rPr>
          <w:rFonts w:ascii="微软雅黑" w:hAnsi="微软雅黑" w:eastAsia="微软雅黑"/>
          <w:b/>
          <w:color w:val="2F5597"/>
          <w:sz w:val="25"/>
        </w:rPr>
        <w:t>充值留存报表</w:t>
      </w:r>
    </w:p>
    <w:p w14:paraId="4174512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用于处理“充值留存报表”相关后台业务，具体说明可在后续补充截图时继续细化。</w:t>
      </w:r>
    </w:p>
    <w:p w14:paraId="6BEC154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430BBD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B51C8CF">
      <w:pPr>
        <w:pStyle w:val="5"/>
        <w:keepNext/>
        <w:spacing w:before="180" w:after="100" w:line="259" w:lineRule="auto"/>
      </w:pPr>
      <w:r>
        <w:rPr>
          <w:rFonts w:ascii="微软雅黑" w:hAnsi="微软雅黑" w:eastAsia="微软雅黑"/>
          <w:b/>
          <w:color w:val="2F5597"/>
          <w:sz w:val="25"/>
        </w:rPr>
        <w:t>代理结算明细</w:t>
      </w:r>
    </w:p>
    <w:p w14:paraId="52DBC363">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用于处理“代理结算明细”相关后台业务，具体说明可在后续补充截图时继续细化。</w:t>
      </w:r>
    </w:p>
    <w:p w14:paraId="26C8346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9F54BE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28AA85F">
      <w:pPr>
        <w:pStyle w:val="5"/>
        <w:keepNext/>
        <w:spacing w:before="180" w:after="100" w:line="259" w:lineRule="auto"/>
      </w:pPr>
      <w:r>
        <w:rPr>
          <w:rFonts w:ascii="微软雅黑" w:hAnsi="微软雅黑" w:eastAsia="微软雅黑"/>
          <w:b/>
          <w:color w:val="2F5597"/>
          <w:sz w:val="25"/>
        </w:rPr>
        <w:t>VIP数据统计</w:t>
      </w:r>
    </w:p>
    <w:p w14:paraId="46FE162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用于处理“VIP数据统计”相关后台业务，具体说明可在后续补充截图时继续细化。</w:t>
      </w:r>
    </w:p>
    <w:p w14:paraId="1FE009F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DBBEE6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928B106">
      <w:pPr>
        <w:pStyle w:val="5"/>
        <w:keepNext/>
        <w:spacing w:before="180" w:after="100" w:line="259" w:lineRule="auto"/>
      </w:pPr>
      <w:r>
        <w:rPr>
          <w:rFonts w:ascii="微软雅黑" w:hAnsi="微软雅黑" w:eastAsia="微软雅黑"/>
          <w:b/>
          <w:color w:val="2F5597"/>
          <w:sz w:val="25"/>
        </w:rPr>
        <w:t>数据排行</w:t>
      </w:r>
    </w:p>
    <w:p w14:paraId="5592D4A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用于处理“数据排行”相关后台业务，具体说明可在后续补充截图时继续细化。</w:t>
      </w:r>
    </w:p>
    <w:p w14:paraId="074DA66D">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0B5C08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5BCB24D">
      <w:pPr>
        <w:pStyle w:val="5"/>
        <w:keepNext/>
        <w:spacing w:before="180" w:after="100" w:line="259" w:lineRule="auto"/>
      </w:pPr>
      <w:r>
        <w:rPr>
          <w:rFonts w:ascii="微软雅黑" w:hAnsi="微软雅黑" w:eastAsia="微软雅黑"/>
          <w:b/>
          <w:color w:val="2F5597"/>
          <w:sz w:val="25"/>
        </w:rPr>
        <w:t>游戏记录</w:t>
      </w:r>
    </w:p>
    <w:p w14:paraId="2FF4082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用于处理“游戏记录”相关后台业务，具体说明可在后续补充截图时继续细化。</w:t>
      </w:r>
    </w:p>
    <w:p w14:paraId="36A1073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1FDEC73">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782256E">
      <w:pPr>
        <w:pStyle w:val="5"/>
        <w:keepNext/>
        <w:spacing w:before="180" w:after="100" w:line="259" w:lineRule="auto"/>
      </w:pPr>
      <w:r>
        <w:rPr>
          <w:rFonts w:ascii="微软雅黑" w:hAnsi="微软雅黑" w:eastAsia="微软雅黑"/>
          <w:b/>
          <w:color w:val="2F5597"/>
          <w:sz w:val="25"/>
        </w:rPr>
        <w:t>用户留存</w:t>
      </w:r>
    </w:p>
    <w:p w14:paraId="068C610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用于处理“用户留存”相关后台业务，具体说明可在后续补充截图时继续细化。</w:t>
      </w:r>
    </w:p>
    <w:p w14:paraId="07D9A00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3E6B77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F4FB0CF">
      <w:pPr>
        <w:pStyle w:val="5"/>
        <w:keepNext/>
        <w:spacing w:before="180" w:after="100" w:line="259" w:lineRule="auto"/>
      </w:pPr>
      <w:r>
        <w:rPr>
          <w:rFonts w:ascii="微软雅黑" w:hAnsi="微软雅黑" w:eastAsia="微软雅黑"/>
          <w:b/>
          <w:color w:val="2F5597"/>
          <w:sz w:val="25"/>
        </w:rPr>
        <w:t>用户分析</w:t>
      </w:r>
    </w:p>
    <w:p w14:paraId="68C14E7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用于处理“用户分析”相关后台业务，具体说明可在后续补充截图时继续细化。</w:t>
      </w:r>
    </w:p>
    <w:p w14:paraId="5A960B5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4EAB43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E8DFB1B">
      <w:pPr>
        <w:pStyle w:val="5"/>
        <w:keepNext/>
        <w:spacing w:before="180" w:after="100" w:line="259" w:lineRule="auto"/>
      </w:pPr>
      <w:r>
        <w:rPr>
          <w:rFonts w:ascii="微软雅黑" w:hAnsi="微软雅黑" w:eastAsia="微软雅黑"/>
          <w:b/>
          <w:color w:val="2F5597"/>
          <w:sz w:val="25"/>
        </w:rPr>
        <w:t>LTV</w:t>
      </w:r>
    </w:p>
    <w:p w14:paraId="1D0A67C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用于处理“LTV”相关后台业务，具体说明可在后续补充截图时继续细化。</w:t>
      </w:r>
    </w:p>
    <w:p w14:paraId="74FB09E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CE9B16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2DD9253">
      <w:pPr>
        <w:pStyle w:val="5"/>
        <w:keepNext/>
        <w:spacing w:before="180" w:after="100" w:line="259" w:lineRule="auto"/>
      </w:pPr>
      <w:r>
        <w:rPr>
          <w:rFonts w:ascii="微软雅黑" w:hAnsi="微软雅黑" w:eastAsia="微软雅黑"/>
          <w:b/>
          <w:color w:val="2F5597"/>
          <w:sz w:val="25"/>
        </w:rPr>
        <w:t>活动统计报表</w:t>
      </w:r>
    </w:p>
    <w:p w14:paraId="02EC7D2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用于处理“活动统计报表”相关后台业务，具体说明可在后续补充截图时继续细化。</w:t>
      </w:r>
    </w:p>
    <w:p w14:paraId="62193E0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404AA9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3D9923F">
      <w:pPr>
        <w:pStyle w:val="5"/>
        <w:keepNext/>
        <w:spacing w:before="180" w:after="100" w:line="259" w:lineRule="auto"/>
      </w:pPr>
      <w:r>
        <w:rPr>
          <w:rFonts w:ascii="微软雅黑" w:hAnsi="微软雅黑" w:eastAsia="微软雅黑"/>
          <w:b/>
          <w:color w:val="2F5597"/>
          <w:sz w:val="25"/>
        </w:rPr>
        <w:t>充值分布表</w:t>
      </w:r>
    </w:p>
    <w:p w14:paraId="0177E31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用于处理“充值分布表”相关后台业务，具体说明可在后续补充截图时继续细化。</w:t>
      </w:r>
    </w:p>
    <w:p w14:paraId="2B8BD30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72536C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28F47D2">
      <w:pPr>
        <w:pStyle w:val="5"/>
        <w:keepNext/>
        <w:spacing w:before="180" w:after="100" w:line="259" w:lineRule="auto"/>
      </w:pPr>
      <w:r>
        <w:rPr>
          <w:rFonts w:ascii="微软雅黑" w:hAnsi="微软雅黑" w:eastAsia="微软雅黑"/>
          <w:b/>
          <w:color w:val="2F5597"/>
          <w:sz w:val="25"/>
        </w:rPr>
        <w:t>任务统计报表</w:t>
      </w:r>
    </w:p>
    <w:p w14:paraId="58FECAC0">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用于处理“任务统计报表”相关后台业务，具体说明可在后续补充截图时继续细化。</w:t>
      </w:r>
    </w:p>
    <w:p w14:paraId="1652A51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3B31F6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59DE9601">
      <w:pPr>
        <w:pStyle w:val="5"/>
        <w:keepNext/>
        <w:spacing w:before="180" w:after="100" w:line="259" w:lineRule="auto"/>
      </w:pPr>
      <w:r>
        <w:rPr>
          <w:rFonts w:ascii="微软雅黑" w:hAnsi="微软雅黑" w:eastAsia="微软雅黑"/>
          <w:b/>
          <w:color w:val="2F5597"/>
          <w:sz w:val="25"/>
        </w:rPr>
        <w:t>用户分群查询</w:t>
      </w:r>
    </w:p>
    <w:p w14:paraId="23EFCE2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用于处理“用户分群查询”相关后台业务，具体说明可在后续补充截图时继续细化。</w:t>
      </w:r>
    </w:p>
    <w:p w14:paraId="7665258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EB15B6">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14:paraId="76E175E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用于处理“推荐频道管理”相关后台业务，具体说明可在后续补充截图时继续细化。</w:t>
      </w:r>
    </w:p>
    <w:p w14:paraId="690792F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0B2847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5EA5E4B">
      <w:pPr>
        <w:pStyle w:val="5"/>
        <w:keepNext/>
        <w:spacing w:before="180" w:after="100" w:line="259" w:lineRule="auto"/>
      </w:pPr>
      <w:r>
        <w:rPr>
          <w:rFonts w:ascii="微软雅黑" w:hAnsi="微软雅黑" w:eastAsia="微软雅黑"/>
          <w:b/>
          <w:color w:val="2F5597"/>
          <w:sz w:val="25"/>
        </w:rPr>
        <w:t>游戏类型设置</w:t>
      </w:r>
    </w:p>
    <w:p w14:paraId="2219A378">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用于处理“游戏类型设置”相关后台业务，具体说明可在后续补充截图时继续细化。</w:t>
      </w:r>
    </w:p>
    <w:p w14:paraId="1EEA60D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EFA37E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B2C4F27">
      <w:pPr>
        <w:pStyle w:val="5"/>
        <w:keepNext/>
        <w:spacing w:before="180" w:after="100" w:line="259" w:lineRule="auto"/>
      </w:pPr>
      <w:r>
        <w:rPr>
          <w:rFonts w:ascii="微软雅黑" w:hAnsi="微软雅黑" w:eastAsia="微软雅黑"/>
          <w:b/>
          <w:color w:val="2F5597"/>
          <w:sz w:val="25"/>
        </w:rPr>
        <w:t>游戏频道管理</w:t>
      </w:r>
    </w:p>
    <w:p w14:paraId="40EE5EC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用于处理“游戏频道管理”相关后台业务，具体说明可在后续补充截图时继续细化。</w:t>
      </w:r>
    </w:p>
    <w:p w14:paraId="44D7AFB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1A8A96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618AAB0">
      <w:pPr>
        <w:pStyle w:val="5"/>
        <w:keepNext/>
        <w:spacing w:before="180" w:after="100" w:line="259" w:lineRule="auto"/>
      </w:pPr>
      <w:r>
        <w:rPr>
          <w:rFonts w:ascii="微软雅黑" w:hAnsi="微软雅黑" w:eastAsia="微软雅黑"/>
          <w:b/>
          <w:color w:val="2F5597"/>
          <w:sz w:val="25"/>
        </w:rPr>
        <w:t>子游戏列表</w:t>
      </w:r>
    </w:p>
    <w:p w14:paraId="40658A9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用于处理“子游戏列表”相关后台业务，具体说明可在后续补充截图时继续细化。</w:t>
      </w:r>
    </w:p>
    <w:p w14:paraId="44EAB25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788EBF94">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D89B257">
      <w:pPr>
        <w:pStyle w:val="5"/>
        <w:keepNext/>
        <w:spacing w:before="180" w:after="100" w:line="259" w:lineRule="auto"/>
      </w:pPr>
      <w:r>
        <w:rPr>
          <w:rFonts w:ascii="微软雅黑" w:hAnsi="微软雅黑" w:eastAsia="微软雅黑"/>
          <w:b/>
          <w:color w:val="2F5597"/>
          <w:sz w:val="25"/>
        </w:rPr>
        <w:t>游戏统计</w:t>
      </w:r>
    </w:p>
    <w:p w14:paraId="17C3904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用于处理“游戏统计”相关后台业务，具体说明可在后续补充截图时继续细化。</w:t>
      </w:r>
    </w:p>
    <w:p w14:paraId="0E2F2B7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8B102C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1EEA7F1">
      <w:pPr>
        <w:pStyle w:val="5"/>
        <w:keepNext/>
        <w:spacing w:before="180" w:after="100" w:line="259" w:lineRule="auto"/>
      </w:pPr>
      <w:r>
        <w:rPr>
          <w:rFonts w:ascii="微软雅黑" w:hAnsi="微软雅黑" w:eastAsia="微软雅黑"/>
          <w:b/>
          <w:color w:val="2F5597"/>
          <w:sz w:val="25"/>
        </w:rPr>
        <w:t>游戏厂商统计</w:t>
      </w:r>
    </w:p>
    <w:p w14:paraId="6B4E1F1C">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用于处理“游戏厂商统计”相关后台业务，具体说明可在后续补充截图时继续细化。</w:t>
      </w:r>
    </w:p>
    <w:p w14:paraId="335E47C2">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22ECE1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14:paraId="5641BAA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用于处理“在线玩家列表”相关后台业务，具体说明可在后续补充截图时继续细化。</w:t>
      </w:r>
    </w:p>
    <w:p w14:paraId="083D906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C0155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114301A">
      <w:pPr>
        <w:pStyle w:val="5"/>
        <w:keepNext/>
        <w:spacing w:before="180" w:after="100" w:line="259" w:lineRule="auto"/>
      </w:pPr>
      <w:r>
        <w:rPr>
          <w:rFonts w:ascii="微软雅黑" w:hAnsi="微软雅黑" w:eastAsia="微软雅黑"/>
          <w:b/>
          <w:color w:val="2F5597"/>
          <w:sz w:val="25"/>
        </w:rPr>
        <w:t>所有会员</w:t>
      </w:r>
    </w:p>
    <w:p w14:paraId="7E8B79D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用于处理“所有会员”相关后台业务，具体说明可在后续补充截图时继续细化。</w:t>
      </w:r>
    </w:p>
    <w:p w14:paraId="399488F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364D76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53421E3">
      <w:pPr>
        <w:pStyle w:val="5"/>
        <w:keepNext/>
        <w:spacing w:before="180" w:after="100" w:line="259" w:lineRule="auto"/>
      </w:pPr>
      <w:r>
        <w:rPr>
          <w:rFonts w:ascii="微软雅黑" w:hAnsi="微软雅黑" w:eastAsia="微软雅黑"/>
          <w:b/>
          <w:color w:val="2F5597"/>
          <w:sz w:val="25"/>
        </w:rPr>
        <w:t>VIP设置</w:t>
      </w:r>
    </w:p>
    <w:p w14:paraId="729E762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用于处理“VIP设置”相关后台业务，具体说明可在后续补充截图时继续细化。</w:t>
      </w:r>
    </w:p>
    <w:p w14:paraId="0F373DEE">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9BA500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DC6CA3D">
      <w:pPr>
        <w:pStyle w:val="5"/>
        <w:keepNext/>
        <w:spacing w:before="180" w:after="100" w:line="259" w:lineRule="auto"/>
      </w:pPr>
      <w:r>
        <w:rPr>
          <w:rFonts w:ascii="微软雅黑" w:hAnsi="微软雅黑" w:eastAsia="微软雅黑"/>
          <w:b/>
          <w:color w:val="2F5597"/>
          <w:sz w:val="25"/>
        </w:rPr>
        <w:t>有奖反馈</w:t>
      </w:r>
    </w:p>
    <w:p w14:paraId="717DD10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用于处理“有奖反馈”相关后台业务，具体说明可在后续补充截图时继续细化。</w:t>
      </w:r>
    </w:p>
    <w:p w14:paraId="4E6976F7">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C001658">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14:paraId="0C170B7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用于处理“代理列表”相关后台业务，具体说明可在后续补充截图时继续细化。</w:t>
      </w:r>
    </w:p>
    <w:p w14:paraId="0EF840DB">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84A30A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B2F927C">
      <w:pPr>
        <w:pStyle w:val="5"/>
        <w:keepNext/>
        <w:spacing w:before="180" w:after="100" w:line="259" w:lineRule="auto"/>
      </w:pPr>
      <w:r>
        <w:rPr>
          <w:rFonts w:ascii="微软雅黑" w:hAnsi="微软雅黑" w:eastAsia="微软雅黑"/>
          <w:b/>
          <w:color w:val="2F5597"/>
          <w:sz w:val="25"/>
        </w:rPr>
        <w:t>代理配置</w:t>
      </w:r>
    </w:p>
    <w:p w14:paraId="28011AC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用于处理“代理配置”相关后台业务，具体说明可在后续补充截图时继续细化。</w:t>
      </w:r>
    </w:p>
    <w:p w14:paraId="184D7C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5773D4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A8BCCC2">
      <w:pPr>
        <w:pStyle w:val="5"/>
        <w:keepNext/>
        <w:spacing w:before="180" w:after="100" w:line="259" w:lineRule="auto"/>
      </w:pPr>
      <w:r>
        <w:rPr>
          <w:rFonts w:ascii="微软雅黑" w:hAnsi="微软雅黑" w:eastAsia="微软雅黑"/>
          <w:b/>
          <w:color w:val="2F5597"/>
          <w:sz w:val="25"/>
        </w:rPr>
        <w:t>代理领取记录</w:t>
      </w:r>
    </w:p>
    <w:p w14:paraId="627B182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用于处理“代理领取记录”相关后台业务，具体说明可在后续补充截图时继续细化。</w:t>
      </w:r>
    </w:p>
    <w:p w14:paraId="0B017046">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2CA078A">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3B26D96">
      <w:pPr>
        <w:pStyle w:val="5"/>
        <w:keepNext/>
        <w:spacing w:before="180" w:after="100" w:line="259" w:lineRule="auto"/>
      </w:pPr>
      <w:r>
        <w:rPr>
          <w:rFonts w:ascii="微软雅黑" w:hAnsi="微软雅黑" w:eastAsia="微软雅黑"/>
          <w:b/>
          <w:color w:val="2F5597"/>
          <w:sz w:val="25"/>
        </w:rPr>
        <w:t>代理数据查询</w:t>
      </w:r>
    </w:p>
    <w:p w14:paraId="12170BA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用于处理“代理数据查询”相关后台业务，具体说明可在后续补充截图时继续细化。</w:t>
      </w:r>
    </w:p>
    <w:p w14:paraId="19F214C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6278EAC">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14:paraId="694CAF91">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用于处理“黑名单”相关后台业务，具体说明可在后续补充截图时继续细化。</w:t>
      </w:r>
    </w:p>
    <w:p w14:paraId="0F0EAAC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B6D007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4F6DF181">
      <w:pPr>
        <w:pStyle w:val="5"/>
        <w:keepNext/>
        <w:spacing w:before="180" w:after="100" w:line="259" w:lineRule="auto"/>
      </w:pPr>
      <w:r>
        <w:rPr>
          <w:rFonts w:ascii="微软雅黑" w:hAnsi="微软雅黑" w:eastAsia="微软雅黑"/>
          <w:b/>
          <w:color w:val="2F5597"/>
          <w:sz w:val="25"/>
        </w:rPr>
        <w:t>刷子监控</w:t>
      </w:r>
    </w:p>
    <w:p w14:paraId="0A32899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用于处理“刷子监控”相关后台业务，具体说明可在后续补充截图时继续细化。</w:t>
      </w:r>
    </w:p>
    <w:p w14:paraId="392C16BA">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05416159">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9A82894">
      <w:pPr>
        <w:pStyle w:val="5"/>
        <w:keepNext/>
        <w:spacing w:before="180" w:after="100" w:line="259" w:lineRule="auto"/>
      </w:pPr>
      <w:r>
        <w:rPr>
          <w:rFonts w:ascii="微软雅黑" w:hAnsi="微软雅黑" w:eastAsia="微软雅黑"/>
          <w:b/>
          <w:color w:val="2F5597"/>
          <w:sz w:val="25"/>
        </w:rPr>
        <w:t>游戏获利监控</w:t>
      </w:r>
    </w:p>
    <w:p w14:paraId="5A7757C9">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用于处理“游戏获利监控”相关后台业务，具体说明可在后续补充截图时继续细化。</w:t>
      </w:r>
    </w:p>
    <w:p w14:paraId="1FBD2CF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C100D4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14:paraId="3CE12F7B">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用于处理“商户信息”相关后台业务，具体说明可在后续补充截图时继续细化。</w:t>
      </w:r>
    </w:p>
    <w:p w14:paraId="4002BBD3">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F34242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C613849">
      <w:pPr>
        <w:pStyle w:val="5"/>
        <w:keepNext/>
        <w:spacing w:before="180" w:after="100" w:line="259" w:lineRule="auto"/>
      </w:pPr>
      <w:r>
        <w:rPr>
          <w:rFonts w:ascii="微软雅黑" w:hAnsi="微软雅黑" w:eastAsia="微软雅黑"/>
          <w:b/>
          <w:color w:val="2F5597"/>
          <w:sz w:val="25"/>
        </w:rPr>
        <w:t>商户充值</w:t>
      </w:r>
    </w:p>
    <w:p w14:paraId="6ED90DD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用于处理“商户充值”相关后台业务，具体说明可在后续补充截图时继续细化。</w:t>
      </w:r>
    </w:p>
    <w:p w14:paraId="129FF114">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8CDA1F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0EFC806">
      <w:pPr>
        <w:pStyle w:val="5"/>
        <w:keepNext/>
        <w:spacing w:before="180" w:after="100" w:line="259" w:lineRule="auto"/>
      </w:pPr>
      <w:r>
        <w:rPr>
          <w:rFonts w:ascii="微软雅黑" w:hAnsi="微软雅黑" w:eastAsia="微软雅黑"/>
          <w:b/>
          <w:color w:val="2F5597"/>
          <w:sz w:val="25"/>
        </w:rPr>
        <w:t>充值记录</w:t>
      </w:r>
    </w:p>
    <w:p w14:paraId="12B2252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用于处理“充值记录”相关后台业务，具体说明可在后续补充截图时继续细化。</w:t>
      </w:r>
    </w:p>
    <w:p w14:paraId="1BF8571C">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3BAAB3EF">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7DD52377">
      <w:pPr>
        <w:pStyle w:val="5"/>
        <w:keepNext/>
        <w:spacing w:before="180" w:after="100" w:line="259" w:lineRule="auto"/>
      </w:pPr>
      <w:r>
        <w:rPr>
          <w:rFonts w:ascii="微软雅黑" w:hAnsi="微软雅黑" w:eastAsia="微软雅黑"/>
          <w:b/>
          <w:color w:val="2F5597"/>
          <w:sz w:val="25"/>
        </w:rPr>
        <w:t>商户账变记录</w:t>
      </w:r>
    </w:p>
    <w:p w14:paraId="2DD24E4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用于处理“商户账变记录”相关后台业务，具体说明可在后续补充截图时继续细化。</w:t>
      </w:r>
    </w:p>
    <w:p w14:paraId="0B321B12">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6D2E405">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F816A64">
      <w:pPr>
        <w:pStyle w:val="5"/>
        <w:keepNext/>
        <w:spacing w:before="180" w:after="100" w:line="259" w:lineRule="auto"/>
      </w:pPr>
      <w:r>
        <w:rPr>
          <w:rFonts w:ascii="微软雅黑" w:hAnsi="微软雅黑" w:eastAsia="微软雅黑"/>
          <w:b/>
          <w:color w:val="2F5597"/>
          <w:sz w:val="25"/>
        </w:rPr>
        <w:t>商户账单</w:t>
      </w:r>
    </w:p>
    <w:p w14:paraId="6F551BCF">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用于处理“商户账单”相关后台业务，具体说明可在后续补充截图时继续细化。</w:t>
      </w:r>
    </w:p>
    <w:p w14:paraId="20CD7CC9">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25F61E80">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4ED2D2BA">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用于处理“埋点统计”相关后台业务，具体说明可在后续补充截图时继续细化。</w:t>
      </w:r>
    </w:p>
    <w:p w14:paraId="6171D0A8">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FA6B70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62A7254E">
      <w:pPr>
        <w:pStyle w:val="5"/>
        <w:keepNext/>
        <w:spacing w:before="180" w:after="100" w:line="259" w:lineRule="auto"/>
      </w:pPr>
      <w:r>
        <w:rPr>
          <w:rFonts w:ascii="微软雅黑" w:hAnsi="微软雅黑" w:eastAsia="微软雅黑"/>
          <w:b/>
          <w:color w:val="2F5597"/>
          <w:sz w:val="25"/>
        </w:rPr>
        <w:t>会话列表</w:t>
      </w:r>
    </w:p>
    <w:p w14:paraId="274DE276">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用于处理“会话列表”相关后台业务，具体说明可在后续补充截图时继续细化。</w:t>
      </w:r>
    </w:p>
    <w:p w14:paraId="104803E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79297A7">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0691814E">
      <w:pPr>
        <w:pStyle w:val="5"/>
        <w:keepNext/>
        <w:spacing w:before="180" w:after="100" w:line="259" w:lineRule="auto"/>
      </w:pPr>
      <w:r>
        <w:rPr>
          <w:rFonts w:ascii="微软雅黑" w:hAnsi="微软雅黑" w:eastAsia="微软雅黑"/>
          <w:b/>
          <w:color w:val="2F5597"/>
          <w:sz w:val="25"/>
        </w:rPr>
        <w:t>事件流水</w:t>
      </w:r>
    </w:p>
    <w:p w14:paraId="6DF9B165">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用于处理“事件流水”相关后台业务，具体说明可在后续补充截图时继续细化。</w:t>
      </w:r>
    </w:p>
    <w:p w14:paraId="63543BC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5E3A06D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3E752984">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用于处理“账号管理”相关后台业务，具体说明可在后续补充截图时继续细化。</w:t>
      </w:r>
    </w:p>
    <w:p w14:paraId="757E6AED">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49F397F2">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4905F31E">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用于处理“管理员登录日志”相关后台业务，具体说明可在后续补充截图时继续细化。</w:t>
      </w:r>
    </w:p>
    <w:p w14:paraId="6807C3E5">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2C7ABA1">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608BA6D">
      <w:pPr>
        <w:pStyle w:val="5"/>
        <w:keepNext/>
        <w:spacing w:before="180" w:after="100" w:line="259" w:lineRule="auto"/>
      </w:pPr>
      <w:r>
        <w:rPr>
          <w:rFonts w:ascii="微软雅黑" w:hAnsi="微软雅黑" w:eastAsia="微软雅黑"/>
          <w:b/>
          <w:color w:val="2F5597"/>
          <w:sz w:val="25"/>
        </w:rPr>
        <w:t>管理员操作日志</w:t>
      </w:r>
    </w:p>
    <w:p w14:paraId="7B2F9F17">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用于处理“管理员操作日志”相关后台业务，具体说明可在后续补充截图时继续细化。</w:t>
      </w:r>
    </w:p>
    <w:p w14:paraId="75CD293F">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1512610B">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2F0E95FE">
      <w:pPr>
        <w:pStyle w:val="5"/>
        <w:keepNext/>
        <w:spacing w:before="180" w:after="100" w:line="259" w:lineRule="auto"/>
      </w:pPr>
      <w:r>
        <w:rPr>
          <w:rFonts w:ascii="微软雅黑" w:hAnsi="微软雅黑" w:eastAsia="微软雅黑"/>
          <w:b/>
          <w:color w:val="2F5597"/>
          <w:sz w:val="25"/>
        </w:rPr>
        <w:t>系统异常日志</w:t>
      </w:r>
    </w:p>
    <w:p w14:paraId="5D1D8FA2">
      <w:pPr>
        <w:pStyle w:val="16"/>
        <w:spacing w:after="40" w:line="276" w:lineRule="auto"/>
      </w:pPr>
      <w:r>
        <w:rPr>
          <w:rFonts w:ascii="微软雅黑" w:hAnsi="微软雅黑" w:eastAsia="微软雅黑"/>
          <w:b/>
          <w:color w:val="254061"/>
          <w:sz w:val="20"/>
        </w:rPr>
        <w:t>页面介绍：</w:t>
      </w:r>
      <w:r>
        <w:rPr>
          <w:rFonts w:ascii="微软雅黑" w:hAnsi="微软雅黑" w:eastAsia="微软雅黑"/>
          <w:b w:val="0"/>
          <w:sz w:val="20"/>
        </w:rPr>
        <w:t>用于处理“系统异常日志”相关后台业务，具体说明可在后续补充截图时继续细化。</w:t>
      </w:r>
    </w:p>
    <w:p w14:paraId="42FF2620">
      <w:pPr>
        <w:pStyle w:val="16"/>
        <w:spacing w:after="40" w:line="276" w:lineRule="auto"/>
      </w:pPr>
      <w:r>
        <w:rPr>
          <w:rFonts w:ascii="微软雅黑" w:hAnsi="微软雅黑" w:eastAsia="微软雅黑"/>
          <w:b/>
          <w:color w:val="254061"/>
          <w:sz w:val="20"/>
        </w:rPr>
        <w:t>常用操作：</w:t>
      </w:r>
      <w:r>
        <w:rPr>
          <w:rFonts w:ascii="微软雅黑" w:hAnsi="微软雅黑" w:eastAsia="微软雅黑"/>
          <w:b w:val="0"/>
          <w:sz w:val="20"/>
        </w:rPr>
        <w:t>进入页面后先通过筛选条件定位数据或配置项，再执行页面支持的新增、编辑、启用、停用、审核、导出或查看详情等操作。</w:t>
      </w:r>
    </w:p>
    <w:p w14:paraId="672CCEED">
      <w:pPr>
        <w:pStyle w:val="16"/>
        <w:spacing w:after="40" w:line="276" w:lineRule="auto"/>
      </w:pPr>
      <w:r>
        <w:rPr>
          <w:rFonts w:ascii="微软雅黑" w:hAnsi="微软雅黑" w:eastAsia="微软雅黑"/>
          <w:b/>
          <w:color w:val="254061"/>
          <w:sz w:val="20"/>
        </w:rPr>
        <w:t>后续补充：</w:t>
      </w:r>
      <w:r>
        <w:rPr>
          <w:rFonts w:ascii="微软雅黑" w:hAnsi="微软雅黑" w:eastAsia="微软雅黑"/>
          <w:b w:val="0"/>
          <w:sz w:val="20"/>
        </w:rPr>
        <w:t>按页面截图补齐关键字段、按钮说明、弹窗流程、保存校验和常见问题。</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E20265C"/>
    <w:rsid w:val="259865AB"/>
    <w:rsid w:val="38A20FFB"/>
    <w:rsid w:val="3AEF22C6"/>
    <w:rsid w:val="4F407994"/>
    <w:rsid w:val="578C750D"/>
    <w:rsid w:val="61DB474F"/>
    <w:rsid w:val="6E5F3FAE"/>
    <w:rsid w:val="79F022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19767</Words>
  <Characters>20500</Characters>
  <Lines>0</Lines>
  <Paragraphs>0</Paragraphs>
  <TotalTime>11</TotalTime>
  <ScaleCrop>false</ScaleCrop>
  <LinksUpToDate>false</LinksUpToDate>
  <CharactersWithSpaces>20676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2026-06-08T05:08:51Z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