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bookmarkStart w:id="0" w:name="_GoBack"/>
      <w:bookmarkEnd w:id="0"/>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5D2EA2F7">
      <w:pPr>
        <w:pStyle w:val="6"/>
      </w:pPr>
      <w:r>
        <w:rPr>
          <w:rFonts w:ascii="微软雅黑" w:hAnsi="微软雅黑" w:eastAsia="微软雅黑"/>
          <w:b/>
          <w:color w:val="1F4E79"/>
          <w:sz w:val="21"/>
        </w:rPr>
        <w:t>页面说明</w:t>
      </w:r>
    </w:p>
    <w:p w14:paraId="461A4F7F">
      <w:pPr>
        <w:jc w:val="center"/>
      </w:pPr>
      <w:r>
        <w:drawing>
          <wp:inline distT="0" distB="0" distL="114300" distR="114300">
            <wp:extent cx="5943600" cy="22288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943600" cy="2228850"/>
                    </a:xfrm>
                    <a:prstGeom prst="rect">
                      <a:avLst/>
                    </a:prstGeom>
                  </pic:spPr>
                </pic:pic>
              </a:graphicData>
            </a:graphic>
          </wp:inline>
        </w:drawing>
      </w:r>
    </w:p>
    <w:p w14:paraId="36654038">
      <w:pPr>
        <w:pStyle w:val="15"/>
        <w:jc w:val="center"/>
      </w:pPr>
      <w:r>
        <w:rPr>
          <w:rFonts w:ascii="微软雅黑" w:hAnsi="微软雅黑" w:eastAsia="微软雅黑"/>
          <w:color w:val="7F7F7F"/>
          <w:sz w:val="18"/>
        </w:rPr>
        <w:t>图：平台公告列表，用于查看平台、商户相关通知和站内消息。</w:t>
      </w:r>
    </w:p>
    <w:p w14:paraId="5CD440FB">
      <w:pPr>
        <w:pStyle w:val="16"/>
      </w:pPr>
      <w:r>
        <w:rPr>
          <w:rFonts w:ascii="微软雅黑" w:hAnsi="微软雅黑" w:eastAsia="微软雅黑"/>
          <w:sz w:val="20"/>
        </w:rPr>
        <w:t>平台公告用于查看平台、系统和商户相关消息。商户可从顶部导航栏右侧的消息入口进入该页面，进入后按类型、标题和阅读状态筛选消息，并通过“查看”打开消息详情。</w:t>
      </w:r>
    </w:p>
    <w:p w14:paraId="45A59469">
      <w:pPr>
        <w:pStyle w:val="16"/>
      </w:pPr>
      <w:r>
        <w:rPr>
          <w:rFonts w:ascii="微软雅黑" w:hAnsi="微软雅黑" w:eastAsia="微软雅黑"/>
          <w:sz w:val="20"/>
        </w:rPr>
        <w:t>页面消息类型包含平台公告、通知、风控预警、站内信和短信。列表同时展示消息标题、发送时间、阅读状态和操作入口，便于商户快速处理重要公告、维护通知、资金预警和运营提醒。</w:t>
      </w:r>
    </w:p>
    <w:p w14:paraId="79D9727D">
      <w:pPr>
        <w:pStyle w:val="6"/>
      </w:pPr>
      <w:r>
        <w:rPr>
          <w:rFonts w:ascii="微软雅黑" w:hAnsi="微软雅黑" w:eastAsia="微软雅黑"/>
          <w:b/>
          <w:color w:val="1F4E79"/>
          <w:sz w:val="21"/>
        </w:rPr>
        <w:t>筛选条件</w:t>
      </w:r>
    </w:p>
    <w:p w14:paraId="661E25AA">
      <w:pPr>
        <w:pStyle w:val="16"/>
      </w:pPr>
      <w:r>
        <w:rPr>
          <w:rFonts w:ascii="微软雅黑" w:hAnsi="微软雅黑" w:eastAsia="微软雅黑"/>
          <w:b/>
          <w:color w:val="1F4E79"/>
          <w:sz w:val="20"/>
        </w:rPr>
        <w:t>类型：</w:t>
      </w:r>
      <w:r>
        <w:rPr>
          <w:rFonts w:ascii="微软雅黑" w:hAnsi="微软雅黑" w:eastAsia="微软雅黑"/>
          <w:sz w:val="20"/>
        </w:rPr>
        <w:t>用于按消息来源或业务类型筛选。可选择全部类型、平台公告、通知、短信、风控预警或站内信。排查某类消息时先选择类型，再结合状态缩小范围。</w:t>
      </w:r>
    </w:p>
    <w:p w14:paraId="3C004B27">
      <w:pPr>
        <w:pStyle w:val="16"/>
      </w:pPr>
      <w:r>
        <w:rPr>
          <w:rFonts w:ascii="微软雅黑" w:hAnsi="微软雅黑" w:eastAsia="微软雅黑"/>
          <w:b/>
          <w:color w:val="1F4E79"/>
          <w:sz w:val="20"/>
        </w:rPr>
        <w:t>标题：</w:t>
      </w:r>
      <w:r>
        <w:rPr>
          <w:rFonts w:ascii="微软雅黑" w:hAnsi="微软雅黑" w:eastAsia="微软雅黑"/>
          <w:sz w:val="20"/>
        </w:rPr>
        <w:t>支持输入标题关键字查询，例如结算规则、钱包服务、余额不足、短信签名等。输入后点击“搜索”，也可按回车触发查询。</w:t>
      </w:r>
    </w:p>
    <w:p w14:paraId="15882F16">
      <w:pPr>
        <w:pStyle w:val="16"/>
      </w:pPr>
      <w:r>
        <w:rPr>
          <w:rFonts w:ascii="微软雅黑" w:hAnsi="微软雅黑" w:eastAsia="微软雅黑"/>
          <w:b/>
          <w:color w:val="1F4E79"/>
          <w:sz w:val="20"/>
        </w:rPr>
        <w:t>状态：</w:t>
      </w:r>
      <w:r>
        <w:rPr>
          <w:rFonts w:ascii="微软雅黑" w:hAnsi="微软雅黑" w:eastAsia="微软雅黑"/>
          <w:sz w:val="20"/>
        </w:rPr>
        <w:t>用于按未读或已读筛选。处理待办消息时建议选择“未读”，核对历史公告时可切换为“已读”或全部状态。</w:t>
      </w:r>
    </w:p>
    <w:p w14:paraId="6B94CBDB">
      <w:pPr>
        <w:pStyle w:val="16"/>
      </w:pPr>
      <w:r>
        <w:rPr>
          <w:rFonts w:ascii="微软雅黑" w:hAnsi="微软雅黑" w:eastAsia="微软雅黑"/>
          <w:b/>
          <w:color w:val="1F4E79"/>
          <w:sz w:val="20"/>
        </w:rPr>
        <w:t>搜索：</w:t>
      </w:r>
      <w:r>
        <w:rPr>
          <w:rFonts w:ascii="微软雅黑" w:hAnsi="微软雅黑" w:eastAsia="微软雅黑"/>
          <w:sz w:val="20"/>
        </w:rPr>
        <w:t>按当前筛选条件刷新列表。筛选无结果时，先检查标题关键字是否过窄，再重置条件重新查询。</w:t>
      </w:r>
    </w:p>
    <w:p w14:paraId="7D094E76">
      <w:pPr>
        <w:pStyle w:val="16"/>
      </w:pPr>
      <w:r>
        <w:rPr>
          <w:rFonts w:ascii="微软雅黑" w:hAnsi="微软雅黑" w:eastAsia="微软雅黑"/>
          <w:b/>
          <w:color w:val="1F4E79"/>
          <w:sz w:val="20"/>
        </w:rPr>
        <w:t>重置：</w:t>
      </w:r>
      <w:r>
        <w:rPr>
          <w:rFonts w:ascii="微软雅黑" w:hAnsi="微软雅黑" w:eastAsia="微软雅黑"/>
          <w:sz w:val="20"/>
        </w:rPr>
        <w:t>清空类型、标题和状态筛选，恢复展示全部消息列表。</w:t>
      </w:r>
    </w:p>
    <w:p w14:paraId="1E537CB9">
      <w:pPr>
        <w:pStyle w:val="16"/>
      </w:pPr>
      <w:r>
        <w:rPr>
          <w:rFonts w:ascii="微软雅黑" w:hAnsi="微软雅黑" w:eastAsia="微软雅黑"/>
          <w:b/>
          <w:color w:val="1F4E79"/>
          <w:sz w:val="20"/>
        </w:rPr>
        <w:t>全部已读：</w:t>
      </w:r>
      <w:r>
        <w:rPr>
          <w:rFonts w:ascii="微软雅黑" w:hAnsi="微软雅黑" w:eastAsia="微软雅黑"/>
          <w:sz w:val="20"/>
        </w:rPr>
        <w:t>将当前消息标记为已读。点击前应确认未读公告已经查看，避免遗漏维护通知、资金预警或审核结果等重要内容。</w:t>
      </w:r>
    </w:p>
    <w:p w14:paraId="6974991D">
      <w:pPr>
        <w:pStyle w:val="6"/>
      </w:pPr>
      <w:r>
        <w:rPr>
          <w:rFonts w:ascii="微软雅黑" w:hAnsi="微软雅黑" w:eastAsia="微软雅黑"/>
          <w:b/>
          <w:color w:val="1F4E79"/>
          <w:sz w:val="21"/>
        </w:rPr>
        <w:t>列表字段</w:t>
      </w:r>
    </w:p>
    <w:p w14:paraId="3BFEBF6D">
      <w:pPr>
        <w:pStyle w:val="16"/>
      </w:pPr>
      <w:r>
        <w:rPr>
          <w:rFonts w:ascii="微软雅黑" w:hAnsi="微软雅黑" w:eastAsia="微软雅黑"/>
          <w:b/>
          <w:color w:val="1F4E79"/>
          <w:sz w:val="20"/>
        </w:rPr>
        <w:t>类型：</w:t>
      </w:r>
      <w:r>
        <w:rPr>
          <w:rFonts w:ascii="微软雅黑" w:hAnsi="微软雅黑" w:eastAsia="微软雅黑"/>
          <w:sz w:val="20"/>
        </w:rPr>
        <w:t>显示消息分类，例如平台公告、通知、风控预警、站内信、短信。类型可帮助商户判断消息优先级和处理责任。</w:t>
      </w:r>
    </w:p>
    <w:p w14:paraId="1CC1BEA0">
      <w:pPr>
        <w:pStyle w:val="16"/>
      </w:pPr>
      <w:r>
        <w:rPr>
          <w:rFonts w:ascii="微软雅黑" w:hAnsi="微软雅黑" w:eastAsia="微软雅黑"/>
          <w:b/>
          <w:color w:val="1F4E79"/>
          <w:sz w:val="20"/>
        </w:rPr>
        <w:t>标题：</w:t>
      </w:r>
      <w:r>
        <w:rPr>
          <w:rFonts w:ascii="微软雅黑" w:hAnsi="微软雅黑" w:eastAsia="微软雅黑"/>
          <w:sz w:val="20"/>
        </w:rPr>
        <w:t>显示消息主题。未读消息在列表中以更醒目的文字展示，建议优先处理与结算、钱包维护、风控预警和审核结果相关的标题。</w:t>
      </w:r>
    </w:p>
    <w:p w14:paraId="6D388ED0">
      <w:pPr>
        <w:pStyle w:val="16"/>
      </w:pPr>
      <w:r>
        <w:rPr>
          <w:rFonts w:ascii="微软雅黑" w:hAnsi="微软雅黑" w:eastAsia="微软雅黑"/>
          <w:b/>
          <w:color w:val="1F4E79"/>
          <w:sz w:val="20"/>
        </w:rPr>
        <w:t>时间：</w:t>
      </w:r>
      <w:r>
        <w:rPr>
          <w:rFonts w:ascii="微软雅黑" w:hAnsi="微软雅黑" w:eastAsia="微软雅黑"/>
          <w:sz w:val="20"/>
        </w:rPr>
        <w:t>显示消息发送时间，用于判断公告生效日期、维护窗口和消息处理时效。</w:t>
      </w:r>
    </w:p>
    <w:p w14:paraId="68C049CE">
      <w:pPr>
        <w:pStyle w:val="16"/>
      </w:pPr>
      <w:r>
        <w:rPr>
          <w:rFonts w:ascii="微软雅黑" w:hAnsi="微软雅黑" w:eastAsia="微软雅黑"/>
          <w:b/>
          <w:color w:val="1F4E79"/>
          <w:sz w:val="20"/>
        </w:rPr>
        <w:t>状态：</w:t>
      </w:r>
      <w:r>
        <w:rPr>
          <w:rFonts w:ascii="微软雅黑" w:hAnsi="微软雅黑" w:eastAsia="微软雅黑"/>
          <w:sz w:val="20"/>
        </w:rPr>
        <w:t>显示未读或已读。查看消息详情后，未读消息会转为已读；也可通过“全部已读”批量处理。</w:t>
      </w:r>
    </w:p>
    <w:p w14:paraId="62E64989">
      <w:pPr>
        <w:pStyle w:val="16"/>
      </w:pPr>
      <w:r>
        <w:rPr>
          <w:rFonts w:ascii="微软雅黑" w:hAnsi="微软雅黑" w:eastAsia="微软雅黑"/>
          <w:b/>
          <w:color w:val="1F4E79"/>
          <w:sz w:val="20"/>
        </w:rPr>
        <w:t>操作：</w:t>
      </w:r>
      <w:r>
        <w:rPr>
          <w:rFonts w:ascii="微软雅黑" w:hAnsi="微软雅黑" w:eastAsia="微软雅黑"/>
          <w:sz w:val="20"/>
        </w:rPr>
        <w:t>点击“查看”打开消息详情，查看标题、类型和完整内容。查看后返回列表时，应根据消息内容继续到对应业务页面处理，例如结算中心、充值提现、权限管理或消息配置等。</w:t>
      </w:r>
    </w:p>
    <w:p w14:paraId="2E5CF082">
      <w:pPr>
        <w:pStyle w:val="6"/>
      </w:pPr>
      <w:r>
        <w:rPr>
          <w:rFonts w:ascii="微软雅黑" w:hAnsi="微软雅黑" w:eastAsia="微软雅黑"/>
          <w:b/>
          <w:color w:val="1F4E79"/>
          <w:sz w:val="21"/>
        </w:rPr>
        <w:t>查看详情</w:t>
      </w:r>
    </w:p>
    <w:p w14:paraId="62DAC4A8">
      <w:pPr>
        <w:pStyle w:val="16"/>
      </w:pPr>
      <w:r>
        <w:rPr>
          <w:rFonts w:ascii="微软雅黑" w:hAnsi="微软雅黑" w:eastAsia="微软雅黑"/>
          <w:b/>
          <w:color w:val="1F4E79"/>
          <w:sz w:val="20"/>
        </w:rPr>
        <w:t>查看单条消息：</w:t>
      </w:r>
      <w:r>
        <w:rPr>
          <w:rFonts w:ascii="微软雅黑" w:hAnsi="微软雅黑" w:eastAsia="微软雅黑"/>
          <w:sz w:val="20"/>
        </w:rPr>
        <w:t>在目标消息行点击“查看”，系统打开公告详情弹窗，弹窗中展示消息标题、类型和正文内容。</w:t>
      </w:r>
    </w:p>
    <w:p w14:paraId="76733493">
      <w:pPr>
        <w:pStyle w:val="16"/>
      </w:pPr>
      <w:r>
        <w:rPr>
          <w:rFonts w:ascii="微软雅黑" w:hAnsi="微软雅黑" w:eastAsia="微软雅黑"/>
          <w:b/>
          <w:color w:val="1F4E79"/>
          <w:sz w:val="20"/>
        </w:rPr>
        <w:t>阅读状态变化：</w:t>
      </w:r>
      <w:r>
        <w:rPr>
          <w:rFonts w:ascii="微软雅黑" w:hAnsi="微软雅黑" w:eastAsia="微软雅黑"/>
          <w:sz w:val="20"/>
        </w:rPr>
        <w:t>未读消息打开详情后会自动标记为已读。若列表当前筛选为未读，查看后该消息可能从当前筛选结果中消失，这是正常的状态刷新结果。</w:t>
      </w:r>
    </w:p>
    <w:p w14:paraId="2A2410C2">
      <w:pPr>
        <w:pStyle w:val="16"/>
      </w:pPr>
      <w:r>
        <w:rPr>
          <w:rFonts w:ascii="微软雅黑" w:hAnsi="微软雅黑" w:eastAsia="微软雅黑"/>
          <w:b/>
          <w:color w:val="1F4E79"/>
          <w:sz w:val="20"/>
        </w:rPr>
        <w:t>关闭详情：</w:t>
      </w:r>
      <w:r>
        <w:rPr>
          <w:rFonts w:ascii="微软雅黑" w:hAnsi="微软雅黑" w:eastAsia="微软雅黑"/>
          <w:sz w:val="20"/>
        </w:rPr>
        <w:t>阅读完成后点击弹窗右上角关闭按钮或遮罩区域返回列表。若消息涉及维护时间、资金预警、短信签名审核或后台版本发布，应在关闭前确认后续处理动作。</w:t>
      </w:r>
    </w:p>
    <w:p w14:paraId="71A77106">
      <w:pPr>
        <w:pStyle w:val="6"/>
      </w:pPr>
      <w:r>
        <w:rPr>
          <w:rFonts w:ascii="微软雅黑" w:hAnsi="微软雅黑" w:eastAsia="微软雅黑"/>
          <w:b/>
          <w:color w:val="1F4E79"/>
          <w:sz w:val="21"/>
        </w:rPr>
        <w:t>注意事项</w:t>
      </w:r>
    </w:p>
    <w:p w14:paraId="608D5365">
      <w:pPr>
        <w:pStyle w:val="16"/>
      </w:pPr>
      <w:r>
        <w:rPr>
          <w:rFonts w:ascii="微软雅黑" w:hAnsi="微软雅黑" w:eastAsia="微软雅黑"/>
          <w:sz w:val="20"/>
        </w:rPr>
        <w:t>平台公告页是商户接收平台和系统消息的重要入口，尤其是钱包维护、结算规则调整、余额不足预警、权限菜单调整和短信审核结果，建议运营或管理员每日查看未读消息。</w:t>
      </w:r>
    </w:p>
    <w:p w14:paraId="3469B5BE">
      <w:pPr>
        <w:pStyle w:val="16"/>
      </w:pPr>
      <w:r>
        <w:rPr>
          <w:rFonts w:ascii="微软雅黑" w:hAnsi="微软雅黑" w:eastAsia="微软雅黑"/>
          <w:sz w:val="20"/>
        </w:rPr>
        <w:t>“全部已读”只改变阅读状态，不代表业务已处理。批量标记前应先筛选重要类型并逐条查看，避免把需要执行的任务误认为已完成。</w:t>
      </w:r>
    </w:p>
    <w:p w14:paraId="05D389A3">
      <w:pPr>
        <w:pStyle w:val="16"/>
      </w:pPr>
      <w:r>
        <w:rPr>
          <w:rFonts w:ascii="微软雅黑" w:hAnsi="微软雅黑" w:eastAsia="微软雅黑"/>
          <w:sz w:val="20"/>
        </w:rPr>
        <w:t>若顶部导航栏右侧有未读消息提示，但进入页面后看不到记录，优先点击“重置”，再检查类型、标题和状态筛选是否限制了列表。</w:t>
      </w:r>
    </w:p>
    <w:p w14:paraId="7EED15AB">
      <w:pPr>
        <w:pStyle w:val="16"/>
      </w:pPr>
      <w:r>
        <w:rPr>
          <w:rFonts w:ascii="微软雅黑" w:hAnsi="微软雅黑" w:eastAsia="微软雅黑"/>
          <w:sz w:val="20"/>
        </w:rPr>
        <w:t>如果公告内容要求进入其他模块处理，应按公告中的业务方向跳转到对应页面操作，并在处理完成后回到平台公告页确认相关消息状态。</w:t>
      </w:r>
    </w:p>
    <w:p w14:paraId="611C311E">
      <w:pPr>
        <w:pStyle w:val="6"/>
      </w:pPr>
      <w:r>
        <w:rPr>
          <w:rFonts w:ascii="微软雅黑" w:hAnsi="微软雅黑" w:eastAsia="微软雅黑"/>
          <w:b/>
          <w:color w:val="1F4E79"/>
          <w:sz w:val="21"/>
        </w:rPr>
        <w:t>常见问题</w:t>
      </w:r>
    </w:p>
    <w:p w14:paraId="3D7C2DE8">
      <w:pPr>
        <w:pStyle w:val="16"/>
      </w:pPr>
      <w:r>
        <w:rPr>
          <w:rFonts w:ascii="微软雅黑" w:hAnsi="微软雅黑" w:eastAsia="微软雅黑"/>
          <w:b/>
          <w:color w:val="1F4E79"/>
          <w:sz w:val="20"/>
        </w:rPr>
        <w:t>为什么点击“查看”后未读数量减少：</w:t>
      </w:r>
      <w:r>
        <w:rPr>
          <w:rFonts w:ascii="微软雅黑" w:hAnsi="微软雅黑" w:eastAsia="微软雅黑"/>
          <w:sz w:val="20"/>
        </w:rPr>
        <w:t>打开详情会将该条消息标记为已读，未读数量随之减少；如果当前筛选条件为未读，列表也会同步移除该条消息。</w:t>
      </w:r>
    </w:p>
    <w:p w14:paraId="13FAF15B">
      <w:pPr>
        <w:pStyle w:val="16"/>
      </w:pPr>
      <w:r>
        <w:rPr>
          <w:rFonts w:ascii="微软雅黑" w:hAnsi="微软雅黑" w:eastAsia="微软雅黑"/>
          <w:b/>
          <w:color w:val="1F4E79"/>
          <w:sz w:val="20"/>
        </w:rPr>
        <w:t>为什么搜索不到某条公告：</w:t>
      </w:r>
      <w:r>
        <w:rPr>
          <w:rFonts w:ascii="微软雅黑" w:hAnsi="微软雅黑" w:eastAsia="微软雅黑"/>
          <w:sz w:val="20"/>
        </w:rPr>
        <w:t>先点击“重置”恢复全部列表，再只输入标题中的短关键字查询；如果仍无结果，确认消息类型和状态是否选错。</w:t>
      </w:r>
    </w:p>
    <w:p w14:paraId="792202EA">
      <w:pPr>
        <w:pStyle w:val="16"/>
      </w:pPr>
      <w:r>
        <w:rPr>
          <w:rFonts w:ascii="微软雅黑" w:hAnsi="微软雅黑" w:eastAsia="微软雅黑"/>
          <w:b/>
          <w:color w:val="1F4E79"/>
          <w:sz w:val="20"/>
        </w:rPr>
        <w:t>收到风控预警后怎么处理：</w:t>
      </w:r>
      <w:r>
        <w:rPr>
          <w:rFonts w:ascii="微软雅黑" w:hAnsi="微软雅黑" w:eastAsia="微软雅黑"/>
          <w:sz w:val="20"/>
        </w:rPr>
        <w:t>先查看详情确认预警原因，例如商户余额不足，再进入相关资金、提现或风控页面处理，处理完成后持续关注后续公告或站内信。</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14:paraId="78D074B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用于处理“客服中心”相关后台业务，具体说明可在后续补充截图时继续细化。</w:t>
      </w:r>
    </w:p>
    <w:p w14:paraId="1388BF3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42038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14947</Words>
  <Characters>15750</Characters>
  <Lines>0</Lines>
  <Paragraphs>0</Paragraphs>
  <TotalTime>11</TotalTime>
  <ScaleCrop>false</ScaleCrop>
  <LinksUpToDate>false</LinksUpToDate>
  <CharactersWithSpaces>15937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2026-06-08T06:37:18Z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