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pPr>
      <w:r>
        <w:rPr>
          <w:rFonts w:ascii="微软雅黑" w:hAnsi="微软雅黑" w:eastAsia="微软雅黑"/>
          <w:b/>
          <w:color w:val="254061"/>
          <w:sz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rPr>
          <w:rFonts w:ascii="微软雅黑" w:hAnsi="微软雅黑" w:eastAsia="微软雅黑"/>
          <w:b w:val="0"/>
          <w:sz w:val="20"/>
        </w:rPr>
        <w:t>组件说明按模板管理中常见组件逐项整理。后续补充截图时，可在对应组件下继续追加字段截图、弹窗说明或配置示例。</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5715000" cy="1696085"/>
            <wp:effectExtent l="0" t="0" r="0" b="184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15000" cy="1696641"/>
                    </a:xfrm>
                    <a:prstGeom prst="rect">
                      <a:avLst/>
                    </a:prstGeom>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5715000" cy="23215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715000" cy="2321719"/>
                    </a:xfrm>
                    <a:prstGeom prst="rect">
                      <a:avLst/>
                    </a:prstGeom>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18A3F270">
      <w:pPr>
        <w:pStyle w:val="16"/>
        <w:spacing w:after="40" w:line="276" w:lineRule="auto"/>
      </w:pPr>
      <w:r>
        <w:rPr>
          <w:rFonts w:ascii="微软雅黑" w:hAnsi="微软雅黑" w:eastAsia="微软雅黑"/>
          <w:b/>
          <w:color w:val="254061"/>
          <w:sz w:val="20"/>
        </w:rPr>
        <w:t>新增：</w:t>
      </w:r>
      <w:r>
        <w:rPr>
          <w:rFonts w:ascii="微软雅黑" w:hAnsi="微软雅黑" w:eastAsia="微软雅黑"/>
          <w:b w:val="0"/>
          <w:sz w:val="20"/>
        </w:rPr>
        <w:t>点击右上角新增创建新的侧滑入口，填写名称、路由、排序并上传图标。</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5715000" cy="23215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715000" cy="2321719"/>
                    </a:xfrm>
                    <a:prstGeom prst="rect">
                      <a:avLst/>
                    </a:prstGeom>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通过新增、编辑、删除维护入口列表；保存前检查路由、图标和排序。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5715000" cy="1875155"/>
            <wp:effectExtent l="0" t="0" r="0"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715000" cy="1875234"/>
                    </a:xfrm>
                    <a:prstGeom prst="rect">
                      <a:avLst/>
                    </a:prstGeom>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2"/>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rPr>
          <w:rFonts w:ascii="微软雅黑" w:hAnsi="微软雅黑" w:eastAsia="微软雅黑"/>
          <w:b w:val="0"/>
          <w:sz w:val="20"/>
        </w:rPr>
        <w:t>站点域名用于维护不同业务入口的域名配置，页面通过顶部页签区分前台域名管理、后台域名管理和推广域名。操作时先根据蓝色选中态识别当前页面，再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选中状态</w:t>
      </w:r>
      <w:r>
        <w:rPr>
          <w:rFonts w:ascii="微软雅黑" w:hAnsi="微软雅黑" w:eastAsia="微软雅黑"/>
          <w:b w:val="0"/>
          <w:sz w:val="20"/>
        </w:rPr>
        <w:t>：顶部“前台域名管理”为蓝色文字并显示下划线时，代表当前列表展示前台域名数据。</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选中状态</w:t>
      </w:r>
      <w:r>
        <w:rPr>
          <w:rFonts w:ascii="微软雅黑" w:hAnsi="微软雅黑" w:eastAsia="微软雅黑"/>
          <w:b w:val="0"/>
          <w:sz w:val="20"/>
        </w:rPr>
        <w:t>：顶部“后台域名管理”为蓝色文字并显示下划线时，代表当前列表展示后台域名数据。</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选中状态</w:t>
      </w:r>
      <w:r>
        <w:rPr>
          <w:rFonts w:ascii="微软雅黑" w:hAnsi="微软雅黑" w:eastAsia="微软雅黑"/>
          <w:b w:val="0"/>
          <w:sz w:val="20"/>
        </w:rPr>
        <w:t>：顶部“推广域名”为蓝色文字并显示下划线时，代表当前列表展示推广域名数据。</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6"/>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5806440" cy="2889885"/>
            <wp:effectExtent l="0" t="0" r="381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7"/>
                    <a:stretch>
                      <a:fillRect/>
                    </a:stretch>
                  </pic:blipFill>
                  <pic:spPr>
                    <a:xfrm>
                      <a:off x="0" y="0"/>
                      <a:ext cx="5806440" cy="2890083"/>
                    </a:xfrm>
                    <a:prstGeom prst="rect">
                      <a:avLst/>
                    </a:prstGeom>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5897880" cy="2672715"/>
            <wp:effectExtent l="0" t="0" r="7620" b="133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8"/>
                    <a:stretch>
                      <a:fillRect/>
                    </a:stretch>
                  </pic:blipFill>
                  <pic:spPr>
                    <a:xfrm>
                      <a:off x="0" y="0"/>
                      <a:ext cx="5897880" cy="2673140"/>
                    </a:xfrm>
                    <a:prstGeom prst="rect">
                      <a:avLst/>
                    </a:prstGeom>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5120640" cy="6169660"/>
            <wp:effectExtent l="0" t="0" r="381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9"/>
                    <a:stretch>
                      <a:fillRect/>
                    </a:stretch>
                  </pic:blipFill>
                  <pic:spPr>
                    <a:xfrm>
                      <a:off x="0" y="0"/>
                      <a:ext cx="5120640" cy="6169891"/>
                    </a:xfrm>
                    <a:prstGeom prst="rect">
                      <a:avLst/>
                    </a:prstGeom>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14:paraId="52B6685E">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用于处理“分享配置”相关后台业务，具体说明可在后续补充截图时继续细化。</w:t>
      </w:r>
    </w:p>
    <w:p w14:paraId="192829C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DAA842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0"/>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14:paraId="5EC66326">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2EB46B84">
      <w:pPr>
        <w:jc w:val="center"/>
      </w:pPr>
      <w:r>
        <w:drawing>
          <wp:inline distT="0" distB="0" distL="114300" distR="114300">
            <wp:extent cx="5806440" cy="1687830"/>
            <wp:effectExtent l="0" t="0" r="381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1"/>
                    <a:stretch>
                      <a:fillRect/>
                    </a:stretch>
                  </pic:blipFill>
                  <pic:spPr>
                    <a:xfrm>
                      <a:off x="0" y="0"/>
                      <a:ext cx="5806440" cy="1688000"/>
                    </a:xfrm>
                    <a:prstGeom prst="rect">
                      <a:avLst/>
                    </a:prstGeom>
                  </pic:spPr>
                </pic:pic>
              </a:graphicData>
            </a:graphic>
          </wp:inline>
        </w:drawing>
      </w:r>
    </w:p>
    <w:p w14:paraId="4A646741">
      <w:pPr>
        <w:jc w:val="center"/>
      </w:pPr>
      <w:r>
        <w:rPr>
          <w:rFonts w:ascii="微软雅黑" w:hAnsi="微软雅黑" w:eastAsia="微软雅黑"/>
          <w:b w:val="0"/>
          <w:color w:val="707E92"/>
          <w:sz w:val="18"/>
        </w:rPr>
        <w:t>图：支付通道配置列表。</w:t>
      </w:r>
    </w:p>
    <w:p w14:paraId="648DF0AE">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02ACE695">
      <w:pPr>
        <w:jc w:val="center"/>
      </w:pPr>
      <w:r>
        <w:drawing>
          <wp:inline distT="0" distB="0" distL="114300" distR="114300">
            <wp:extent cx="5806440" cy="6962140"/>
            <wp:effectExtent l="0" t="0" r="3810" b="1016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2"/>
                    <a:stretch>
                      <a:fillRect/>
                    </a:stretch>
                  </pic:blipFill>
                  <pic:spPr>
                    <a:xfrm>
                      <a:off x="0" y="0"/>
                      <a:ext cx="5806440" cy="6962225"/>
                    </a:xfrm>
                    <a:prstGeom prst="rect">
                      <a:avLst/>
                    </a:prstGeom>
                  </pic:spPr>
                </pic:pic>
              </a:graphicData>
            </a:graphic>
          </wp:inline>
        </w:drawing>
      </w:r>
    </w:p>
    <w:p w14:paraId="234EC68D">
      <w:pPr>
        <w:jc w:val="center"/>
      </w:pPr>
      <w:r>
        <w:rPr>
          <w:rFonts w:ascii="微软雅黑" w:hAnsi="微软雅黑" w:eastAsia="微软雅黑"/>
          <w:b w:val="0"/>
          <w:color w:val="707E92"/>
          <w:sz w:val="18"/>
        </w:rPr>
        <w:t>图：新增在线支付平台参数配置。</w:t>
      </w:r>
    </w:p>
    <w:p w14:paraId="02554A87">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5CBC41E1">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7E420AE6">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79075BAD">
      <w:pPr>
        <w:pStyle w:val="16"/>
      </w:pPr>
      <w:r>
        <w:rPr>
          <w:rFonts w:ascii="微软雅黑" w:hAnsi="微软雅黑" w:eastAsia="微软雅黑"/>
          <w:b/>
          <w:color w:val="2F5597"/>
          <w:sz w:val="20"/>
        </w:rPr>
        <w:t>常用操作：</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7EB4EF9">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pPr>
        <w:pStyle w:val="6"/>
      </w:pPr>
      <w:r>
        <w:rPr>
          <w:rFonts w:ascii="微软雅黑" w:hAnsi="微软雅黑" w:eastAsia="微软雅黑"/>
          <w:b/>
          <w:color w:val="1F4E79"/>
          <w:sz w:val="21"/>
        </w:rPr>
        <w:t>页面说明</w:t>
      </w:r>
    </w:p>
    <w:p>
      <w:pPr>
        <w:jc w:val="center"/>
      </w:pPr>
      <w:r>
        <w:drawing>
          <wp:inline xmlns:a="http://schemas.openxmlformats.org/drawingml/2006/main" xmlns:pic="http://schemas.openxmlformats.org/drawingml/2006/picture">
            <wp:extent cx="5943600" cy="2688771"/>
            <wp:docPr id="31" name="Picture 31"/>
            <wp:cNvGraphicFramePr>
              <a:graphicFrameLocks noChangeAspect="1"/>
            </wp:cNvGraphicFramePr>
            <a:graphic>
              <a:graphicData uri="http://schemas.openxmlformats.org/drawingml/2006/picture">
                <pic:pic>
                  <pic:nvPicPr>
                    <pic:cNvPr id="0" name="ad-tracking-config-list.png"/>
                    <pic:cNvPicPr/>
                  </pic:nvPicPr>
                  <pic:blipFill>
                    <a:blip r:embed="rId38"/>
                    <a:stretch>
                      <a:fillRect/>
                    </a:stretch>
                  </pic:blipFill>
                  <pic:spPr>
                    <a:xfrm>
                      <a:off x="0" y="0"/>
                      <a:ext cx="5943600" cy="2688771"/>
                    </a:xfrm>
                    <a:prstGeom prst="rect"/>
                  </pic:spPr>
                </pic:pic>
              </a:graphicData>
            </a:graphic>
          </wp:inline>
        </w:drawing>
      </w:r>
    </w:p>
    <w:p>
      <w:pPr>
        <w:pStyle w:val="15"/>
        <w:jc w:val="center"/>
      </w:pPr>
      <w:r>
        <w:rPr>
          <w:rFonts w:ascii="微软雅黑" w:hAnsi="微软雅黑" w:eastAsia="微软雅黑"/>
          <w:b w:val="0"/>
          <w:color w:val="7F7F7F"/>
          <w:sz w:val="18"/>
        </w:rPr>
        <w:t>图：广告埋点配置列表，用于维护不同渠道的落地页、跳转地址和事件标识。</w:t>
      </w:r>
    </w:p>
    <w:p>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pPr>
        <w:pStyle w:val="6"/>
      </w:pPr>
      <w:r>
        <w:rPr>
          <w:rFonts w:ascii="微软雅黑" w:hAnsi="微软雅黑" w:eastAsia="微软雅黑"/>
          <w:b/>
          <w:color w:val="1F4E79"/>
          <w:sz w:val="21"/>
        </w:rPr>
        <w:t>筛选与列表字段</w:t>
      </w:r>
    </w:p>
    <w:p>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系统生成的配置唯一标识，通常用于技术排查或接口核对。列表中较长内容会省略显示，核对完整值时可进入修改弹窗或结合后台数据记录确认。</w:t>
      </w:r>
    </w:p>
    <w:p>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Google、Facebook测试、adjust测试等，建议使用便于运营识别的渠道或活动名称。</w:t>
      </w:r>
    </w:p>
    <w:p>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记录配置用途、投放批次、测试说明或特殊约定，便于后续排查和交接。</w:t>
      </w:r>
    </w:p>
    <w:p>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pPr>
        <w:pStyle w:val="6"/>
      </w:pPr>
      <w:r>
        <w:rPr>
          <w:rFonts w:ascii="微软雅黑" w:hAnsi="微软雅黑" w:eastAsia="微软雅黑"/>
          <w:b/>
          <w:color w:val="1F4E79"/>
          <w:sz w:val="21"/>
        </w:rPr>
        <w:t>新增与编辑配置</w:t>
      </w:r>
    </w:p>
    <w:p>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pPr>
        <w:pStyle w:val="6"/>
      </w:pPr>
      <w:r>
        <w:rPr>
          <w:rFonts w:ascii="微软雅黑" w:hAnsi="微软雅黑" w:eastAsia="微软雅黑"/>
          <w:b/>
          <w:color w:val="1F4E79"/>
          <w:sz w:val="21"/>
        </w:rPr>
        <w:t>注意事项</w:t>
      </w:r>
    </w:p>
    <w:p>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pPr>
        <w:pStyle w:val="16"/>
      </w:pPr>
      <w:r>
        <w:rPr>
          <w:rFonts w:ascii="微软雅黑" w:hAnsi="微软雅黑" w:eastAsia="微软雅黑"/>
          <w:b w:val="0"/>
          <w:sz w:val="20"/>
        </w:rPr>
        <w:t>涉及像素ID和事件标识的调整应由运营、投放或技术人员共同复核。修改线上渠道前，建议先复制当前值留档，确认新配置验证通过后再用于正式投放。</w:t>
      </w:r>
    </w:p>
    <w:p>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3"/>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4"/>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bookmarkStart w:id="0" w:name="_GoBack"/>
      <w:bookmarkEnd w:id="0"/>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D4CFE54">
      <w:pPr>
        <w:pStyle w:val="4"/>
        <w:keepNext/>
        <w:spacing w:before="240" w:after="140" w:line="269" w:lineRule="auto"/>
      </w:pPr>
      <w:r>
        <w:rPr>
          <w:rFonts w:ascii="微软雅黑" w:hAnsi="微软雅黑" w:eastAsia="微软雅黑"/>
          <w:b/>
          <w:color w:val="1F4E79"/>
          <w:sz w:val="30"/>
        </w:rPr>
        <w:t>页面说明</w:t>
      </w:r>
    </w:p>
    <w:p w14:paraId="49FAB625">
      <w:pPr>
        <w:pStyle w:val="5"/>
        <w:keepNext/>
        <w:spacing w:before="180" w:after="100" w:line="259" w:lineRule="auto"/>
      </w:pPr>
      <w:r>
        <w:rPr>
          <w:rFonts w:ascii="微软雅黑" w:hAnsi="微软雅黑" w:eastAsia="微软雅黑"/>
          <w:b/>
          <w:color w:val="2F5597"/>
          <w:sz w:val="25"/>
        </w:rPr>
        <w:t>用户分群思维导图</w:t>
      </w:r>
    </w:p>
    <w:p w14:paraId="495530DE">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用于处理“用户分群思维导图”相关后台业务，具体说明可在后续补充截图时继续细化。</w:t>
      </w:r>
    </w:p>
    <w:p w14:paraId="25456810">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3807394">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E329C96">
      <w:pPr>
        <w:pStyle w:val="5"/>
        <w:keepNext/>
        <w:spacing w:before="180" w:after="100" w:line="259" w:lineRule="auto"/>
      </w:pPr>
      <w:r>
        <w:rPr>
          <w:rFonts w:ascii="微软雅黑" w:hAnsi="微软雅黑" w:eastAsia="微软雅黑"/>
          <w:b/>
          <w:color w:val="2F5597"/>
          <w:sz w:val="25"/>
        </w:rPr>
        <w:t>站点维护管理</w:t>
      </w:r>
    </w:p>
    <w:p w14:paraId="0234442B">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用于处理“站点维护管理”相关后台业务，具体说明可在后续补充截图时继续细化。</w:t>
      </w:r>
    </w:p>
    <w:p w14:paraId="64E1C5F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7F201B98">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59F87390">
      <w:pPr>
        <w:pStyle w:val="5"/>
        <w:keepNext/>
        <w:spacing w:before="180" w:after="100" w:line="259" w:lineRule="auto"/>
      </w:pPr>
      <w:r>
        <w:rPr>
          <w:rFonts w:ascii="微软雅黑" w:hAnsi="微软雅黑" w:eastAsia="微软雅黑"/>
          <w:b/>
          <w:color w:val="2F5597"/>
          <w:sz w:val="25"/>
        </w:rPr>
        <w:t>平台公告</w:t>
      </w:r>
    </w:p>
    <w:p w14:paraId="3F3C1E3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用于处理“平台公告”相关后台业务，具体说明可在后续补充截图时继续细化。</w:t>
      </w:r>
    </w:p>
    <w:p w14:paraId="6C204C65">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1F26607">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4C9FC42">
      <w:pPr>
        <w:pStyle w:val="5"/>
        <w:keepNext/>
        <w:spacing w:before="180" w:after="100" w:line="259" w:lineRule="auto"/>
      </w:pPr>
      <w:r>
        <w:rPr>
          <w:rFonts w:ascii="微软雅黑" w:hAnsi="微软雅黑" w:eastAsia="微软雅黑"/>
          <w:b/>
          <w:color w:val="2F5597"/>
          <w:sz w:val="25"/>
        </w:rPr>
        <w:t>给平台提建议</w:t>
      </w:r>
    </w:p>
    <w:p w14:paraId="4E2D2F95">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用于处理“给平台提建议”相关后台业务，具体说明可在后续补充截图时继续细化。</w:t>
      </w:r>
    </w:p>
    <w:p w14:paraId="6E1041C0">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A7FDAF6">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39E6456">
      <w:pPr>
        <w:pStyle w:val="5"/>
        <w:keepNext/>
        <w:spacing w:before="180" w:after="100" w:line="259" w:lineRule="auto"/>
      </w:pPr>
      <w:r>
        <w:rPr>
          <w:rFonts w:ascii="微软雅黑" w:hAnsi="微软雅黑" w:eastAsia="微软雅黑"/>
          <w:b/>
          <w:color w:val="2F5597"/>
          <w:sz w:val="25"/>
        </w:rPr>
        <w:t>会员投诉列表</w:t>
      </w:r>
    </w:p>
    <w:p w14:paraId="6EB7F80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用于处理“会员投诉列表”相关后台业务，具体说明可在后续补充截图时继续细化。</w:t>
      </w:r>
    </w:p>
    <w:p w14:paraId="5B7BEB99">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79E61E9">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3EC7769">
      <w:pPr>
        <w:pStyle w:val="5"/>
        <w:keepNext/>
        <w:spacing w:before="180" w:after="100" w:line="259" w:lineRule="auto"/>
      </w:pPr>
      <w:r>
        <w:rPr>
          <w:rFonts w:ascii="微软雅黑" w:hAnsi="微软雅黑" w:eastAsia="微软雅黑"/>
          <w:b/>
          <w:color w:val="2F5597"/>
          <w:sz w:val="25"/>
        </w:rPr>
        <w:t>消息推送</w:t>
      </w:r>
    </w:p>
    <w:p w14:paraId="1BA89E8B">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用于处理“消息推送”相关后台业务，具体说明可在后续补充截图时继续细化。</w:t>
      </w:r>
    </w:p>
    <w:p w14:paraId="5970A2AB">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F4989BE">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CDEBA92">
      <w:pPr>
        <w:pStyle w:val="5"/>
        <w:keepNext/>
        <w:spacing w:before="180" w:after="100" w:line="259" w:lineRule="auto"/>
      </w:pPr>
      <w:r>
        <w:rPr>
          <w:rFonts w:ascii="微软雅黑" w:hAnsi="微软雅黑" w:eastAsia="微软雅黑"/>
          <w:b/>
          <w:color w:val="2F5597"/>
          <w:sz w:val="25"/>
        </w:rPr>
        <w:t>宣传管理</w:t>
      </w:r>
    </w:p>
    <w:p w14:paraId="5D110068">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用于处理“宣传管理”相关后台业务，具体说明可在后续补充截图时继续细化。</w:t>
      </w:r>
    </w:p>
    <w:p w14:paraId="3F65D83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5EF6037">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9D66ED6">
      <w:pPr>
        <w:pStyle w:val="5"/>
        <w:keepNext/>
        <w:spacing w:before="180" w:after="100" w:line="259" w:lineRule="auto"/>
      </w:pPr>
      <w:r>
        <w:rPr>
          <w:rFonts w:ascii="微软雅黑" w:hAnsi="微软雅黑" w:eastAsia="微软雅黑"/>
          <w:b/>
          <w:color w:val="2F5597"/>
          <w:sz w:val="25"/>
        </w:rPr>
        <w:t>客服中心</w:t>
      </w:r>
    </w:p>
    <w:p w14:paraId="78D074B0">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用于处理“客服中心”相关后台业务，具体说明可在后续补充截图时继续细化。</w:t>
      </w:r>
    </w:p>
    <w:p w14:paraId="1388BF37">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042038F">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353F86C3">
      <w:pPr>
        <w:pStyle w:val="5"/>
        <w:keepNext/>
        <w:spacing w:before="180" w:after="100" w:line="259" w:lineRule="auto"/>
      </w:pPr>
      <w:r>
        <w:rPr>
          <w:rFonts w:ascii="微软雅黑" w:hAnsi="微软雅黑" w:eastAsia="微软雅黑"/>
          <w:b/>
          <w:color w:val="2F5597"/>
          <w:sz w:val="25"/>
        </w:rPr>
        <w:t>任务中心</w:t>
      </w:r>
    </w:p>
    <w:p w14:paraId="34F62E7F">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用于处理“任务中心”相关后台业务，具体说明可在后续补充截图时继续细化。</w:t>
      </w:r>
    </w:p>
    <w:p w14:paraId="381E649E">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BF90CD5">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5A28C8D">
      <w:pPr>
        <w:pStyle w:val="5"/>
        <w:keepNext/>
        <w:spacing w:before="180" w:after="100" w:line="259" w:lineRule="auto"/>
      </w:pPr>
      <w:r>
        <w:rPr>
          <w:rFonts w:ascii="微软雅黑" w:hAnsi="微软雅黑" w:eastAsia="微软雅黑"/>
          <w:b/>
          <w:color w:val="2F5597"/>
          <w:sz w:val="25"/>
        </w:rPr>
        <w:t>落地页管理</w:t>
      </w:r>
    </w:p>
    <w:p w14:paraId="4350423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用于处理“落地页管理”相关后台业务，具体说明可在后续补充截图时继续细化。</w:t>
      </w:r>
    </w:p>
    <w:p w14:paraId="55BB8F9E">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0C304724">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D87C06F">
      <w:pPr>
        <w:pStyle w:val="5"/>
        <w:keepNext/>
        <w:spacing w:before="180" w:after="100" w:line="259" w:lineRule="auto"/>
      </w:pPr>
      <w:r>
        <w:rPr>
          <w:rFonts w:ascii="微软雅黑" w:hAnsi="微软雅黑" w:eastAsia="微软雅黑"/>
          <w:b/>
          <w:color w:val="2F5597"/>
          <w:sz w:val="25"/>
        </w:rPr>
        <w:t>活动排行统计</w:t>
      </w:r>
    </w:p>
    <w:p w14:paraId="3617A240">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用于处理“活动排行统计”相关后台业务，具体说明可在后续补充截图时继续细化。</w:t>
      </w:r>
    </w:p>
    <w:p w14:paraId="5728F15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5616100">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14:paraId="2CCB150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用于处理“优惠活动列表”相关后台业务，具体说明可在后续补充截图时继续细化。</w:t>
      </w:r>
    </w:p>
    <w:p w14:paraId="60673AB4">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488149F">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E0C8557">
      <w:pPr>
        <w:pStyle w:val="5"/>
        <w:keepNext/>
        <w:spacing w:before="180" w:after="100" w:line="259" w:lineRule="auto"/>
      </w:pPr>
      <w:r>
        <w:rPr>
          <w:rFonts w:ascii="微软雅黑" w:hAnsi="微软雅黑" w:eastAsia="微软雅黑"/>
          <w:b/>
          <w:color w:val="2F5597"/>
          <w:sz w:val="25"/>
        </w:rPr>
        <w:t>幸运转盘配置</w:t>
      </w:r>
    </w:p>
    <w:p w14:paraId="69DA5D4A">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用于处理“幸运转盘配置”相关后台业务，具体说明可在后续补充截图时继续细化。</w:t>
      </w:r>
    </w:p>
    <w:p w14:paraId="373615F5">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A15085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36D48AC">
      <w:pPr>
        <w:pStyle w:val="5"/>
        <w:keepNext/>
        <w:spacing w:before="180" w:after="100" w:line="259" w:lineRule="auto"/>
      </w:pPr>
      <w:r>
        <w:rPr>
          <w:rFonts w:ascii="微软雅黑" w:hAnsi="微软雅黑" w:eastAsia="微软雅黑"/>
          <w:b/>
          <w:color w:val="2F5597"/>
          <w:sz w:val="25"/>
        </w:rPr>
        <w:t>新增活动</w:t>
      </w:r>
    </w:p>
    <w:p w14:paraId="5E2A09A7">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用于处理“新增活动”相关后台业务，具体说明可在后续补充截图时继续细化。</w:t>
      </w:r>
    </w:p>
    <w:p w14:paraId="13C84257">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C9FE44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BFA7C18">
      <w:pPr>
        <w:pStyle w:val="5"/>
        <w:keepNext/>
        <w:spacing w:before="180" w:after="100" w:line="259" w:lineRule="auto"/>
      </w:pPr>
      <w:r>
        <w:rPr>
          <w:rFonts w:ascii="微软雅黑" w:hAnsi="微软雅黑" w:eastAsia="微软雅黑"/>
          <w:b/>
          <w:color w:val="2F5597"/>
          <w:sz w:val="25"/>
        </w:rPr>
        <w:t>活动分析</w:t>
      </w:r>
    </w:p>
    <w:p w14:paraId="48305253">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用于处理“活动分析”相关后台业务，具体说明可在后续补充截图时继续细化。</w:t>
      </w:r>
    </w:p>
    <w:p w14:paraId="526A0DA0">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916D952">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888D1C6">
      <w:pPr>
        <w:pStyle w:val="5"/>
        <w:keepNext/>
        <w:spacing w:before="180" w:after="100" w:line="259" w:lineRule="auto"/>
      </w:pPr>
      <w:r>
        <w:rPr>
          <w:rFonts w:ascii="微软雅黑" w:hAnsi="微软雅黑" w:eastAsia="微软雅黑"/>
          <w:b/>
          <w:color w:val="2F5597"/>
          <w:sz w:val="25"/>
        </w:rPr>
        <w:t>优惠数据报表</w:t>
      </w:r>
    </w:p>
    <w:p w14:paraId="65155CB9">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用于处理“优惠数据报表”相关后台业务，具体说明可在后续补充截图时继续细化。</w:t>
      </w:r>
    </w:p>
    <w:p w14:paraId="176BB0A9">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6F1212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4F5B3AE">
      <w:pPr>
        <w:pStyle w:val="5"/>
        <w:keepNext/>
        <w:spacing w:before="180" w:after="100" w:line="259" w:lineRule="auto"/>
      </w:pPr>
      <w:r>
        <w:rPr>
          <w:rFonts w:ascii="微软雅黑" w:hAnsi="微软雅黑" w:eastAsia="微软雅黑"/>
          <w:b/>
          <w:color w:val="2F5597"/>
          <w:sz w:val="25"/>
        </w:rPr>
        <w:t>票券中心</w:t>
      </w:r>
    </w:p>
    <w:p w14:paraId="18543AA0">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用于处理“票券中心”相关后台业务，具体说明可在后续补充截图时继续细化。</w:t>
      </w:r>
    </w:p>
    <w:p w14:paraId="426C512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555F9E6">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6B5E40D">
      <w:pPr>
        <w:pStyle w:val="5"/>
        <w:keepNext/>
        <w:spacing w:before="180" w:after="100" w:line="259" w:lineRule="auto"/>
      </w:pPr>
      <w:r>
        <w:rPr>
          <w:rFonts w:ascii="微软雅黑" w:hAnsi="微软雅黑" w:eastAsia="微软雅黑"/>
          <w:b/>
          <w:color w:val="2F5597"/>
          <w:sz w:val="25"/>
        </w:rPr>
        <w:t>票券使用记录</w:t>
      </w:r>
    </w:p>
    <w:p w14:paraId="23744DFF">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用于处理“票券使用记录”相关后台业务，具体说明可在后续补充截图时继续细化。</w:t>
      </w:r>
    </w:p>
    <w:p w14:paraId="57D3FC23">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0E90602F">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11BE088">
      <w:pPr>
        <w:pStyle w:val="5"/>
        <w:keepNext/>
        <w:spacing w:before="180" w:after="100" w:line="259" w:lineRule="auto"/>
      </w:pPr>
      <w:r>
        <w:rPr>
          <w:rFonts w:ascii="微软雅黑" w:hAnsi="微软雅黑" w:eastAsia="微软雅黑"/>
          <w:b/>
          <w:color w:val="2F5597"/>
          <w:sz w:val="25"/>
        </w:rPr>
        <w:t>全局配置</w:t>
      </w:r>
    </w:p>
    <w:p w14:paraId="1051BA35">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用于处理“全局配置”相关后台业务，具体说明可在后续补充截图时继续细化。</w:t>
      </w:r>
    </w:p>
    <w:p w14:paraId="61887EC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6F04704">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pPr>
      <w:r>
        <w:rPr>
          <w:rFonts w:ascii="微软雅黑" w:hAnsi="微软雅黑" w:eastAsia="微软雅黑"/>
          <w:b/>
          <w:color w:val="2F5597"/>
          <w:sz w:val="25"/>
        </w:rPr>
        <w:t>会员提现设置</w:t>
      </w:r>
    </w:p>
    <w:p w14:paraId="136D534E">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用于处理“会员提现设置”相关后台业务，具体说明可在后续补充截图时继续细化。</w:t>
      </w:r>
    </w:p>
    <w:p w14:paraId="2639D933">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0735A3F">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33CA22C">
      <w:pPr>
        <w:pStyle w:val="5"/>
        <w:keepNext/>
        <w:spacing w:before="180" w:after="100" w:line="259" w:lineRule="auto"/>
      </w:pPr>
      <w:r>
        <w:rPr>
          <w:rFonts w:ascii="微软雅黑" w:hAnsi="微软雅黑" w:eastAsia="微软雅黑"/>
          <w:b/>
          <w:color w:val="2F5597"/>
          <w:sz w:val="25"/>
        </w:rPr>
        <w:t>会员充值配置</w:t>
      </w:r>
    </w:p>
    <w:p w14:paraId="2E60B069">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用于处理“会员充值配置”相关后台业务，具体说明可在后续补充截图时继续细化。</w:t>
      </w:r>
    </w:p>
    <w:p w14:paraId="381DA664">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EC1EFF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C845537">
      <w:pPr>
        <w:pStyle w:val="5"/>
        <w:keepNext/>
        <w:spacing w:before="180" w:after="100" w:line="259" w:lineRule="auto"/>
      </w:pPr>
      <w:r>
        <w:rPr>
          <w:rFonts w:ascii="微软雅黑" w:hAnsi="微软雅黑" w:eastAsia="微软雅黑"/>
          <w:b/>
          <w:color w:val="2F5597"/>
          <w:sz w:val="25"/>
        </w:rPr>
        <w:t>充值订单列表</w:t>
      </w:r>
    </w:p>
    <w:p w14:paraId="20523263">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用于处理“充值订单列表”相关后台业务，具体说明可在后续补充截图时继续细化。</w:t>
      </w:r>
    </w:p>
    <w:p w14:paraId="13F76FC6">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B22D9E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55C231D4">
      <w:pPr>
        <w:pStyle w:val="5"/>
        <w:keepNext/>
        <w:spacing w:before="180" w:after="100" w:line="259" w:lineRule="auto"/>
      </w:pPr>
      <w:r>
        <w:rPr>
          <w:rFonts w:ascii="微软雅黑" w:hAnsi="微软雅黑" w:eastAsia="微软雅黑"/>
          <w:b/>
          <w:color w:val="2F5597"/>
          <w:sz w:val="25"/>
        </w:rPr>
        <w:t>提现订单列表</w:t>
      </w:r>
    </w:p>
    <w:p w14:paraId="179D9BFC">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用于处理“提现订单列表”相关后台业务，具体说明可在后续补充截图时继续细化。</w:t>
      </w:r>
    </w:p>
    <w:p w14:paraId="47BF752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700BF64">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38BC6AE">
      <w:pPr>
        <w:pStyle w:val="5"/>
        <w:keepNext/>
        <w:spacing w:before="180" w:after="100" w:line="259" w:lineRule="auto"/>
      </w:pPr>
      <w:r>
        <w:rPr>
          <w:rFonts w:ascii="微软雅黑" w:hAnsi="微软雅黑" w:eastAsia="微软雅黑"/>
          <w:b/>
          <w:color w:val="2F5597"/>
          <w:sz w:val="25"/>
        </w:rPr>
        <w:t>提现风控审核</w:t>
      </w:r>
    </w:p>
    <w:p w14:paraId="7FE746C5">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用于处理“提现风控审核”相关后台业务，具体说明可在后续补充截图时继续细化。</w:t>
      </w:r>
    </w:p>
    <w:p w14:paraId="3ACBAF3B">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13A79A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761347B">
      <w:pPr>
        <w:pStyle w:val="5"/>
        <w:keepNext/>
        <w:spacing w:before="180" w:after="100" w:line="259" w:lineRule="auto"/>
      </w:pPr>
      <w:r>
        <w:rPr>
          <w:rFonts w:ascii="微软雅黑" w:hAnsi="微软雅黑" w:eastAsia="微软雅黑"/>
          <w:b/>
          <w:color w:val="2F5597"/>
          <w:sz w:val="25"/>
        </w:rPr>
        <w:t>支付通道数据</w:t>
      </w:r>
    </w:p>
    <w:p w14:paraId="6F853A7C">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用于处理“支付通道数据”相关后台业务，具体说明可在后续补充截图时继续细化。</w:t>
      </w:r>
    </w:p>
    <w:p w14:paraId="796E5863">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7FCB78F9">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CF38EB6">
      <w:pPr>
        <w:pStyle w:val="5"/>
        <w:keepNext/>
        <w:spacing w:before="180" w:after="100" w:line="259" w:lineRule="auto"/>
      </w:pPr>
      <w:r>
        <w:rPr>
          <w:rFonts w:ascii="微软雅黑" w:hAnsi="微软雅黑" w:eastAsia="微软雅黑"/>
          <w:b/>
          <w:color w:val="2F5597"/>
          <w:sz w:val="25"/>
        </w:rPr>
        <w:t>人工加扣款</w:t>
      </w:r>
    </w:p>
    <w:p w14:paraId="1A4652D7">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用于处理“人工加扣款”相关后台业务，具体说明可在后续补充截图时继续细化。</w:t>
      </w:r>
    </w:p>
    <w:p w14:paraId="33F6561B">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0D752B9">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53760425">
      <w:pPr>
        <w:pStyle w:val="5"/>
        <w:keepNext/>
        <w:spacing w:before="180" w:after="100" w:line="259" w:lineRule="auto"/>
      </w:pPr>
      <w:r>
        <w:rPr>
          <w:rFonts w:ascii="微软雅黑" w:hAnsi="微软雅黑" w:eastAsia="微软雅黑"/>
          <w:b/>
          <w:color w:val="2F5597"/>
          <w:sz w:val="25"/>
        </w:rPr>
        <w:t>账变记录</w:t>
      </w:r>
    </w:p>
    <w:p w14:paraId="2031CFE3">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用于处理“账变记录”相关后台业务，具体说明可在后续补充截图时继续细化。</w:t>
      </w:r>
    </w:p>
    <w:p w14:paraId="76815233">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B1CF29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24545B9">
      <w:pPr>
        <w:pStyle w:val="5"/>
        <w:keepNext/>
        <w:spacing w:before="180" w:after="100" w:line="259" w:lineRule="auto"/>
      </w:pPr>
      <w:r>
        <w:rPr>
          <w:rFonts w:ascii="微软雅黑" w:hAnsi="微软雅黑" w:eastAsia="微软雅黑"/>
          <w:b/>
          <w:color w:val="2F5597"/>
          <w:sz w:val="25"/>
        </w:rPr>
        <w:t>资金账变类型</w:t>
      </w:r>
    </w:p>
    <w:p w14:paraId="582B6DDB">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用于处理“资金账变类型”相关后台业务，具体说明可在后续补充截图时继续细化。</w:t>
      </w:r>
    </w:p>
    <w:p w14:paraId="38A4628F">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452E7F1">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3E3C5FA6">
      <w:pPr>
        <w:pStyle w:val="5"/>
        <w:keepNext/>
        <w:spacing w:before="180" w:after="100" w:line="259" w:lineRule="auto"/>
      </w:pPr>
      <w:r>
        <w:rPr>
          <w:rFonts w:ascii="微软雅黑" w:hAnsi="微软雅黑" w:eastAsia="微软雅黑"/>
          <w:b/>
          <w:color w:val="2F5597"/>
          <w:sz w:val="25"/>
        </w:rPr>
        <w:t>打码管理</w:t>
      </w:r>
    </w:p>
    <w:p w14:paraId="10EDADE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用于处理“打码管理”相关后台业务，具体说明可在后续补充截图时继续细化。</w:t>
      </w:r>
    </w:p>
    <w:p w14:paraId="28C0B046">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74A34432">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pPr>
      <w:r>
        <w:rPr>
          <w:rFonts w:ascii="微软雅黑" w:hAnsi="微软雅黑" w:eastAsia="微软雅黑"/>
          <w:b/>
          <w:color w:val="2F5597"/>
          <w:sz w:val="25"/>
        </w:rPr>
        <w:t>综合数据报表</w:t>
      </w:r>
    </w:p>
    <w:p w14:paraId="71D0E1C5">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用于处理“综合数据报表”相关后台业务，具体说明可在后续补充截图时继续细化。</w:t>
      </w:r>
    </w:p>
    <w:p w14:paraId="4CCC9C00">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FBB1CE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D9CF65D">
      <w:pPr>
        <w:pStyle w:val="5"/>
        <w:keepNext/>
        <w:spacing w:before="180" w:after="100" w:line="259" w:lineRule="auto"/>
      </w:pPr>
      <w:r>
        <w:rPr>
          <w:rFonts w:ascii="微软雅黑" w:hAnsi="微软雅黑" w:eastAsia="微软雅黑"/>
          <w:b/>
          <w:color w:val="2F5597"/>
          <w:sz w:val="25"/>
        </w:rPr>
        <w:t>游戏人数据表</w:t>
      </w:r>
    </w:p>
    <w:p w14:paraId="3FDFD4E0">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用于处理“游戏人数据表”相关后台业务，具体说明可在后续补充截图时继续细化。</w:t>
      </w:r>
    </w:p>
    <w:p w14:paraId="2A372CD3">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53A1EBD7">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F380F61">
      <w:pPr>
        <w:pStyle w:val="5"/>
        <w:keepNext/>
        <w:spacing w:before="180" w:after="100" w:line="259" w:lineRule="auto"/>
      </w:pPr>
      <w:r>
        <w:rPr>
          <w:rFonts w:ascii="微软雅黑" w:hAnsi="微软雅黑" w:eastAsia="微软雅黑"/>
          <w:b/>
          <w:color w:val="2F5597"/>
          <w:sz w:val="25"/>
        </w:rPr>
        <w:t>优惠数据报表</w:t>
      </w:r>
    </w:p>
    <w:p w14:paraId="370C463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用于处理“优惠数据报表”相关后台业务，具体说明可在后续补充截图时继续细化。</w:t>
      </w:r>
    </w:p>
    <w:p w14:paraId="0B417447">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1F8873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F72DC0E">
      <w:pPr>
        <w:pStyle w:val="5"/>
        <w:keepNext/>
        <w:spacing w:before="180" w:after="100" w:line="259" w:lineRule="auto"/>
      </w:pPr>
      <w:r>
        <w:rPr>
          <w:rFonts w:ascii="微软雅黑" w:hAnsi="微软雅黑" w:eastAsia="微软雅黑"/>
          <w:b/>
          <w:color w:val="2F5597"/>
          <w:sz w:val="25"/>
        </w:rPr>
        <w:t>充值留存报表</w:t>
      </w:r>
    </w:p>
    <w:p w14:paraId="4174512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用于处理“充值留存报表”相关后台业务，具体说明可在后续补充截图时继续细化。</w:t>
      </w:r>
    </w:p>
    <w:p w14:paraId="6BEC154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430BBD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B51C8CF">
      <w:pPr>
        <w:pStyle w:val="5"/>
        <w:keepNext/>
        <w:spacing w:before="180" w:after="100" w:line="259" w:lineRule="auto"/>
      </w:pPr>
      <w:r>
        <w:rPr>
          <w:rFonts w:ascii="微软雅黑" w:hAnsi="微软雅黑" w:eastAsia="微软雅黑"/>
          <w:b/>
          <w:color w:val="2F5597"/>
          <w:sz w:val="25"/>
        </w:rPr>
        <w:t>代理结算明细</w:t>
      </w:r>
    </w:p>
    <w:p w14:paraId="52DBC363">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用于处理“代理结算明细”相关后台业务，具体说明可在后续补充截图时继续细化。</w:t>
      </w:r>
    </w:p>
    <w:p w14:paraId="26C8346F">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9F54BE2">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28AA85F">
      <w:pPr>
        <w:pStyle w:val="5"/>
        <w:keepNext/>
        <w:spacing w:before="180" w:after="100" w:line="259" w:lineRule="auto"/>
      </w:pPr>
      <w:r>
        <w:rPr>
          <w:rFonts w:ascii="微软雅黑" w:hAnsi="微软雅黑" w:eastAsia="微软雅黑"/>
          <w:b/>
          <w:color w:val="2F5597"/>
          <w:sz w:val="25"/>
        </w:rPr>
        <w:t>VIP数据统计</w:t>
      </w:r>
    </w:p>
    <w:p w14:paraId="46FE1622">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用于处理“VIP数据统计”相关后台业务，具体说明可在后续补充截图时继续细化。</w:t>
      </w:r>
    </w:p>
    <w:p w14:paraId="1FE009FE">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DBBEE6A">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928B106">
      <w:pPr>
        <w:pStyle w:val="5"/>
        <w:keepNext/>
        <w:spacing w:before="180" w:after="100" w:line="259" w:lineRule="auto"/>
      </w:pPr>
      <w:r>
        <w:rPr>
          <w:rFonts w:ascii="微软雅黑" w:hAnsi="微软雅黑" w:eastAsia="微软雅黑"/>
          <w:b/>
          <w:color w:val="2F5597"/>
          <w:sz w:val="25"/>
        </w:rPr>
        <w:t>数据排行</w:t>
      </w:r>
    </w:p>
    <w:p w14:paraId="5592D4A1">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用于处理“数据排行”相关后台业务，具体说明可在后续补充截图时继续细化。</w:t>
      </w:r>
    </w:p>
    <w:p w14:paraId="074DA66D">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00B5C082">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55BCB24D">
      <w:pPr>
        <w:pStyle w:val="5"/>
        <w:keepNext/>
        <w:spacing w:before="180" w:after="100" w:line="259" w:lineRule="auto"/>
      </w:pPr>
      <w:r>
        <w:rPr>
          <w:rFonts w:ascii="微软雅黑" w:hAnsi="微软雅黑" w:eastAsia="微软雅黑"/>
          <w:b/>
          <w:color w:val="2F5597"/>
          <w:sz w:val="25"/>
        </w:rPr>
        <w:t>游戏记录</w:t>
      </w:r>
    </w:p>
    <w:p w14:paraId="2FF4082B">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用于处理“游戏记录”相关后台业务，具体说明可在后续补充截图时继续细化。</w:t>
      </w:r>
    </w:p>
    <w:p w14:paraId="36A1073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51FDEC73">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782256E">
      <w:pPr>
        <w:pStyle w:val="5"/>
        <w:keepNext/>
        <w:spacing w:before="180" w:after="100" w:line="259" w:lineRule="auto"/>
      </w:pPr>
      <w:r>
        <w:rPr>
          <w:rFonts w:ascii="微软雅黑" w:hAnsi="微软雅黑" w:eastAsia="微软雅黑"/>
          <w:b/>
          <w:color w:val="2F5597"/>
          <w:sz w:val="25"/>
        </w:rPr>
        <w:t>用户留存</w:t>
      </w:r>
    </w:p>
    <w:p w14:paraId="068C610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用于处理“用户留存”相关后台业务，具体说明可在后续补充截图时继续细化。</w:t>
      </w:r>
    </w:p>
    <w:p w14:paraId="07D9A004">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3E6B77A">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F4FB0CF">
      <w:pPr>
        <w:pStyle w:val="5"/>
        <w:keepNext/>
        <w:spacing w:before="180" w:after="100" w:line="259" w:lineRule="auto"/>
      </w:pPr>
      <w:r>
        <w:rPr>
          <w:rFonts w:ascii="微软雅黑" w:hAnsi="微软雅黑" w:eastAsia="微软雅黑"/>
          <w:b/>
          <w:color w:val="2F5597"/>
          <w:sz w:val="25"/>
        </w:rPr>
        <w:t>用户分析</w:t>
      </w:r>
    </w:p>
    <w:p w14:paraId="68C14E7A">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用于处理“用户分析”相关后台业务，具体说明可在后续补充截图时继续细化。</w:t>
      </w:r>
    </w:p>
    <w:p w14:paraId="5A960B5E">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4EAB430">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E8DFB1B">
      <w:pPr>
        <w:pStyle w:val="5"/>
        <w:keepNext/>
        <w:spacing w:before="180" w:after="100" w:line="259" w:lineRule="auto"/>
      </w:pPr>
      <w:r>
        <w:rPr>
          <w:rFonts w:ascii="微软雅黑" w:hAnsi="微软雅黑" w:eastAsia="微软雅黑"/>
          <w:b/>
          <w:color w:val="2F5597"/>
          <w:sz w:val="25"/>
        </w:rPr>
        <w:t>LTV</w:t>
      </w:r>
    </w:p>
    <w:p w14:paraId="1D0A67C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用于处理“LTV”相关后台业务，具体说明可在后续补充截图时继续细化。</w:t>
      </w:r>
    </w:p>
    <w:p w14:paraId="74FB09E7">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CE9B16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2DD9253">
      <w:pPr>
        <w:pStyle w:val="5"/>
        <w:keepNext/>
        <w:spacing w:before="180" w:after="100" w:line="259" w:lineRule="auto"/>
      </w:pPr>
      <w:r>
        <w:rPr>
          <w:rFonts w:ascii="微软雅黑" w:hAnsi="微软雅黑" w:eastAsia="微软雅黑"/>
          <w:b/>
          <w:color w:val="2F5597"/>
          <w:sz w:val="25"/>
        </w:rPr>
        <w:t>活动统计报表</w:t>
      </w:r>
    </w:p>
    <w:p w14:paraId="02EC7D22">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用于处理“活动统计报表”相关后台业务，具体说明可在后续补充截图时继续细化。</w:t>
      </w:r>
    </w:p>
    <w:p w14:paraId="62193E09">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404AA9F">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3D9923F">
      <w:pPr>
        <w:pStyle w:val="5"/>
        <w:keepNext/>
        <w:spacing w:before="180" w:after="100" w:line="259" w:lineRule="auto"/>
      </w:pPr>
      <w:r>
        <w:rPr>
          <w:rFonts w:ascii="微软雅黑" w:hAnsi="微软雅黑" w:eastAsia="微软雅黑"/>
          <w:b/>
          <w:color w:val="2F5597"/>
          <w:sz w:val="25"/>
        </w:rPr>
        <w:t>充值分布表</w:t>
      </w:r>
    </w:p>
    <w:p w14:paraId="0177E31A">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用于处理“充值分布表”相关后台业务，具体说明可在后续补充截图时继续细化。</w:t>
      </w:r>
    </w:p>
    <w:p w14:paraId="2B8BD30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72536C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28F47D2">
      <w:pPr>
        <w:pStyle w:val="5"/>
        <w:keepNext/>
        <w:spacing w:before="180" w:after="100" w:line="259" w:lineRule="auto"/>
      </w:pPr>
      <w:r>
        <w:rPr>
          <w:rFonts w:ascii="微软雅黑" w:hAnsi="微软雅黑" w:eastAsia="微软雅黑"/>
          <w:b/>
          <w:color w:val="2F5597"/>
          <w:sz w:val="25"/>
        </w:rPr>
        <w:t>任务统计报表</w:t>
      </w:r>
    </w:p>
    <w:p w14:paraId="58FECAC0">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用于处理“任务统计报表”相关后台业务，具体说明可在后续补充截图时继续细化。</w:t>
      </w:r>
    </w:p>
    <w:p w14:paraId="1652A516">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3B31F60">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59DE9601">
      <w:pPr>
        <w:pStyle w:val="5"/>
        <w:keepNext/>
        <w:spacing w:before="180" w:after="100" w:line="259" w:lineRule="auto"/>
      </w:pPr>
      <w:r>
        <w:rPr>
          <w:rFonts w:ascii="微软雅黑" w:hAnsi="微软雅黑" w:eastAsia="微软雅黑"/>
          <w:b/>
          <w:color w:val="2F5597"/>
          <w:sz w:val="25"/>
        </w:rPr>
        <w:t>用户分群查询</w:t>
      </w:r>
    </w:p>
    <w:p w14:paraId="23EFCE21">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用于处理“用户分群查询”相关后台业务，具体说明可在后续补充截图时继续细化。</w:t>
      </w:r>
    </w:p>
    <w:p w14:paraId="76652580">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1EB15B6">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7740A8C">
      <w:pPr>
        <w:pStyle w:val="4"/>
        <w:keepNext/>
        <w:spacing w:before="240" w:after="140" w:line="269" w:lineRule="auto"/>
      </w:pPr>
      <w:r>
        <w:rPr>
          <w:rFonts w:ascii="微软雅黑" w:hAnsi="微软雅黑" w:eastAsia="微软雅黑"/>
          <w:b/>
          <w:color w:val="1F4E79"/>
          <w:sz w:val="30"/>
        </w:rPr>
        <w:t>页面说明</w:t>
      </w:r>
    </w:p>
    <w:p w14:paraId="5D44EC52">
      <w:pPr>
        <w:pStyle w:val="5"/>
        <w:keepNext/>
        <w:spacing w:before="180" w:after="100" w:line="259" w:lineRule="auto"/>
      </w:pPr>
      <w:r>
        <w:rPr>
          <w:rFonts w:ascii="微软雅黑" w:hAnsi="微软雅黑" w:eastAsia="微软雅黑"/>
          <w:b/>
          <w:color w:val="2F5597"/>
          <w:sz w:val="25"/>
        </w:rPr>
        <w:t>推荐频道管理</w:t>
      </w:r>
    </w:p>
    <w:p w14:paraId="76E175EB">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用于处理“推荐频道管理”相关后台业务，具体说明可在后续补充截图时继续细化。</w:t>
      </w:r>
    </w:p>
    <w:p w14:paraId="690792F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70B2847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5EA5E4B">
      <w:pPr>
        <w:pStyle w:val="5"/>
        <w:keepNext/>
        <w:spacing w:before="180" w:after="100" w:line="259" w:lineRule="auto"/>
      </w:pPr>
      <w:r>
        <w:rPr>
          <w:rFonts w:ascii="微软雅黑" w:hAnsi="微软雅黑" w:eastAsia="微软雅黑"/>
          <w:b/>
          <w:color w:val="2F5597"/>
          <w:sz w:val="25"/>
        </w:rPr>
        <w:t>游戏类型设置</w:t>
      </w:r>
    </w:p>
    <w:p w14:paraId="2219A378">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用于处理“游戏类型设置”相关后台业务，具体说明可在后续补充截图时继续细化。</w:t>
      </w:r>
    </w:p>
    <w:p w14:paraId="1EEA60D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EFA37EA">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B2C4F27">
      <w:pPr>
        <w:pStyle w:val="5"/>
        <w:keepNext/>
        <w:spacing w:before="180" w:after="100" w:line="259" w:lineRule="auto"/>
      </w:pPr>
      <w:r>
        <w:rPr>
          <w:rFonts w:ascii="微软雅黑" w:hAnsi="微软雅黑" w:eastAsia="微软雅黑"/>
          <w:b/>
          <w:color w:val="2F5597"/>
          <w:sz w:val="25"/>
        </w:rPr>
        <w:t>游戏频道管理</w:t>
      </w:r>
    </w:p>
    <w:p w14:paraId="40EE5ECE">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用于处理“游戏频道管理”相关后台业务，具体说明可在后续补充截图时继续细化。</w:t>
      </w:r>
    </w:p>
    <w:p w14:paraId="44D7AFB7">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1A8A96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618AAB0">
      <w:pPr>
        <w:pStyle w:val="5"/>
        <w:keepNext/>
        <w:spacing w:before="180" w:after="100" w:line="259" w:lineRule="auto"/>
      </w:pPr>
      <w:r>
        <w:rPr>
          <w:rFonts w:ascii="微软雅黑" w:hAnsi="微软雅黑" w:eastAsia="微软雅黑"/>
          <w:b/>
          <w:color w:val="2F5597"/>
          <w:sz w:val="25"/>
        </w:rPr>
        <w:t>子游戏列表</w:t>
      </w:r>
    </w:p>
    <w:p w14:paraId="40658A99">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用于处理“子游戏列表”相关后台业务，具体说明可在后续补充截图时继续细化。</w:t>
      </w:r>
    </w:p>
    <w:p w14:paraId="44EAB25B">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788EBF94">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D89B257">
      <w:pPr>
        <w:pStyle w:val="5"/>
        <w:keepNext/>
        <w:spacing w:before="180" w:after="100" w:line="259" w:lineRule="auto"/>
      </w:pPr>
      <w:r>
        <w:rPr>
          <w:rFonts w:ascii="微软雅黑" w:hAnsi="微软雅黑" w:eastAsia="微软雅黑"/>
          <w:b/>
          <w:color w:val="2F5597"/>
          <w:sz w:val="25"/>
        </w:rPr>
        <w:t>游戏统计</w:t>
      </w:r>
    </w:p>
    <w:p w14:paraId="17C39049">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用于处理“游戏统计”相关后台业务，具体说明可在后续补充截图时继续细化。</w:t>
      </w:r>
    </w:p>
    <w:p w14:paraId="0E2F2B7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8B102C5">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1EEA7F1">
      <w:pPr>
        <w:pStyle w:val="5"/>
        <w:keepNext/>
        <w:spacing w:before="180" w:after="100" w:line="259" w:lineRule="auto"/>
      </w:pPr>
      <w:r>
        <w:rPr>
          <w:rFonts w:ascii="微软雅黑" w:hAnsi="微软雅黑" w:eastAsia="微软雅黑"/>
          <w:b/>
          <w:color w:val="2F5597"/>
          <w:sz w:val="25"/>
        </w:rPr>
        <w:t>游戏厂商统计</w:t>
      </w:r>
    </w:p>
    <w:p w14:paraId="6B4E1F1C">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用于处理“游戏厂商统计”相关后台业务，具体说明可在后续补充截图时继续细化。</w:t>
      </w:r>
    </w:p>
    <w:p w14:paraId="335E47C2">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22ECE18">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pPr>
      <w:r>
        <w:rPr>
          <w:rFonts w:ascii="微软雅黑" w:hAnsi="微软雅黑" w:eastAsia="微软雅黑"/>
          <w:b/>
          <w:color w:val="2F5597"/>
          <w:sz w:val="25"/>
        </w:rPr>
        <w:t>在线玩家列表</w:t>
      </w:r>
    </w:p>
    <w:p w14:paraId="5641BAA1">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用于处理“在线玩家列表”相关后台业务，具体说明可在后续补充截图时继续细化。</w:t>
      </w:r>
    </w:p>
    <w:p w14:paraId="083D906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5C01559">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114301A">
      <w:pPr>
        <w:pStyle w:val="5"/>
        <w:keepNext/>
        <w:spacing w:before="180" w:after="100" w:line="259" w:lineRule="auto"/>
      </w:pPr>
      <w:r>
        <w:rPr>
          <w:rFonts w:ascii="微软雅黑" w:hAnsi="微软雅黑" w:eastAsia="微软雅黑"/>
          <w:b/>
          <w:color w:val="2F5597"/>
          <w:sz w:val="25"/>
        </w:rPr>
        <w:t>所有会员</w:t>
      </w:r>
    </w:p>
    <w:p w14:paraId="7E8B79D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用于处理“所有会员”相关后台业务，具体说明可在后续补充截图时继续细化。</w:t>
      </w:r>
    </w:p>
    <w:p w14:paraId="399488F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0364D76A">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53421E3">
      <w:pPr>
        <w:pStyle w:val="5"/>
        <w:keepNext/>
        <w:spacing w:before="180" w:after="100" w:line="259" w:lineRule="auto"/>
      </w:pPr>
      <w:r>
        <w:rPr>
          <w:rFonts w:ascii="微软雅黑" w:hAnsi="微软雅黑" w:eastAsia="微软雅黑"/>
          <w:b/>
          <w:color w:val="2F5597"/>
          <w:sz w:val="25"/>
        </w:rPr>
        <w:t>VIP设置</w:t>
      </w:r>
    </w:p>
    <w:p w14:paraId="729E7629">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用于处理“VIP设置”相关后台业务，具体说明可在后续补充截图时继续细化。</w:t>
      </w:r>
    </w:p>
    <w:p w14:paraId="0F373DEE">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9BA500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DC6CA3D">
      <w:pPr>
        <w:pStyle w:val="5"/>
        <w:keepNext/>
        <w:spacing w:before="180" w:after="100" w:line="259" w:lineRule="auto"/>
      </w:pPr>
      <w:r>
        <w:rPr>
          <w:rFonts w:ascii="微软雅黑" w:hAnsi="微软雅黑" w:eastAsia="微软雅黑"/>
          <w:b/>
          <w:color w:val="2F5597"/>
          <w:sz w:val="25"/>
        </w:rPr>
        <w:t>有奖反馈</w:t>
      </w:r>
    </w:p>
    <w:p w14:paraId="717DD10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用于处理“有奖反馈”相关后台业务，具体说明可在后续补充截图时继续细化。</w:t>
      </w:r>
    </w:p>
    <w:p w14:paraId="4E6976F7">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C001658">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pPr>
      <w:r>
        <w:rPr>
          <w:rFonts w:ascii="微软雅黑" w:hAnsi="微软雅黑" w:eastAsia="微软雅黑"/>
          <w:b/>
          <w:color w:val="2F5597"/>
          <w:sz w:val="25"/>
        </w:rPr>
        <w:t>代理列表</w:t>
      </w:r>
    </w:p>
    <w:p w14:paraId="0C170B71">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用于处理“代理列表”相关后台业务，具体说明可在后续补充截图时继续细化。</w:t>
      </w:r>
    </w:p>
    <w:p w14:paraId="0EF840DB">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84A30A5">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B2F927C">
      <w:pPr>
        <w:pStyle w:val="5"/>
        <w:keepNext/>
        <w:spacing w:before="180" w:after="100" w:line="259" w:lineRule="auto"/>
      </w:pPr>
      <w:r>
        <w:rPr>
          <w:rFonts w:ascii="微软雅黑" w:hAnsi="微软雅黑" w:eastAsia="微软雅黑"/>
          <w:b/>
          <w:color w:val="2F5597"/>
          <w:sz w:val="25"/>
        </w:rPr>
        <w:t>代理配置</w:t>
      </w:r>
    </w:p>
    <w:p w14:paraId="28011AC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用于处理“代理配置”相关后台业务，具体说明可在后续补充截图时继续细化。</w:t>
      </w:r>
    </w:p>
    <w:p w14:paraId="184D7CC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5773D42">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A8BCCC2">
      <w:pPr>
        <w:pStyle w:val="5"/>
        <w:keepNext/>
        <w:spacing w:before="180" w:after="100" w:line="259" w:lineRule="auto"/>
      </w:pPr>
      <w:r>
        <w:rPr>
          <w:rFonts w:ascii="微软雅黑" w:hAnsi="微软雅黑" w:eastAsia="微软雅黑"/>
          <w:b/>
          <w:color w:val="2F5597"/>
          <w:sz w:val="25"/>
        </w:rPr>
        <w:t>代理领取记录</w:t>
      </w:r>
    </w:p>
    <w:p w14:paraId="627B1827">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用于处理“代理领取记录”相关后台业务，具体说明可在后续补充截图时继续细化。</w:t>
      </w:r>
    </w:p>
    <w:p w14:paraId="0B017046">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52CA078A">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3B26D96">
      <w:pPr>
        <w:pStyle w:val="5"/>
        <w:keepNext/>
        <w:spacing w:before="180" w:after="100" w:line="259" w:lineRule="auto"/>
      </w:pPr>
      <w:r>
        <w:rPr>
          <w:rFonts w:ascii="微软雅黑" w:hAnsi="微软雅黑" w:eastAsia="微软雅黑"/>
          <w:b/>
          <w:color w:val="2F5597"/>
          <w:sz w:val="25"/>
        </w:rPr>
        <w:t>代理数据查询</w:t>
      </w:r>
    </w:p>
    <w:p w14:paraId="12170BAE">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用于处理“代理数据查询”相关后台业务，具体说明可在后续补充截图时继续细化。</w:t>
      </w:r>
    </w:p>
    <w:p w14:paraId="19F214C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6278EA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pPr>
      <w:r>
        <w:rPr>
          <w:rFonts w:ascii="微软雅黑" w:hAnsi="微软雅黑" w:eastAsia="微软雅黑"/>
          <w:b/>
          <w:color w:val="2F5597"/>
          <w:sz w:val="25"/>
        </w:rPr>
        <w:t>黑名单</w:t>
      </w:r>
    </w:p>
    <w:p w14:paraId="694CAF91">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用于处理“黑名单”相关后台业务，具体说明可在后续补充截图时继续细化。</w:t>
      </w:r>
    </w:p>
    <w:p w14:paraId="0F0EAAC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B6D007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F6DF181">
      <w:pPr>
        <w:pStyle w:val="5"/>
        <w:keepNext/>
        <w:spacing w:before="180" w:after="100" w:line="259" w:lineRule="auto"/>
      </w:pPr>
      <w:r>
        <w:rPr>
          <w:rFonts w:ascii="微软雅黑" w:hAnsi="微软雅黑" w:eastAsia="微软雅黑"/>
          <w:b/>
          <w:color w:val="2F5597"/>
          <w:sz w:val="25"/>
        </w:rPr>
        <w:t>刷子监控</w:t>
      </w:r>
    </w:p>
    <w:p w14:paraId="0A32899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用于处理“刷子监控”相关后台业务，具体说明可在后续补充截图时继续细化。</w:t>
      </w:r>
    </w:p>
    <w:p w14:paraId="392C16B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05416159">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9A82894">
      <w:pPr>
        <w:pStyle w:val="5"/>
        <w:keepNext/>
        <w:spacing w:before="180" w:after="100" w:line="259" w:lineRule="auto"/>
      </w:pPr>
      <w:r>
        <w:rPr>
          <w:rFonts w:ascii="微软雅黑" w:hAnsi="微软雅黑" w:eastAsia="微软雅黑"/>
          <w:b/>
          <w:color w:val="2F5597"/>
          <w:sz w:val="25"/>
        </w:rPr>
        <w:t>游戏获利监控</w:t>
      </w:r>
    </w:p>
    <w:p w14:paraId="5A7757C9">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用于处理“游戏获利监控”相关后台业务，具体说明可在后续补充截图时继续细化。</w:t>
      </w:r>
    </w:p>
    <w:p w14:paraId="1FBD2CFF">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C100D41">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pPr>
      <w:r>
        <w:rPr>
          <w:rFonts w:ascii="微软雅黑" w:hAnsi="微软雅黑" w:eastAsia="微软雅黑"/>
          <w:b/>
          <w:color w:val="2F5597"/>
          <w:sz w:val="25"/>
        </w:rPr>
        <w:t>商户信息</w:t>
      </w:r>
    </w:p>
    <w:p w14:paraId="3CE12F7B">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用于处理“商户信息”相关后台业务，具体说明可在后续补充截图时继续细化。</w:t>
      </w:r>
    </w:p>
    <w:p w14:paraId="4002BBD3">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F342427">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C613849">
      <w:pPr>
        <w:pStyle w:val="5"/>
        <w:keepNext/>
        <w:spacing w:before="180" w:after="100" w:line="259" w:lineRule="auto"/>
      </w:pPr>
      <w:r>
        <w:rPr>
          <w:rFonts w:ascii="微软雅黑" w:hAnsi="微软雅黑" w:eastAsia="微软雅黑"/>
          <w:b/>
          <w:color w:val="2F5597"/>
          <w:sz w:val="25"/>
        </w:rPr>
        <w:t>商户充值</w:t>
      </w:r>
    </w:p>
    <w:p w14:paraId="6ED90DD7">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用于处理“商户充值”相关后台业务，具体说明可在后续补充截图时继续细化。</w:t>
      </w:r>
    </w:p>
    <w:p w14:paraId="129FF114">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8CDA1F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0EFC806">
      <w:pPr>
        <w:pStyle w:val="5"/>
        <w:keepNext/>
        <w:spacing w:before="180" w:after="100" w:line="259" w:lineRule="auto"/>
      </w:pPr>
      <w:r>
        <w:rPr>
          <w:rFonts w:ascii="微软雅黑" w:hAnsi="微软雅黑" w:eastAsia="微软雅黑"/>
          <w:b/>
          <w:color w:val="2F5597"/>
          <w:sz w:val="25"/>
        </w:rPr>
        <w:t>充值记录</w:t>
      </w:r>
    </w:p>
    <w:p w14:paraId="12B2252F">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用于处理“充值记录”相关后台业务，具体说明可在后续补充截图时继续细化。</w:t>
      </w:r>
    </w:p>
    <w:p w14:paraId="1BF8571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BAAB3EF">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DD52377">
      <w:pPr>
        <w:pStyle w:val="5"/>
        <w:keepNext/>
        <w:spacing w:before="180" w:after="100" w:line="259" w:lineRule="auto"/>
      </w:pPr>
      <w:r>
        <w:rPr>
          <w:rFonts w:ascii="微软雅黑" w:hAnsi="微软雅黑" w:eastAsia="微软雅黑"/>
          <w:b/>
          <w:color w:val="2F5597"/>
          <w:sz w:val="25"/>
        </w:rPr>
        <w:t>商户账变记录</w:t>
      </w:r>
    </w:p>
    <w:p w14:paraId="2DD24E4F">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用于处理“商户账变记录”相关后台业务，具体说明可在后续补充截图时继续细化。</w:t>
      </w:r>
    </w:p>
    <w:p w14:paraId="0B321B12">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6D2E405">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F816A64">
      <w:pPr>
        <w:pStyle w:val="5"/>
        <w:keepNext/>
        <w:spacing w:before="180" w:after="100" w:line="259" w:lineRule="auto"/>
      </w:pPr>
      <w:r>
        <w:rPr>
          <w:rFonts w:ascii="微软雅黑" w:hAnsi="微软雅黑" w:eastAsia="微软雅黑"/>
          <w:b/>
          <w:color w:val="2F5597"/>
          <w:sz w:val="25"/>
        </w:rPr>
        <w:t>商户账单</w:t>
      </w:r>
    </w:p>
    <w:p w14:paraId="6F551BCF">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用于处理“商户账单”相关后台业务，具体说明可在后续补充截图时继续细化。</w:t>
      </w:r>
    </w:p>
    <w:p w14:paraId="20CD7CC9">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5F61E80">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21057E2">
      <w:pPr>
        <w:pStyle w:val="3"/>
        <w:keepNext/>
        <w:spacing w:before="360" w:after="240" w:line="276" w:lineRule="auto"/>
      </w:pPr>
      <w:r>
        <w:rPr>
          <w:rFonts w:ascii="微软雅黑" w:hAnsi="微软雅黑" w:eastAsia="微软雅黑"/>
          <w:b/>
          <w:color w:val="17365D"/>
          <w:sz w:val="40"/>
        </w:rPr>
        <w:t>十四、埋点配置</w:t>
      </w:r>
    </w:p>
    <w:p w14:paraId="1A4841E7">
      <w:pPr>
        <w:pStyle w:val="4"/>
        <w:keepNext/>
        <w:spacing w:before="240" w:after="140" w:line="269" w:lineRule="auto"/>
      </w:pPr>
      <w:r>
        <w:rPr>
          <w:rFonts w:ascii="微软雅黑" w:hAnsi="微软雅黑" w:eastAsia="微软雅黑"/>
          <w:b/>
          <w:color w:val="1F4E79"/>
          <w:sz w:val="30"/>
        </w:rPr>
        <w:t>模块定位</w:t>
      </w:r>
    </w:p>
    <w:p w14:paraId="13D46073">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36EE977">
      <w:pPr>
        <w:pStyle w:val="4"/>
        <w:keepNext/>
        <w:spacing w:before="240" w:after="140" w:line="269" w:lineRule="auto"/>
      </w:pPr>
      <w:r>
        <w:rPr>
          <w:rFonts w:ascii="微软雅黑" w:hAnsi="微软雅黑" w:eastAsia="微软雅黑"/>
          <w:b/>
          <w:color w:val="1F4E79"/>
          <w:sz w:val="30"/>
        </w:rPr>
        <w:t>页面说明</w:t>
      </w:r>
    </w:p>
    <w:p w14:paraId="0E8B6AA6">
      <w:pPr>
        <w:pStyle w:val="5"/>
        <w:keepNext/>
        <w:spacing w:before="180" w:after="100" w:line="259" w:lineRule="auto"/>
      </w:pPr>
      <w:r>
        <w:rPr>
          <w:rFonts w:ascii="微软雅黑" w:hAnsi="微软雅黑" w:eastAsia="微软雅黑"/>
          <w:b/>
          <w:color w:val="2F5597"/>
          <w:sz w:val="25"/>
        </w:rPr>
        <w:t>埋点统计</w:t>
      </w:r>
    </w:p>
    <w:p w14:paraId="4ED2D2BA">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用于处理“埋点统计”相关后台业务，具体说明可在后续补充截图时继续细化。</w:t>
      </w:r>
    </w:p>
    <w:p w14:paraId="6171D0A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FA6B701">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2A7254E">
      <w:pPr>
        <w:pStyle w:val="5"/>
        <w:keepNext/>
        <w:spacing w:before="180" w:after="100" w:line="259" w:lineRule="auto"/>
      </w:pPr>
      <w:r>
        <w:rPr>
          <w:rFonts w:ascii="微软雅黑" w:hAnsi="微软雅黑" w:eastAsia="微软雅黑"/>
          <w:b/>
          <w:color w:val="2F5597"/>
          <w:sz w:val="25"/>
        </w:rPr>
        <w:t>会话列表</w:t>
      </w:r>
    </w:p>
    <w:p w14:paraId="274DE27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用于处理“会话列表”相关后台业务，具体说明可在后续补充截图时继续细化。</w:t>
      </w:r>
    </w:p>
    <w:p w14:paraId="104803EF">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79297A7">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691814E">
      <w:pPr>
        <w:pStyle w:val="5"/>
        <w:keepNext/>
        <w:spacing w:before="180" w:after="100" w:line="259" w:lineRule="auto"/>
      </w:pPr>
      <w:r>
        <w:rPr>
          <w:rFonts w:ascii="微软雅黑" w:hAnsi="微软雅黑" w:eastAsia="微软雅黑"/>
          <w:b/>
          <w:color w:val="2F5597"/>
          <w:sz w:val="25"/>
        </w:rPr>
        <w:t>事件流水</w:t>
      </w:r>
    </w:p>
    <w:p w14:paraId="6DF9B165">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用于处理“事件流水”相关后台业务，具体说明可在后续补充截图时继续细化。</w:t>
      </w:r>
    </w:p>
    <w:p w14:paraId="63543BCF">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5E3A06D1">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4EAE7AC">
      <w:pPr>
        <w:pStyle w:val="3"/>
        <w:keepNext/>
        <w:spacing w:before="360" w:after="240" w:line="276" w:lineRule="auto"/>
      </w:pPr>
      <w:r>
        <w:rPr>
          <w:rFonts w:ascii="微软雅黑" w:hAnsi="微软雅黑" w:eastAsia="微软雅黑"/>
          <w:b/>
          <w:color w:val="17365D"/>
          <w:sz w:val="40"/>
        </w:rPr>
        <w:t>十五、人事中心</w:t>
      </w:r>
    </w:p>
    <w:p w14:paraId="7AC80F8A">
      <w:pPr>
        <w:pStyle w:val="4"/>
        <w:keepNext/>
        <w:spacing w:before="240" w:after="140" w:line="269" w:lineRule="auto"/>
      </w:pPr>
      <w:r>
        <w:rPr>
          <w:rFonts w:ascii="微软雅黑" w:hAnsi="微软雅黑" w:eastAsia="微软雅黑"/>
          <w:b/>
          <w:color w:val="1F4E79"/>
          <w:sz w:val="30"/>
        </w:rPr>
        <w:t>模块定位</w:t>
      </w:r>
    </w:p>
    <w:p w14:paraId="12BC2C1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746668F0">
      <w:pPr>
        <w:pStyle w:val="4"/>
        <w:keepNext/>
        <w:spacing w:before="240" w:after="140" w:line="269" w:lineRule="auto"/>
      </w:pPr>
      <w:r>
        <w:rPr>
          <w:rFonts w:ascii="微软雅黑" w:hAnsi="微软雅黑" w:eastAsia="微软雅黑"/>
          <w:b/>
          <w:color w:val="1F4E79"/>
          <w:sz w:val="30"/>
        </w:rPr>
        <w:t>页面说明</w:t>
      </w:r>
    </w:p>
    <w:p w14:paraId="60DB4134">
      <w:pPr>
        <w:pStyle w:val="5"/>
        <w:keepNext/>
        <w:spacing w:before="180" w:after="100" w:line="259" w:lineRule="auto"/>
      </w:pPr>
      <w:r>
        <w:rPr>
          <w:rFonts w:ascii="微软雅黑" w:hAnsi="微软雅黑" w:eastAsia="微软雅黑"/>
          <w:b/>
          <w:color w:val="2F5597"/>
          <w:sz w:val="25"/>
        </w:rPr>
        <w:t>账号管理</w:t>
      </w:r>
    </w:p>
    <w:p w14:paraId="3E75298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用于处理“账号管理”相关后台业务，具体说明可在后续补充截图时继续细化。</w:t>
      </w:r>
    </w:p>
    <w:p w14:paraId="757E6AED">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9F397F2">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3F94B793">
      <w:pPr>
        <w:pStyle w:val="5"/>
        <w:keepNext/>
        <w:spacing w:before="180" w:after="100" w:line="259" w:lineRule="auto"/>
      </w:pPr>
      <w:r>
        <w:rPr>
          <w:rFonts w:ascii="微软雅黑" w:hAnsi="微软雅黑" w:eastAsia="微软雅黑"/>
          <w:b/>
          <w:color w:val="2F5597"/>
          <w:sz w:val="25"/>
        </w:rPr>
        <w:t>日志管理</w:t>
      </w:r>
    </w:p>
    <w:p w14:paraId="60076406">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日志管理用于查看后台账号登录、操作和系统异常相关记录。</w:t>
      </w:r>
    </w:p>
    <w:p w14:paraId="0E6C1E1E">
      <w:pPr>
        <w:pStyle w:val="5"/>
        <w:keepNext/>
        <w:spacing w:before="180" w:after="100" w:line="259" w:lineRule="auto"/>
      </w:pPr>
      <w:r>
        <w:rPr>
          <w:rFonts w:ascii="微软雅黑" w:hAnsi="微软雅黑" w:eastAsia="微软雅黑"/>
          <w:b/>
          <w:color w:val="2F5597"/>
          <w:sz w:val="25"/>
        </w:rPr>
        <w:t>管理员登录日志</w:t>
      </w:r>
    </w:p>
    <w:p w14:paraId="4905F31E">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用于处理“管理员登录日志”相关后台业务，具体说明可在后续补充截图时继续细化。</w:t>
      </w:r>
    </w:p>
    <w:p w14:paraId="6807C3E5">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2C7ABA1">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608BA6D">
      <w:pPr>
        <w:pStyle w:val="5"/>
        <w:keepNext/>
        <w:spacing w:before="180" w:after="100" w:line="259" w:lineRule="auto"/>
      </w:pPr>
      <w:r>
        <w:rPr>
          <w:rFonts w:ascii="微软雅黑" w:hAnsi="微软雅黑" w:eastAsia="微软雅黑"/>
          <w:b/>
          <w:color w:val="2F5597"/>
          <w:sz w:val="25"/>
        </w:rPr>
        <w:t>管理员操作日志</w:t>
      </w:r>
    </w:p>
    <w:p w14:paraId="7B2F9F17">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用于处理“管理员操作日志”相关后台业务，具体说明可在后续补充截图时继续细化。</w:t>
      </w:r>
    </w:p>
    <w:p w14:paraId="75CD293F">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512610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F0E95FE">
      <w:pPr>
        <w:pStyle w:val="5"/>
        <w:keepNext/>
        <w:spacing w:before="180" w:after="100" w:line="259" w:lineRule="auto"/>
      </w:pPr>
      <w:r>
        <w:rPr>
          <w:rFonts w:ascii="微软雅黑" w:hAnsi="微软雅黑" w:eastAsia="微软雅黑"/>
          <w:b/>
          <w:color w:val="2F5597"/>
          <w:sz w:val="25"/>
        </w:rPr>
        <w:t>系统异常日志</w:t>
      </w:r>
    </w:p>
    <w:p w14:paraId="5D1D8FA2">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用于处理“系统异常日志”相关后台业务，具体说明可在后续补充截图时继续细化。</w:t>
      </w:r>
    </w:p>
    <w:p w14:paraId="42FF2620">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72CCEE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spacing w:after="40" w:line="276" w:lineRule="auto"/>
      </w:pPr>
      <w:r>
        <w:rPr>
          <w:rFonts w:ascii="微软雅黑" w:hAnsi="微软雅黑" w:eastAsia="微软雅黑"/>
          <w:b w:val="0"/>
          <w:sz w:val="20"/>
        </w:rPr>
        <w:t>进入优惠活动，创建或编辑活动规则。</w:t>
      </w:r>
    </w:p>
    <w:p w14:paraId="6A3597AD">
      <w:pPr>
        <w:pStyle w:val="14"/>
        <w:spacing w:after="40" w:line="276" w:lineRule="auto"/>
      </w:pPr>
      <w:r>
        <w:rPr>
          <w:rFonts w:ascii="微软雅黑" w:hAnsi="微软雅黑" w:eastAsia="微软雅黑"/>
          <w:b w:val="0"/>
          <w:sz w:val="20"/>
        </w:rPr>
        <w:t>检查活动展示入口、票券或任务关联、预算、领取限制和目标人群。</w:t>
      </w:r>
    </w:p>
    <w:p w14:paraId="5CFFB797">
      <w:pPr>
        <w:pStyle w:val="14"/>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spacing w:after="40" w:line="276" w:lineRule="auto"/>
      </w:pPr>
      <w:r>
        <w:rPr>
          <w:rFonts w:ascii="微软雅黑" w:hAnsi="微软雅黑" w:eastAsia="微软雅黑"/>
          <w:b w:val="0"/>
          <w:sz w:val="20"/>
        </w:rPr>
        <w:t>进入财务中心的提现订单列表，筛选待审核或处理中订单。</w:t>
      </w:r>
    </w:p>
    <w:p w14:paraId="3679A577">
      <w:pPr>
        <w:pStyle w:val="14"/>
        <w:spacing w:after="40" w:line="276" w:lineRule="auto"/>
      </w:pPr>
      <w:r>
        <w:rPr>
          <w:rFonts w:ascii="微软雅黑" w:hAnsi="微软雅黑" w:eastAsia="微软雅黑"/>
          <w:b w:val="0"/>
          <w:sz w:val="20"/>
        </w:rPr>
        <w:t>核对会员、金额、账户、打码、风控提示和历史资金记录。</w:t>
      </w:r>
    </w:p>
    <w:p w14:paraId="0A17D8AB">
      <w:pPr>
        <w:pStyle w:val="14"/>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spacing w:after="40" w:line="276" w:lineRule="auto"/>
      </w:pPr>
      <w:r>
        <w:rPr>
          <w:rFonts w:ascii="微软雅黑" w:hAnsi="微软雅黑" w:eastAsia="微软雅黑"/>
          <w:b w:val="0"/>
          <w:sz w:val="20"/>
        </w:rPr>
        <w:t>固定活动名称、统计时间和渠道范围。</w:t>
      </w:r>
    </w:p>
    <w:p w14:paraId="26F69E7F">
      <w:pPr>
        <w:pStyle w:val="14"/>
        <w:spacing w:after="40" w:line="276" w:lineRule="auto"/>
      </w:pPr>
      <w:r>
        <w:rPr>
          <w:rFonts w:ascii="微软雅黑" w:hAnsi="微软雅黑" w:eastAsia="微软雅黑"/>
          <w:b w:val="0"/>
          <w:sz w:val="20"/>
        </w:rPr>
        <w:t>查看优惠活动、数据报表中的活动相关报表。</w:t>
      </w:r>
    </w:p>
    <w:p w14:paraId="65D27FAC">
      <w:pPr>
        <w:pStyle w:val="14"/>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956E55"/>
    <w:rsid w:val="068766C3"/>
    <w:rsid w:val="0FFB4C2D"/>
    <w:rsid w:val="15F63412"/>
    <w:rsid w:val="1E20265C"/>
    <w:rsid w:val="259865AB"/>
    <w:rsid w:val="38A20FFB"/>
    <w:rsid w:val="3AEF22C6"/>
    <w:rsid w:val="4F407994"/>
    <w:rsid w:val="578C750D"/>
    <w:rsid w:val="61DB474F"/>
    <w:rsid w:val="6E5F3FAE"/>
    <w:rsid w:val="79F022D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customXml" Target="../customXml/item1.xml"/><Relationship Id="rId35" Type="http://schemas.openxmlformats.org/officeDocument/2006/relationships/numbering" Target="numbering.xml"/><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48</Pages>
  <Words>19767</Words>
  <Characters>20500</Characters>
  <Lines>0</Lines>
  <Paragraphs>0</Paragraphs>
  <TotalTime>11</TotalTime>
  <ScaleCrop>false</ScaleCrop>
  <LinksUpToDate>false</LinksUpToDate>
  <CharactersWithSpaces>20676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2026-06-08T05:08:51Z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