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CEF92" w14:textId="11C1B345" w:rsidR="00BD7076" w:rsidRPr="001A2276" w:rsidRDefault="00F94F98" w:rsidP="00F94F98">
      <w:pPr>
        <w:spacing w:after="0"/>
        <w:rPr>
          <w:sz w:val="64"/>
          <w:szCs w:val="64"/>
        </w:rPr>
      </w:pPr>
      <w:r w:rsidRPr="001A2276">
        <w:rPr>
          <w:rFonts w:ascii="Rockwell" w:hAnsi="Rockwell"/>
          <w:b/>
          <w:color w:val="000000"/>
          <w:sz w:val="64"/>
          <w:szCs w:val="64"/>
        </w:rPr>
        <w:t>Michael Pruskowski</w:t>
      </w:r>
    </w:p>
    <w:p w14:paraId="430B9E16" w14:textId="77777777" w:rsidR="00BD7076" w:rsidRDefault="00000000">
      <w:r>
        <w:rPr>
          <w:rFonts w:ascii="Rockwell" w:hAnsi="Rockwell"/>
          <w:color w:val="000000"/>
          <w:sz w:val="20"/>
        </w:rPr>
        <w:t>+1 (908) 917-0754 | mpruskow@gmail.com | Warren Township, NJ | linkedin.com/in/Mpruskowski</w:t>
      </w:r>
    </w:p>
    <w:p w14:paraId="2FBC8AEF" w14:textId="77777777" w:rsidR="00BD7076" w:rsidRPr="001A2276" w:rsidRDefault="00000000">
      <w:pPr>
        <w:rPr>
          <w:sz w:val="28"/>
          <w:szCs w:val="28"/>
        </w:rPr>
      </w:pPr>
      <w:r w:rsidRPr="001A2276">
        <w:rPr>
          <w:rFonts w:ascii="Rockwell" w:hAnsi="Rockwell"/>
          <w:b/>
          <w:color w:val="000000"/>
          <w:sz w:val="32"/>
          <w:szCs w:val="28"/>
        </w:rPr>
        <w:t>PROFESSIONAL SUMMARY</w:t>
      </w:r>
    </w:p>
    <w:p w14:paraId="57639438" w14:textId="77777777" w:rsidR="005B749B" w:rsidRPr="005B749B" w:rsidRDefault="005B749B" w:rsidP="005B749B">
      <w:pPr>
        <w:rPr>
          <w:rFonts w:ascii="Rockwell" w:hAnsi="Rockwell"/>
          <w:color w:val="000000"/>
        </w:rPr>
      </w:pPr>
      <w:r w:rsidRPr="005B749B">
        <w:rPr>
          <w:rFonts w:ascii="Rockwell" w:hAnsi="Rockwell"/>
          <w:color w:val="000000"/>
        </w:rPr>
        <w:t xml:space="preserve">I am a results-driven, systems thinker skilled in strategy, design and technology. I </w:t>
      </w:r>
      <w:proofErr w:type="gramStart"/>
      <w:r w:rsidRPr="005B749B">
        <w:rPr>
          <w:rFonts w:ascii="Rockwell" w:hAnsi="Rockwell"/>
          <w:color w:val="000000"/>
        </w:rPr>
        <w:t>have the ability to</w:t>
      </w:r>
      <w:proofErr w:type="gramEnd"/>
      <w:r w:rsidRPr="005B749B">
        <w:rPr>
          <w:rFonts w:ascii="Rockwell" w:hAnsi="Rockwell"/>
          <w:color w:val="000000"/>
        </w:rPr>
        <w:t xml:space="preserve"> blend these elements to bring "brands to billions". I am an ideal candidate for organizations that want to:</w:t>
      </w:r>
    </w:p>
    <w:p w14:paraId="223A1CB6" w14:textId="106CC129" w:rsidR="005B749B" w:rsidRPr="005B749B" w:rsidRDefault="005B749B" w:rsidP="005B749B">
      <w:pPr>
        <w:rPr>
          <w:rFonts w:ascii="Rockwell" w:hAnsi="Rockwell"/>
          <w:b/>
          <w:bCs/>
          <w:color w:val="000000"/>
        </w:rPr>
      </w:pPr>
      <w:r w:rsidRPr="005B749B">
        <w:rPr>
          <w:rFonts w:ascii="Rockwell" w:hAnsi="Rockwell"/>
          <w:b/>
          <w:bCs/>
          <w:color w:val="000000"/>
        </w:rPr>
        <w:t>Grow Revenue</w:t>
      </w:r>
    </w:p>
    <w:p w14:paraId="2A6C28F7" w14:textId="77777777" w:rsidR="005B749B" w:rsidRPr="005B749B" w:rsidRDefault="005B749B" w:rsidP="005B749B">
      <w:pPr>
        <w:rPr>
          <w:rFonts w:ascii="Rockwell" w:hAnsi="Rockwell"/>
          <w:color w:val="000000"/>
        </w:rPr>
      </w:pPr>
      <w:r w:rsidRPr="005B749B">
        <w:rPr>
          <w:rFonts w:ascii="Rockwell" w:hAnsi="Rockwell"/>
          <w:color w:val="000000"/>
        </w:rPr>
        <w:t>Developed strategy and customer-centric capabilities that drove organic revenue growth across accounts, contributing to the successful sale of 2 agencies to a leading holding company (MKG) and a top 3 global consultancy (Accenture).</w:t>
      </w:r>
    </w:p>
    <w:p w14:paraId="126C6413" w14:textId="7F2BB479" w:rsidR="005B749B" w:rsidRPr="005B749B" w:rsidRDefault="005B749B" w:rsidP="005B749B">
      <w:pPr>
        <w:rPr>
          <w:rFonts w:ascii="Rockwell" w:hAnsi="Rockwell"/>
          <w:b/>
          <w:bCs/>
          <w:color w:val="000000"/>
        </w:rPr>
      </w:pPr>
      <w:r w:rsidRPr="005B749B">
        <w:rPr>
          <w:rFonts w:ascii="Rockwell" w:hAnsi="Rockwell"/>
          <w:b/>
          <w:bCs/>
          <w:color w:val="000000"/>
        </w:rPr>
        <w:t>Increase Margins</w:t>
      </w:r>
    </w:p>
    <w:p w14:paraId="6347E64C" w14:textId="77777777" w:rsidR="005B749B" w:rsidRPr="005B749B" w:rsidRDefault="005B749B" w:rsidP="005B749B">
      <w:pPr>
        <w:rPr>
          <w:rFonts w:ascii="Rockwell" w:hAnsi="Rockwell"/>
          <w:color w:val="000000"/>
        </w:rPr>
      </w:pPr>
      <w:r w:rsidRPr="005B749B">
        <w:rPr>
          <w:rFonts w:ascii="Rockwell" w:hAnsi="Rockwell"/>
          <w:color w:val="000000"/>
        </w:rPr>
        <w:t>Leveraged a data-driven approach to identify high-return customer segments and media choices, employing real-time optimization, advanced ROI modeling, and predictive analytics to maximize effectiveness and return on advertising spend (ROAS) for BEYFORTUS</w:t>
      </w:r>
    </w:p>
    <w:p w14:paraId="585AD0B1" w14:textId="4AB77F6A" w:rsidR="005B749B" w:rsidRPr="005B749B" w:rsidRDefault="005B749B" w:rsidP="005B749B">
      <w:pPr>
        <w:rPr>
          <w:rFonts w:ascii="Rockwell" w:hAnsi="Rockwell"/>
          <w:color w:val="000000"/>
        </w:rPr>
      </w:pPr>
      <w:r w:rsidRPr="005B749B">
        <w:rPr>
          <w:rFonts w:ascii="Rockwell" w:hAnsi="Rockwell"/>
          <w:b/>
          <w:bCs/>
          <w:color w:val="000000"/>
        </w:rPr>
        <w:t>Radically Differentiate</w:t>
      </w:r>
    </w:p>
    <w:p w14:paraId="2F050366" w14:textId="7E1BC6DE" w:rsidR="005B749B" w:rsidRPr="005B749B" w:rsidRDefault="005B749B" w:rsidP="005B749B">
      <w:pPr>
        <w:rPr>
          <w:rFonts w:ascii="Rockwell" w:hAnsi="Rockwell"/>
          <w:color w:val="000000"/>
        </w:rPr>
      </w:pPr>
      <w:r w:rsidRPr="005B749B">
        <w:rPr>
          <w:rFonts w:ascii="Rockwell" w:hAnsi="Rockwell"/>
          <w:color w:val="000000"/>
        </w:rPr>
        <w:t xml:space="preserve">Strategically (re)positioned brands (DUPIXENT, BEYFORTUS, ENTRESTO, </w:t>
      </w:r>
      <w:r w:rsidR="00950693">
        <w:rPr>
          <w:rFonts w:ascii="Rockwell" w:hAnsi="Rockwell"/>
          <w:color w:val="000000"/>
        </w:rPr>
        <w:t>KEYTRUDA, others</w:t>
      </w:r>
      <w:r w:rsidRPr="005B749B">
        <w:rPr>
          <w:rFonts w:ascii="Rockwell" w:hAnsi="Rockwell"/>
          <w:color w:val="000000"/>
        </w:rPr>
        <w:t>) within pivotal cultural moments by identifying unique insights, leveraging innovative technologies, and crafting customer-centric experiences</w:t>
      </w:r>
    </w:p>
    <w:p w14:paraId="6E602583" w14:textId="7C9FF047" w:rsidR="005B749B" w:rsidRPr="005B749B" w:rsidRDefault="005B749B" w:rsidP="005B749B">
      <w:pPr>
        <w:rPr>
          <w:rFonts w:ascii="Rockwell" w:hAnsi="Rockwell"/>
          <w:b/>
          <w:bCs/>
          <w:color w:val="000000"/>
        </w:rPr>
      </w:pPr>
      <w:r w:rsidRPr="005B749B">
        <w:rPr>
          <w:rFonts w:ascii="Rockwell" w:hAnsi="Rockwell"/>
          <w:b/>
          <w:bCs/>
          <w:color w:val="000000"/>
        </w:rPr>
        <w:t>Transform Business</w:t>
      </w:r>
    </w:p>
    <w:p w14:paraId="6F2ABD9A" w14:textId="0F8B7000" w:rsidR="00BD7076" w:rsidRDefault="005B749B" w:rsidP="005B749B">
      <w:r w:rsidRPr="005B749B">
        <w:rPr>
          <w:rFonts w:ascii="Rockwell" w:hAnsi="Rockwell"/>
          <w:color w:val="000000"/>
        </w:rPr>
        <w:t>Spearheaded organizational evolution by establishing specialized Centers of Excellence (</w:t>
      </w:r>
      <w:proofErr w:type="spellStart"/>
      <w:r w:rsidRPr="005B749B">
        <w:rPr>
          <w:rFonts w:ascii="Rockwell" w:hAnsi="Rockwell"/>
          <w:color w:val="000000"/>
        </w:rPr>
        <w:t>mCoE</w:t>
      </w:r>
      <w:proofErr w:type="spellEnd"/>
      <w:r w:rsidRPr="005B749B">
        <w:rPr>
          <w:rFonts w:ascii="Rockwell" w:hAnsi="Rockwell"/>
          <w:color w:val="000000"/>
        </w:rPr>
        <w:t xml:space="preserve">) and unified governance frameworks to eliminate brand silos and optimize portfolio-level ROI. Scaled innovative capabilities—including GenAI </w:t>
      </w:r>
      <w:proofErr w:type="gramStart"/>
      <w:r w:rsidRPr="005B749B">
        <w:rPr>
          <w:rFonts w:ascii="Rockwell" w:hAnsi="Rockwell"/>
          <w:color w:val="000000"/>
        </w:rPr>
        <w:t>( DAI</w:t>
      </w:r>
      <w:proofErr w:type="gramEnd"/>
      <w:r w:rsidR="00950693">
        <w:rPr>
          <w:rFonts w:ascii="Rockwell" w:hAnsi="Rockwell"/>
          <w:color w:val="000000"/>
        </w:rPr>
        <w:t xml:space="preserve"> </w:t>
      </w:r>
      <w:proofErr w:type="gramStart"/>
      <w:r w:rsidRPr="005B749B">
        <w:rPr>
          <w:rFonts w:ascii="Rockwell" w:hAnsi="Rockwell"/>
          <w:color w:val="000000"/>
        </w:rPr>
        <w:t>VINCI )</w:t>
      </w:r>
      <w:proofErr w:type="gramEnd"/>
      <w:r w:rsidRPr="005B749B">
        <w:rPr>
          <w:rFonts w:ascii="Rockwell" w:hAnsi="Rockwell"/>
          <w:color w:val="000000"/>
        </w:rPr>
        <w:t>, Next Best Action engines (#Turing), and agile planning sprints—to modernize marketing infrastructure and drastically reduce "time to value" for global brands.</w:t>
      </w:r>
    </w:p>
    <w:p w14:paraId="71D01A0A" w14:textId="77777777" w:rsidR="005B749B" w:rsidRDefault="005B749B">
      <w:pPr>
        <w:rPr>
          <w:rFonts w:ascii="Rockwell" w:hAnsi="Rockwell"/>
          <w:b/>
          <w:color w:val="000000"/>
          <w:sz w:val="24"/>
        </w:rPr>
      </w:pPr>
      <w:r>
        <w:rPr>
          <w:rFonts w:ascii="Rockwell" w:hAnsi="Rockwell"/>
          <w:b/>
          <w:color w:val="000000"/>
          <w:sz w:val="24"/>
        </w:rPr>
        <w:br w:type="page"/>
      </w:r>
    </w:p>
    <w:p w14:paraId="55B8A16C" w14:textId="1ED1CDC7" w:rsidR="00BD7076" w:rsidRPr="001A2276" w:rsidRDefault="00000000">
      <w:pPr>
        <w:rPr>
          <w:sz w:val="28"/>
          <w:szCs w:val="28"/>
        </w:rPr>
      </w:pPr>
      <w:r w:rsidRPr="001A2276">
        <w:rPr>
          <w:rFonts w:ascii="Rockwell" w:hAnsi="Rockwell"/>
          <w:b/>
          <w:color w:val="000000"/>
          <w:sz w:val="32"/>
          <w:szCs w:val="28"/>
        </w:rPr>
        <w:lastRenderedPageBreak/>
        <w:t>PROFESSIONAL EXPERIENCE</w:t>
      </w:r>
    </w:p>
    <w:p w14:paraId="27159C67" w14:textId="77777777" w:rsidR="00BD7076" w:rsidRDefault="00000000">
      <w:r>
        <w:rPr>
          <w:rFonts w:ascii="Rockwell" w:hAnsi="Rockwell"/>
          <w:b/>
          <w:color w:val="000000"/>
        </w:rPr>
        <w:t>Sanofi | Associate Director, Omnichannel Engagement Lead | 2024-Present</w:t>
      </w:r>
    </w:p>
    <w:p w14:paraId="031DF20A" w14:textId="28A39810" w:rsidR="00BD7076" w:rsidRDefault="00000000">
      <w:pPr>
        <w:pStyle w:val="ListBullet"/>
      </w:pPr>
      <w:r>
        <w:rPr>
          <w:rFonts w:ascii="Rockwell" w:hAnsi="Rockwell"/>
          <w:color w:val="000000"/>
        </w:rPr>
        <w:t xml:space="preserve">Achieved 35%+ US/France penetration and 90% Spain penetration for </w:t>
      </w:r>
      <w:r w:rsidR="00F31885">
        <w:rPr>
          <w:rFonts w:ascii="Rockwell" w:hAnsi="Rockwell"/>
          <w:color w:val="000000"/>
        </w:rPr>
        <w:t>BEYFORTUS</w:t>
      </w:r>
      <w:r>
        <w:rPr>
          <w:rFonts w:ascii="Rockwell" w:hAnsi="Rockwell"/>
          <w:color w:val="000000"/>
        </w:rPr>
        <w:t xml:space="preserve"> ($1.8B+ first-year revenue) within 18 months</w:t>
      </w:r>
      <w:r w:rsidR="00F31885">
        <w:rPr>
          <w:rFonts w:ascii="Rockwell" w:hAnsi="Rockwell"/>
          <w:color w:val="000000"/>
        </w:rPr>
        <w:t xml:space="preserve"> through DTC</w:t>
      </w:r>
      <w:r w:rsidR="00AF2F12">
        <w:rPr>
          <w:rFonts w:ascii="Rockwell" w:hAnsi="Rockwell"/>
          <w:color w:val="000000"/>
        </w:rPr>
        <w:t xml:space="preserve">, </w:t>
      </w:r>
      <w:r w:rsidR="00F31885">
        <w:rPr>
          <w:rFonts w:ascii="Rockwell" w:hAnsi="Rockwell"/>
          <w:color w:val="000000"/>
        </w:rPr>
        <w:t>HCP and field force engagement</w:t>
      </w:r>
      <w:r>
        <w:rPr>
          <w:rFonts w:ascii="Rockwell" w:hAnsi="Rockwell"/>
          <w:color w:val="000000"/>
        </w:rPr>
        <w:t>.</w:t>
      </w:r>
    </w:p>
    <w:p w14:paraId="2EDB1C36" w14:textId="7E392425" w:rsidR="00BD7076" w:rsidRDefault="005B749B">
      <w:pPr>
        <w:pStyle w:val="ListBullet"/>
      </w:pPr>
      <w:r w:rsidRPr="005B749B">
        <w:rPr>
          <w:rFonts w:ascii="Rockwell" w:hAnsi="Rockwell"/>
          <w:color w:val="000000"/>
        </w:rPr>
        <w:t xml:space="preserve">Designed and implemented a governance model for Sanofi Vaccines, </w:t>
      </w:r>
      <w:r>
        <w:rPr>
          <w:rFonts w:ascii="Rockwell" w:hAnsi="Rockwell"/>
          <w:color w:val="000000"/>
        </w:rPr>
        <w:t>prioritizing</w:t>
      </w:r>
      <w:r w:rsidRPr="005B749B">
        <w:rPr>
          <w:rFonts w:ascii="Rockwell" w:hAnsi="Rockwell"/>
          <w:color w:val="000000"/>
        </w:rPr>
        <w:t xml:space="preserve"> brands (Flu, RSV, COVID, </w:t>
      </w:r>
      <w:proofErr w:type="spellStart"/>
      <w:r w:rsidRPr="005B749B">
        <w:rPr>
          <w:rFonts w:ascii="Rockwell" w:hAnsi="Rockwell"/>
          <w:color w:val="000000"/>
        </w:rPr>
        <w:t>MenQuadFi</w:t>
      </w:r>
      <w:proofErr w:type="spellEnd"/>
      <w:r w:rsidRPr="005B749B">
        <w:rPr>
          <w:rFonts w:ascii="Rockwell" w:hAnsi="Rockwell"/>
          <w:color w:val="000000"/>
        </w:rPr>
        <w:t>) through</w:t>
      </w:r>
      <w:r>
        <w:rPr>
          <w:rFonts w:ascii="Rockwell" w:hAnsi="Rockwell"/>
          <w:color w:val="000000"/>
        </w:rPr>
        <w:t xml:space="preserve"> unified</w:t>
      </w:r>
      <w:r w:rsidRPr="005B749B">
        <w:rPr>
          <w:rFonts w:ascii="Rockwell" w:hAnsi="Rockwell"/>
          <w:color w:val="000000"/>
        </w:rPr>
        <w:t xml:space="preserve"> segmentation, and account-based marketing system that reduced overlap, optimized resource allocation, and delivered portfolio-level ROI.</w:t>
      </w:r>
    </w:p>
    <w:p w14:paraId="7CF3342B" w14:textId="3BD28412" w:rsidR="00BD7076" w:rsidRPr="005B749B" w:rsidRDefault="00000000">
      <w:pPr>
        <w:pStyle w:val="ListBullet"/>
        <w:rPr>
          <w:rFonts w:ascii="Rockwell" w:hAnsi="Rockwell"/>
        </w:rPr>
      </w:pPr>
      <w:r>
        <w:rPr>
          <w:rFonts w:ascii="Rockwell" w:hAnsi="Rockwell"/>
          <w:color w:val="000000"/>
        </w:rPr>
        <w:t xml:space="preserve">Redefined customer segmentation and engagement path for sales and marketing teams, </w:t>
      </w:r>
      <w:r w:rsidRPr="005B749B">
        <w:rPr>
          <w:rFonts w:ascii="Rockwell" w:hAnsi="Rockwell"/>
          <w:color w:val="000000"/>
        </w:rPr>
        <w:t xml:space="preserve">improving HCP-patient </w:t>
      </w:r>
      <w:r w:rsidR="00AF2F12" w:rsidRPr="005B749B">
        <w:rPr>
          <w:rFonts w:ascii="Rockwell" w:hAnsi="Rockwell"/>
          <w:color w:val="000000"/>
        </w:rPr>
        <w:t>conversion</w:t>
      </w:r>
      <w:r w:rsidRPr="005B749B">
        <w:rPr>
          <w:rFonts w:ascii="Rockwell" w:hAnsi="Rockwell"/>
          <w:color w:val="000000"/>
        </w:rPr>
        <w:t>.</w:t>
      </w:r>
    </w:p>
    <w:p w14:paraId="57209842" w14:textId="117BC3BD" w:rsidR="005B749B" w:rsidRPr="005B749B" w:rsidRDefault="005B749B">
      <w:pPr>
        <w:pStyle w:val="ListBullet"/>
        <w:rPr>
          <w:rFonts w:ascii="Rockwell" w:hAnsi="Rockwell"/>
        </w:rPr>
      </w:pPr>
      <w:r w:rsidRPr="005B749B">
        <w:rPr>
          <w:rFonts w:ascii="Rockwell" w:hAnsi="Rockwell"/>
        </w:rPr>
        <w:t>Scaled innovative capabilities—including GenAI (DAI VINCI), Next Best Action engines (Turing, Salesforce, Veeva), and agile planning sprints—to modernize marketing infrastructure and drastically reduce "time to value" for global brands.</w:t>
      </w:r>
    </w:p>
    <w:p w14:paraId="19256303" w14:textId="77777777" w:rsidR="00BD7076" w:rsidRDefault="00000000">
      <w:r>
        <w:rPr>
          <w:rFonts w:ascii="Rockwell" w:hAnsi="Rockwell"/>
          <w:b/>
          <w:color w:val="000000"/>
        </w:rPr>
        <w:t>MKG/SOUND HC | SVP, Omnichannel Strategy | 2021-2023</w:t>
      </w:r>
    </w:p>
    <w:p w14:paraId="4A543AA3" w14:textId="2B930690" w:rsidR="00BD7076" w:rsidRDefault="00000000">
      <w:pPr>
        <w:pStyle w:val="ListBullet"/>
      </w:pPr>
      <w:r>
        <w:rPr>
          <w:rFonts w:ascii="Rockwell" w:hAnsi="Rockwell"/>
          <w:color w:val="000000"/>
        </w:rPr>
        <w:t xml:space="preserve">Built </w:t>
      </w:r>
      <w:r w:rsidR="00F94F98">
        <w:rPr>
          <w:rFonts w:ascii="Rockwell" w:hAnsi="Rockwell"/>
          <w:color w:val="000000"/>
        </w:rPr>
        <w:t xml:space="preserve">omnichannel </w:t>
      </w:r>
      <w:r>
        <w:rPr>
          <w:rFonts w:ascii="Rockwell" w:hAnsi="Rockwell"/>
          <w:color w:val="000000"/>
        </w:rPr>
        <w:t>strategy practice from zero into key revenue driver that contributed directly to MKG Holdings acquisition.</w:t>
      </w:r>
    </w:p>
    <w:p w14:paraId="1C5A632C" w14:textId="77777777" w:rsidR="00BD7076" w:rsidRDefault="00000000">
      <w:pPr>
        <w:pStyle w:val="ListBullet"/>
      </w:pPr>
      <w:r>
        <w:rPr>
          <w:rFonts w:ascii="Rockwell" w:hAnsi="Rockwell"/>
          <w:color w:val="000000"/>
        </w:rPr>
        <w:t>Designed integrated brand narrative and DTC positioning for Apellis EMPAVELI (APDS rare disease), translating complex genetic evidence into patient identification and engagement.</w:t>
      </w:r>
    </w:p>
    <w:p w14:paraId="529B4E4C" w14:textId="788364F2" w:rsidR="00BD7076" w:rsidRDefault="00000000">
      <w:pPr>
        <w:pStyle w:val="ListBullet"/>
      </w:pPr>
      <w:r>
        <w:rPr>
          <w:rFonts w:ascii="Rockwell" w:hAnsi="Rockwell"/>
          <w:color w:val="000000"/>
        </w:rPr>
        <w:t xml:space="preserve">Developed patient </w:t>
      </w:r>
      <w:r w:rsidR="005B749B">
        <w:rPr>
          <w:rFonts w:ascii="Rockwell" w:hAnsi="Rockwell"/>
          <w:color w:val="000000"/>
        </w:rPr>
        <w:t>strategy</w:t>
      </w:r>
      <w:r>
        <w:rPr>
          <w:rFonts w:ascii="Rockwell" w:hAnsi="Rockwell"/>
          <w:color w:val="000000"/>
        </w:rPr>
        <w:t xml:space="preserve"> for </w:t>
      </w:r>
      <w:proofErr w:type="spellStart"/>
      <w:r>
        <w:rPr>
          <w:rFonts w:ascii="Rockwell" w:hAnsi="Rockwell"/>
          <w:color w:val="000000"/>
        </w:rPr>
        <w:t>Joenja</w:t>
      </w:r>
      <w:proofErr w:type="spellEnd"/>
      <w:r>
        <w:rPr>
          <w:rFonts w:ascii="Rockwell" w:hAnsi="Rockwell"/>
          <w:color w:val="000000"/>
        </w:rPr>
        <w:t xml:space="preserve"> (APDS), identifying barriers and decision triggers that connect disease education to brand engagement.</w:t>
      </w:r>
    </w:p>
    <w:p w14:paraId="454C343F" w14:textId="77777777" w:rsidR="00BD7076" w:rsidRDefault="00000000">
      <w:r>
        <w:rPr>
          <w:rFonts w:ascii="Rockwell" w:hAnsi="Rockwell"/>
          <w:b/>
          <w:color w:val="000000"/>
        </w:rPr>
        <w:t>HAVAS/ARNOLD | EVP, Brand Strategy | 2017-2018</w:t>
      </w:r>
    </w:p>
    <w:p w14:paraId="177D37F2" w14:textId="77777777" w:rsidR="00BD7076" w:rsidRDefault="00000000">
      <w:pPr>
        <w:pStyle w:val="ListBullet"/>
      </w:pPr>
      <w:r>
        <w:rPr>
          <w:rFonts w:ascii="Rockwell" w:hAnsi="Rockwell"/>
          <w:color w:val="000000"/>
        </w:rPr>
        <w:t>Built unified brand narrative for Sanofi/Regeneron DUPIXENT ($10B+ market leader) connecting clinical evidence across dermatology, immunology, and respiratory into single competitive story.</w:t>
      </w:r>
    </w:p>
    <w:p w14:paraId="5488606E" w14:textId="77777777" w:rsidR="005B749B" w:rsidRPr="005B749B" w:rsidRDefault="005B749B">
      <w:pPr>
        <w:pStyle w:val="ListBullet"/>
      </w:pPr>
      <w:r w:rsidRPr="005B749B">
        <w:rPr>
          <w:rFonts w:ascii="Rockwell" w:hAnsi="Rockwell"/>
          <w:color w:val="000000"/>
        </w:rPr>
        <w:t>Created cross-indication brand positioning for Dupixent that led to blockbuster sales and the award-winning "Du More" campaign</w:t>
      </w:r>
    </w:p>
    <w:p w14:paraId="6918FE2C" w14:textId="2CC180CB" w:rsidR="00BD7076" w:rsidRDefault="00000000">
      <w:pPr>
        <w:pStyle w:val="ListBullet"/>
      </w:pPr>
      <w:r w:rsidRPr="005B749B">
        <w:rPr>
          <w:rFonts w:ascii="Rockwell" w:hAnsi="Rockwell"/>
          <w:color w:val="000000"/>
        </w:rPr>
        <w:t xml:space="preserve">Led integrated brand and DTC strategy for Amgen AIMOVIG ('I'm Here' campaign) </w:t>
      </w:r>
    </w:p>
    <w:p w14:paraId="7EDBC4EF" w14:textId="633C778B" w:rsidR="00BD7076" w:rsidRPr="00AB31E7" w:rsidRDefault="00000000">
      <w:pPr>
        <w:rPr>
          <w:rFonts w:ascii="Rockwell" w:hAnsi="Rockwell"/>
          <w:b/>
          <w:color w:val="000000"/>
        </w:rPr>
      </w:pPr>
      <w:r>
        <w:rPr>
          <w:rFonts w:ascii="Rockwell" w:hAnsi="Rockwell"/>
          <w:b/>
          <w:color w:val="000000"/>
        </w:rPr>
        <w:t>IPG/FCB HEALTH | SVP, Engagement</w:t>
      </w:r>
      <w:r w:rsidR="00F94F98">
        <w:rPr>
          <w:rFonts w:ascii="Rockwell" w:hAnsi="Rockwell"/>
          <w:b/>
          <w:color w:val="000000"/>
        </w:rPr>
        <w:t xml:space="preserve"> Strategy</w:t>
      </w:r>
      <w:r>
        <w:rPr>
          <w:rFonts w:ascii="Rockwell" w:hAnsi="Rockwell"/>
          <w:b/>
          <w:color w:val="000000"/>
        </w:rPr>
        <w:t xml:space="preserve"> | 2010-2017</w:t>
      </w:r>
    </w:p>
    <w:p w14:paraId="501EF4B1" w14:textId="5D6B12C8" w:rsidR="00BD7076" w:rsidRDefault="00000000">
      <w:pPr>
        <w:pStyle w:val="ListBullet"/>
      </w:pPr>
      <w:r>
        <w:rPr>
          <w:rFonts w:ascii="Rockwell" w:hAnsi="Rockwell"/>
          <w:color w:val="000000"/>
        </w:rPr>
        <w:t xml:space="preserve">Built </w:t>
      </w:r>
      <w:r w:rsidR="00F94F98">
        <w:rPr>
          <w:rFonts w:ascii="Rockwell" w:hAnsi="Rockwell"/>
          <w:color w:val="000000"/>
        </w:rPr>
        <w:t xml:space="preserve">engagement </w:t>
      </w:r>
      <w:r>
        <w:rPr>
          <w:rFonts w:ascii="Rockwell" w:hAnsi="Rockwell"/>
          <w:color w:val="000000"/>
        </w:rPr>
        <w:t xml:space="preserve">strategy </w:t>
      </w:r>
      <w:r w:rsidR="00F94F98">
        <w:rPr>
          <w:rFonts w:ascii="Rockwell" w:hAnsi="Rockwell"/>
          <w:color w:val="000000"/>
        </w:rPr>
        <w:t xml:space="preserve">group </w:t>
      </w:r>
      <w:r>
        <w:rPr>
          <w:rFonts w:ascii="Rockwell" w:hAnsi="Rockwell"/>
          <w:color w:val="000000"/>
        </w:rPr>
        <w:t>from zero. Guided 20+ disease launches across rare disease (</w:t>
      </w:r>
      <w:proofErr w:type="spellStart"/>
      <w:r w:rsidR="00F94F98">
        <w:rPr>
          <w:rFonts w:ascii="Rockwell" w:hAnsi="Rockwell"/>
          <w:color w:val="000000"/>
        </w:rPr>
        <w:t>Orkambi</w:t>
      </w:r>
      <w:proofErr w:type="spellEnd"/>
      <w:r w:rsidR="00F94F98">
        <w:rPr>
          <w:rFonts w:ascii="Rockwell" w:hAnsi="Rockwell"/>
          <w:color w:val="000000"/>
        </w:rPr>
        <w:t xml:space="preserve"> - </w:t>
      </w:r>
      <w:r>
        <w:rPr>
          <w:rFonts w:ascii="Rockwell" w:hAnsi="Rockwell"/>
          <w:color w:val="000000"/>
        </w:rPr>
        <w:t>cystic fibrosis) and multi-indication platforms.</w:t>
      </w:r>
    </w:p>
    <w:p w14:paraId="4E9E0B7B" w14:textId="430ACF5C" w:rsidR="00BD7076" w:rsidRDefault="00000000">
      <w:pPr>
        <w:pStyle w:val="ListBullet"/>
      </w:pPr>
      <w:r>
        <w:rPr>
          <w:rFonts w:ascii="Rockwell" w:hAnsi="Rockwell"/>
          <w:color w:val="000000"/>
        </w:rPr>
        <w:t>Owned brand narrative for NARCAN (naloxone) category-defining launch. Architected multi-stakeholder engagement spanning HCPs, community organizations, influencers, and patients.</w:t>
      </w:r>
    </w:p>
    <w:p w14:paraId="202B5E14" w14:textId="77777777" w:rsidR="00BD7076" w:rsidRDefault="00000000">
      <w:pPr>
        <w:pStyle w:val="ListBullet"/>
      </w:pPr>
      <w:r>
        <w:rPr>
          <w:rFonts w:ascii="Rockwell" w:hAnsi="Rockwell"/>
          <w:color w:val="000000"/>
        </w:rPr>
        <w:t>Designed patient journey framework for NARCAN that enabled successful market penetration in fragmented opioid overdose ecosystem.</w:t>
      </w:r>
    </w:p>
    <w:p w14:paraId="2F62242D" w14:textId="4E56921D" w:rsidR="00BD7076" w:rsidRDefault="00000000">
      <w:pPr>
        <w:pStyle w:val="ListBullet"/>
      </w:pPr>
      <w:r>
        <w:rPr>
          <w:rFonts w:ascii="Rockwell" w:hAnsi="Rockwell"/>
          <w:color w:val="000000"/>
        </w:rPr>
        <w:t>Led strategy for Novartis UTIBRON, J&amp;J LISTERINE</w:t>
      </w:r>
      <w:r w:rsidR="00F94F98">
        <w:rPr>
          <w:rFonts w:ascii="Rockwell" w:hAnsi="Rockwell"/>
          <w:color w:val="000000"/>
        </w:rPr>
        <w:t xml:space="preserve">, </w:t>
      </w:r>
      <w:r>
        <w:rPr>
          <w:rFonts w:ascii="Rockwell" w:hAnsi="Rockwell"/>
          <w:color w:val="000000"/>
        </w:rPr>
        <w:t>ACUVUE, BRAVECTO, and VIEKIRA PAK.</w:t>
      </w:r>
    </w:p>
    <w:p w14:paraId="63129E40" w14:textId="77777777" w:rsidR="00BD7076" w:rsidRDefault="00000000">
      <w:pPr>
        <w:pStyle w:val="ListBullet"/>
      </w:pPr>
      <w:r>
        <w:rPr>
          <w:rFonts w:ascii="Rockwell" w:hAnsi="Rockwell"/>
          <w:color w:val="000000"/>
        </w:rPr>
        <w:t>Created Novartis mobile center of excellence (mCoE) and first pharma hackathon for ENTRESTO, resulting in 100+ technology partnerships.</w:t>
      </w:r>
    </w:p>
    <w:p w14:paraId="5C4DD72A" w14:textId="77777777" w:rsidR="00BD7076" w:rsidRPr="00167CB0" w:rsidRDefault="00000000">
      <w:pPr>
        <w:pStyle w:val="ListBullet"/>
      </w:pPr>
      <w:r>
        <w:rPr>
          <w:rFonts w:ascii="Rockwell" w:hAnsi="Rockwell"/>
          <w:color w:val="000000"/>
        </w:rPr>
        <w:t>Moved ICC accounts off 30-day review, restored profitability, and achieved 100% client retention improvement during IPG transition.</w:t>
      </w:r>
    </w:p>
    <w:p w14:paraId="586C1654" w14:textId="14DE39D4" w:rsidR="00167CB0" w:rsidRPr="00167CB0" w:rsidRDefault="00167CB0">
      <w:pPr>
        <w:pStyle w:val="ListBullet"/>
        <w:rPr>
          <w:rFonts w:ascii="Rockwell" w:hAnsi="Rockwell"/>
        </w:rPr>
      </w:pPr>
      <w:r w:rsidRPr="00167CB0">
        <w:rPr>
          <w:rFonts w:ascii="Rockwell" w:hAnsi="Rockwell"/>
        </w:rPr>
        <w:t xml:space="preserve">Witness to my </w:t>
      </w:r>
      <w:proofErr w:type="gramStart"/>
      <w:r w:rsidRPr="00167CB0">
        <w:rPr>
          <w:rFonts w:ascii="Rockwell" w:hAnsi="Rockwell"/>
        </w:rPr>
        <w:t>clients</w:t>
      </w:r>
      <w:proofErr w:type="gramEnd"/>
      <w:r w:rsidRPr="00167CB0">
        <w:rPr>
          <w:rFonts w:ascii="Rockwell" w:hAnsi="Rockwell"/>
        </w:rPr>
        <w:t xml:space="preserve"> civil marriage ceremony</w:t>
      </w:r>
    </w:p>
    <w:p w14:paraId="31443EE6" w14:textId="77777777" w:rsidR="00BD7076" w:rsidRDefault="00000000">
      <w:r>
        <w:rPr>
          <w:rFonts w:ascii="Rockwell" w:hAnsi="Rockwell"/>
          <w:b/>
          <w:color w:val="000000"/>
        </w:rPr>
        <w:lastRenderedPageBreak/>
        <w:t>Accenture/Boomerang | VP, Strategy &amp; Business Development | 2007-2010</w:t>
      </w:r>
    </w:p>
    <w:p w14:paraId="222DD2D3" w14:textId="43F47B5C" w:rsidR="00BD7076" w:rsidRDefault="00000000">
      <w:pPr>
        <w:pStyle w:val="ListBullet"/>
      </w:pPr>
      <w:r>
        <w:rPr>
          <w:rFonts w:ascii="Rockwell" w:hAnsi="Rockwell"/>
          <w:color w:val="000000"/>
        </w:rPr>
        <w:t>Scaled consulting firm from 3 people and $250K</w:t>
      </w:r>
      <w:r w:rsidR="007B4986">
        <w:rPr>
          <w:rFonts w:ascii="Rockwell" w:hAnsi="Rockwell"/>
          <w:color w:val="000000"/>
        </w:rPr>
        <w:t xml:space="preserve"> in SEM</w:t>
      </w:r>
      <w:r>
        <w:rPr>
          <w:rFonts w:ascii="Rockwell" w:hAnsi="Rockwell"/>
          <w:color w:val="000000"/>
        </w:rPr>
        <w:t xml:space="preserve"> revenue to 30 people and $6M revenue in less than 3 years</w:t>
      </w:r>
      <w:r w:rsidR="007B4986">
        <w:rPr>
          <w:rFonts w:ascii="Rockwell" w:hAnsi="Rockwell"/>
          <w:color w:val="000000"/>
        </w:rPr>
        <w:t xml:space="preserve"> with 3 AOR accounts from Novartis Consumer Health, Gerber and Nestle</w:t>
      </w:r>
      <w:r>
        <w:rPr>
          <w:rFonts w:ascii="Rockwell" w:hAnsi="Rockwell"/>
          <w:color w:val="000000"/>
        </w:rPr>
        <w:t>.</w:t>
      </w:r>
    </w:p>
    <w:p w14:paraId="52FDB740" w14:textId="41009F1E" w:rsidR="00BD7076" w:rsidRDefault="00000000">
      <w:pPr>
        <w:pStyle w:val="ListBullet"/>
      </w:pPr>
      <w:r>
        <w:rPr>
          <w:rFonts w:ascii="Rockwell" w:hAnsi="Rockwell"/>
          <w:color w:val="000000"/>
        </w:rPr>
        <w:t xml:space="preserve">Built </w:t>
      </w:r>
      <w:r w:rsidR="00F94F98">
        <w:rPr>
          <w:rFonts w:ascii="Rockwell" w:hAnsi="Rockwell"/>
          <w:color w:val="000000"/>
        </w:rPr>
        <w:t>strategic planning</w:t>
      </w:r>
      <w:r>
        <w:rPr>
          <w:rFonts w:ascii="Rockwell" w:hAnsi="Rockwell"/>
          <w:color w:val="000000"/>
        </w:rPr>
        <w:t xml:space="preserve"> </w:t>
      </w:r>
      <w:r w:rsidR="00F94F98">
        <w:rPr>
          <w:rFonts w:ascii="Rockwell" w:hAnsi="Rockwell"/>
          <w:color w:val="000000"/>
        </w:rPr>
        <w:t xml:space="preserve">and omnichannel strategy </w:t>
      </w:r>
      <w:r>
        <w:rPr>
          <w:rFonts w:ascii="Rockwell" w:hAnsi="Rockwell"/>
          <w:color w:val="000000"/>
        </w:rPr>
        <w:t>as core capability differentiator, directly enabling 10x growth and eventual acquisition by Accenture.</w:t>
      </w:r>
    </w:p>
    <w:p w14:paraId="6A6C00D8" w14:textId="30496B34" w:rsidR="00BD7076" w:rsidRDefault="00000000">
      <w:pPr>
        <w:pStyle w:val="ListBullet"/>
      </w:pPr>
      <w:r>
        <w:rPr>
          <w:rFonts w:ascii="Rockwell" w:hAnsi="Rockwell"/>
          <w:color w:val="000000"/>
        </w:rPr>
        <w:t xml:space="preserve">Created first OTC YouTube contest for </w:t>
      </w:r>
      <w:r w:rsidR="00167CB0">
        <w:rPr>
          <w:rFonts w:ascii="Rockwell" w:hAnsi="Rockwell"/>
          <w:color w:val="000000"/>
        </w:rPr>
        <w:t xml:space="preserve">the launch of </w:t>
      </w:r>
      <w:r>
        <w:rPr>
          <w:rFonts w:ascii="Rockwell" w:hAnsi="Rockwell"/>
          <w:color w:val="000000"/>
        </w:rPr>
        <w:t>Excedrin Express Gels, winning client OTC Marketer of the Year.</w:t>
      </w:r>
    </w:p>
    <w:p w14:paraId="4C693C34" w14:textId="394571C1" w:rsidR="00BD7076" w:rsidRDefault="00000000">
      <w:r>
        <w:rPr>
          <w:rFonts w:ascii="Rockwell" w:hAnsi="Rockwell"/>
          <w:b/>
          <w:color w:val="000000"/>
        </w:rPr>
        <w:t>WPP/Ogilvy | Senior Strategic Planner | 2004-2007</w:t>
      </w:r>
    </w:p>
    <w:p w14:paraId="5E0BA9F7" w14:textId="77777777" w:rsidR="007B4986" w:rsidRPr="007B4986" w:rsidRDefault="007B4986" w:rsidP="007B4986">
      <w:pPr>
        <w:pStyle w:val="ListParagraph"/>
        <w:numPr>
          <w:ilvl w:val="0"/>
          <w:numId w:val="10"/>
        </w:numPr>
        <w:ind w:left="360"/>
        <w:rPr>
          <w:rFonts w:ascii="Rockwell" w:hAnsi="Rockwell"/>
          <w:color w:val="000000"/>
        </w:rPr>
      </w:pPr>
      <w:r w:rsidRPr="007B4986">
        <w:rPr>
          <w:rFonts w:ascii="Rockwell" w:hAnsi="Rockwell"/>
          <w:color w:val="000000"/>
        </w:rPr>
        <w:t>Led a customer relationship marketing (CRM) practice specializing in patient and professional CRM programs.</w:t>
      </w:r>
      <w:r w:rsidRPr="007B4986">
        <w:rPr>
          <w:rFonts w:ascii="Rockwell" w:hAnsi="Rockwell"/>
          <w:color w:val="000000"/>
        </w:rPr>
        <w:t xml:space="preserve"> </w:t>
      </w:r>
    </w:p>
    <w:p w14:paraId="50D657C3" w14:textId="11AABC6F" w:rsidR="00BD7076" w:rsidRPr="001A2276" w:rsidRDefault="00000000">
      <w:pPr>
        <w:rPr>
          <w:sz w:val="28"/>
          <w:szCs w:val="28"/>
        </w:rPr>
      </w:pPr>
      <w:r w:rsidRPr="001A2276">
        <w:rPr>
          <w:rFonts w:ascii="Rockwell" w:hAnsi="Rockwell"/>
          <w:b/>
          <w:color w:val="000000"/>
          <w:sz w:val="32"/>
          <w:szCs w:val="28"/>
        </w:rPr>
        <w:t>KEY CAPABILITIES</w:t>
      </w:r>
    </w:p>
    <w:p w14:paraId="49F1AF54" w14:textId="77777777" w:rsidR="00BD7076" w:rsidRDefault="00000000">
      <w:pPr>
        <w:pStyle w:val="ListBullet"/>
      </w:pPr>
      <w:r>
        <w:rPr>
          <w:rFonts w:ascii="Rockwell" w:hAnsi="Rockwell"/>
          <w:color w:val="000000"/>
        </w:rPr>
        <w:t>Brand narrative leadership: Own narrative and messaging systems. Translate clinical complexity into clear, compelling stories. Align positioning across HCP, patient, and caregiver audiences.</w:t>
      </w:r>
    </w:p>
    <w:p w14:paraId="57DFFB09" w14:textId="77777777" w:rsidR="00BD7076" w:rsidRDefault="00000000">
      <w:pPr>
        <w:pStyle w:val="ListBullet"/>
      </w:pPr>
      <w:r>
        <w:rPr>
          <w:rFonts w:ascii="Rockwell" w:hAnsi="Rockwell"/>
          <w:color w:val="000000"/>
        </w:rPr>
        <w:t>Integrated branded and unbranded strategy: Connect disease education to brand engagement. Build ecosystems that move patients from awareness to action. Create unified narratives across evolving indications.</w:t>
      </w:r>
    </w:p>
    <w:p w14:paraId="46AE7A16" w14:textId="77777777" w:rsidR="00BD7076" w:rsidRDefault="00000000">
      <w:pPr>
        <w:pStyle w:val="ListBullet"/>
      </w:pPr>
      <w:r>
        <w:rPr>
          <w:rFonts w:ascii="Rockwell" w:hAnsi="Rockwell"/>
          <w:color w:val="000000"/>
        </w:rPr>
        <w:t>Patient-centered strategy and DTC: Design patient journeys and identify barriers and decision triggers. Improve HCP-patient conversations through strategic positioning.</w:t>
      </w:r>
    </w:p>
    <w:p w14:paraId="2E8E7476" w14:textId="77777777" w:rsidR="00BD7076" w:rsidRDefault="00000000">
      <w:pPr>
        <w:pStyle w:val="ListBullet"/>
      </w:pPr>
      <w:r>
        <w:rPr>
          <w:rFonts w:ascii="Rockwell" w:hAnsi="Rockwell"/>
          <w:color w:val="000000"/>
        </w:rPr>
        <w:t>Rare disease expertise: Multi-indication platform strategy, small patient population evidence translation, ultra-rare disease ecosystems, patient advocacy integration.</w:t>
      </w:r>
    </w:p>
    <w:p w14:paraId="2A169DDF" w14:textId="77777777" w:rsidR="00BD7076" w:rsidRDefault="00000000">
      <w:pPr>
        <w:pStyle w:val="ListBullet"/>
      </w:pPr>
      <w:r>
        <w:rPr>
          <w:rFonts w:ascii="Rockwell" w:hAnsi="Rockwell"/>
          <w:color w:val="000000"/>
        </w:rPr>
        <w:t>Systems thinking: Turn multi-stakeholder complexity into actionable frameworks. Connect disparate strategic elements into unified, coherent plans.</w:t>
      </w:r>
    </w:p>
    <w:p w14:paraId="40B34708" w14:textId="75C46B57" w:rsidR="00BD7076" w:rsidRPr="001A2276" w:rsidRDefault="00000000">
      <w:pPr>
        <w:rPr>
          <w:rFonts w:ascii="Rockwell" w:hAnsi="Rockwell"/>
          <w:b/>
          <w:color w:val="000000"/>
          <w:sz w:val="32"/>
          <w:szCs w:val="28"/>
        </w:rPr>
      </w:pPr>
      <w:r w:rsidRPr="001A2276">
        <w:rPr>
          <w:rFonts w:ascii="Rockwell" w:hAnsi="Rockwell"/>
          <w:b/>
          <w:color w:val="000000"/>
          <w:sz w:val="32"/>
          <w:szCs w:val="28"/>
        </w:rPr>
        <w:t>BRAND PORTFOLIO</w:t>
      </w:r>
    </w:p>
    <w:p w14:paraId="38B8E1A3" w14:textId="77777777" w:rsidR="00BD7076" w:rsidRDefault="00000000">
      <w:r>
        <w:rPr>
          <w:rFonts w:ascii="Rockwell" w:hAnsi="Rockwell"/>
          <w:color w:val="000000"/>
        </w:rPr>
        <w:t>DUPIXENT (multi-indication, $10B+) • BEYFORTUS ($1.8B) • NARCAN (category-defining) • ENTRESTO • GILENYA • UTIBRON • AIMOVIG • VIBERZI • JARDIANCE • EMPAVELI (APDS) • JOENJA (APDS) • LISTERINE • ACUVUE • BRAVECTO • SPIRIVA • VIEKIRA PAK • EXCEDRIN</w:t>
      </w:r>
    </w:p>
    <w:p w14:paraId="27B4FAFD" w14:textId="77777777" w:rsidR="00BD7076" w:rsidRPr="001A2276" w:rsidRDefault="00000000">
      <w:pPr>
        <w:rPr>
          <w:sz w:val="28"/>
          <w:szCs w:val="28"/>
        </w:rPr>
      </w:pPr>
      <w:r w:rsidRPr="001A2276">
        <w:rPr>
          <w:rFonts w:ascii="Rockwell" w:hAnsi="Rockwell"/>
          <w:b/>
          <w:color w:val="000000"/>
          <w:sz w:val="32"/>
          <w:szCs w:val="28"/>
        </w:rPr>
        <w:t>EDUCATION</w:t>
      </w:r>
    </w:p>
    <w:p w14:paraId="650D8E67" w14:textId="77777777" w:rsidR="00BD7076" w:rsidRDefault="00000000">
      <w:pPr>
        <w:pStyle w:val="ListBullet"/>
      </w:pPr>
      <w:r>
        <w:rPr>
          <w:rFonts w:ascii="Rockwell" w:hAnsi="Rockwell"/>
          <w:color w:val="000000"/>
        </w:rPr>
        <w:t>Bachelor's Degree in Marketing and Business Administration, Fairleigh Dickinson University</w:t>
      </w:r>
    </w:p>
    <w:p w14:paraId="541D0518" w14:textId="77777777" w:rsidR="00BD7076" w:rsidRDefault="00000000">
      <w:pPr>
        <w:pStyle w:val="ListBullet"/>
      </w:pPr>
      <w:r>
        <w:rPr>
          <w:rFonts w:ascii="Rockwell" w:hAnsi="Rockwell"/>
          <w:color w:val="000000"/>
        </w:rPr>
        <w:t>Six Sigma Yellow Belt</w:t>
      </w:r>
    </w:p>
    <w:sectPr w:rsidR="00BD7076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7C3C4F" w14:textId="77777777" w:rsidR="0024727C" w:rsidRDefault="0024727C" w:rsidP="00F94F98">
      <w:pPr>
        <w:spacing w:after="0" w:line="240" w:lineRule="auto"/>
      </w:pPr>
      <w:r>
        <w:separator/>
      </w:r>
    </w:p>
  </w:endnote>
  <w:endnote w:type="continuationSeparator" w:id="0">
    <w:p w14:paraId="01BCAD07" w14:textId="77777777" w:rsidR="0024727C" w:rsidRDefault="0024727C" w:rsidP="00F94F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Rockwell">
    <w:panose1 w:val="02060603020205020403"/>
    <w:charset w:val="4D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FD146F" w14:textId="77777777" w:rsidR="0024727C" w:rsidRDefault="0024727C" w:rsidP="00F94F98">
      <w:pPr>
        <w:spacing w:after="0" w:line="240" w:lineRule="auto"/>
      </w:pPr>
      <w:r>
        <w:separator/>
      </w:r>
    </w:p>
  </w:footnote>
  <w:footnote w:type="continuationSeparator" w:id="0">
    <w:p w14:paraId="0E1669FB" w14:textId="77777777" w:rsidR="0024727C" w:rsidRDefault="0024727C" w:rsidP="00F94F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CC2836"/>
    <w:multiLevelType w:val="hybridMultilevel"/>
    <w:tmpl w:val="ACE8A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9933879">
    <w:abstractNumId w:val="8"/>
  </w:num>
  <w:num w:numId="2" w16cid:durableId="2002155780">
    <w:abstractNumId w:val="6"/>
  </w:num>
  <w:num w:numId="3" w16cid:durableId="1739084650">
    <w:abstractNumId w:val="5"/>
  </w:num>
  <w:num w:numId="4" w16cid:durableId="989485290">
    <w:abstractNumId w:val="4"/>
  </w:num>
  <w:num w:numId="5" w16cid:durableId="1265458956">
    <w:abstractNumId w:val="7"/>
  </w:num>
  <w:num w:numId="6" w16cid:durableId="260265836">
    <w:abstractNumId w:val="3"/>
  </w:num>
  <w:num w:numId="7" w16cid:durableId="915943281">
    <w:abstractNumId w:val="2"/>
  </w:num>
  <w:num w:numId="8" w16cid:durableId="536771235">
    <w:abstractNumId w:val="1"/>
  </w:num>
  <w:num w:numId="9" w16cid:durableId="1744067190">
    <w:abstractNumId w:val="0"/>
  </w:num>
  <w:num w:numId="10" w16cid:durableId="32771246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7CB0"/>
    <w:rsid w:val="001A2276"/>
    <w:rsid w:val="0024727C"/>
    <w:rsid w:val="0029639D"/>
    <w:rsid w:val="00326F90"/>
    <w:rsid w:val="003D2AFA"/>
    <w:rsid w:val="0045006E"/>
    <w:rsid w:val="0050338F"/>
    <w:rsid w:val="005B749B"/>
    <w:rsid w:val="00662572"/>
    <w:rsid w:val="007B4986"/>
    <w:rsid w:val="008059EB"/>
    <w:rsid w:val="00950693"/>
    <w:rsid w:val="0097558D"/>
    <w:rsid w:val="00AA1D8D"/>
    <w:rsid w:val="00AB31E7"/>
    <w:rsid w:val="00AF2F12"/>
    <w:rsid w:val="00B47730"/>
    <w:rsid w:val="00BD7076"/>
    <w:rsid w:val="00C56234"/>
    <w:rsid w:val="00CB0664"/>
    <w:rsid w:val="00F31885"/>
    <w:rsid w:val="00F94F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42FAED"/>
  <w14:defaultImageDpi w14:val="300"/>
  <w15:docId w15:val="{6CD7D3B1-644F-CC47-B49B-070012C1F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758</Words>
  <Characters>5487</Characters>
  <Application>Microsoft Office Word</Application>
  <DocSecurity>0</DocSecurity>
  <Lines>93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Michael Pruskowski</cp:lastModifiedBy>
  <cp:revision>13</cp:revision>
  <dcterms:created xsi:type="dcterms:W3CDTF">2026-04-11T13:20:00Z</dcterms:created>
  <dcterms:modified xsi:type="dcterms:W3CDTF">2026-04-11T20:22:00Z</dcterms:modified>
  <cp:category/>
</cp:coreProperties>
</file>