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E12" w:rsidRDefault="00412751" w:rsidP="00412751">
      <w:pPr>
        <w:jc w:val="center"/>
        <w:rPr>
          <w:rFonts w:ascii="Sylfaen" w:hAnsi="Sylfaen"/>
          <w:b/>
          <w:sz w:val="28"/>
          <w:szCs w:val="28"/>
          <w:lang w:val="ka-GE"/>
        </w:rPr>
      </w:pPr>
      <w:r w:rsidRPr="00412751">
        <w:rPr>
          <w:rFonts w:ascii="Sylfaen" w:hAnsi="Sylfaen"/>
          <w:b/>
          <w:sz w:val="28"/>
          <w:szCs w:val="28"/>
          <w:lang w:val="ka-GE"/>
        </w:rPr>
        <w:t>ენდომეტრიოზის  მკურნალობის გრძელვადიანი შესაძლებლობები ახალგაზრდა ასაკის ქალებში</w:t>
      </w:r>
    </w:p>
    <w:p w:rsidR="00412751" w:rsidRDefault="00B77FC8" w:rsidP="00412751">
      <w:pPr>
        <w:jc w:val="center"/>
        <w:rPr>
          <w:rFonts w:ascii="Sylfaen" w:hAnsi="Sylfaen"/>
          <w:b/>
          <w:sz w:val="24"/>
          <w:szCs w:val="28"/>
          <w:lang w:val="ka-GE"/>
        </w:rPr>
      </w:pPr>
      <w:r w:rsidRPr="00B77FC8">
        <w:rPr>
          <w:rFonts w:ascii="Sylfaen" w:hAnsi="Sylfaen"/>
          <w:b/>
          <w:sz w:val="24"/>
          <w:szCs w:val="28"/>
          <w:lang w:val="ka-GE"/>
        </w:rPr>
        <w:t>მანანა გეგეჭკორი</w:t>
      </w:r>
    </w:p>
    <w:p w:rsidR="00B77FC8" w:rsidRDefault="00B77FC8" w:rsidP="00412751">
      <w:pPr>
        <w:jc w:val="center"/>
        <w:rPr>
          <w:rFonts w:ascii="Sylfaen" w:hAnsi="Sylfaen"/>
          <w:b/>
          <w:sz w:val="24"/>
          <w:szCs w:val="28"/>
          <w:lang w:val="ka-GE"/>
        </w:rPr>
      </w:pPr>
      <w:r>
        <w:rPr>
          <w:rFonts w:ascii="Sylfaen" w:hAnsi="Sylfaen"/>
          <w:b/>
          <w:sz w:val="24"/>
          <w:szCs w:val="28"/>
          <w:lang w:val="ka-GE"/>
        </w:rPr>
        <w:t>თსსუ პროფესორი</w:t>
      </w:r>
    </w:p>
    <w:p w:rsidR="00B77FC8" w:rsidRPr="00B77FC8" w:rsidRDefault="00B77FC8" w:rsidP="00412751">
      <w:pPr>
        <w:jc w:val="center"/>
        <w:rPr>
          <w:rFonts w:ascii="Sylfaen" w:hAnsi="Sylfaen"/>
          <w:b/>
          <w:sz w:val="24"/>
          <w:szCs w:val="28"/>
          <w:lang w:val="ka-GE"/>
        </w:rPr>
      </w:pPr>
      <w:r>
        <w:rPr>
          <w:rFonts w:ascii="Sylfaen" w:hAnsi="Sylfaen"/>
          <w:b/>
          <w:sz w:val="24"/>
          <w:szCs w:val="28"/>
          <w:lang w:val="ka-GE"/>
        </w:rPr>
        <w:t xml:space="preserve">ზურაბ საბახტარაშვილის რეპროდუქციული კლინიკა </w:t>
      </w:r>
    </w:p>
    <w:p w:rsidR="00F035E0" w:rsidRDefault="00F035E0"/>
    <w:p w:rsidR="00F035E0" w:rsidRDefault="00443A02">
      <w:pPr>
        <w:rPr>
          <w:rFonts w:ascii="Sylfaen" w:hAnsi="Sylfaen"/>
          <w:lang w:val="ka-GE"/>
        </w:rPr>
      </w:pPr>
      <w:r>
        <w:rPr>
          <w:rFonts w:ascii="Sylfaen" w:hAnsi="Sylfaen"/>
          <w:lang w:val="ka-GE"/>
        </w:rPr>
        <w:t xml:space="preserve">        </w:t>
      </w:r>
      <w:r w:rsidR="00F035E0" w:rsidRPr="00F035E0">
        <w:rPr>
          <w:rFonts w:ascii="Sylfaen" w:hAnsi="Sylfaen"/>
          <w:lang w:val="ka-GE"/>
        </w:rPr>
        <w:t xml:space="preserve">ენდომეტრიოზი არის </w:t>
      </w:r>
      <w:r w:rsidR="00F035E0">
        <w:rPr>
          <w:rFonts w:ascii="Sylfaen" w:hAnsi="Sylfaen"/>
          <w:lang w:val="ka-GE"/>
        </w:rPr>
        <w:t xml:space="preserve"> ქრონიკული, ანთებითი,  ხანგრძლივად მიმდინარე  დაავადება, რომელიც მკვეთრად აისახება  ქალის ცხოვრების ხარისხზე</w:t>
      </w:r>
      <w:r w:rsidR="009F4132">
        <w:rPr>
          <w:rFonts w:ascii="Sylfaen" w:hAnsi="Sylfaen"/>
          <w:lang w:val="ka-GE"/>
        </w:rPr>
        <w:t xml:space="preserve">  ორი ძირითადი პრობლემის მიხედვით - ტკივილის სინდრომი და ინფერტილობა . </w:t>
      </w:r>
      <w:r w:rsidR="00F035E0">
        <w:rPr>
          <w:rFonts w:ascii="Sylfaen" w:hAnsi="Sylfaen"/>
          <w:lang w:val="ka-GE"/>
        </w:rPr>
        <w:t xml:space="preserve">დაავადების ინიციაცია იწყება გაცილებით ადრე, ვიდრე </w:t>
      </w:r>
      <w:r w:rsidR="00393573">
        <w:rPr>
          <w:rFonts w:ascii="Sylfaen" w:hAnsi="Sylfaen"/>
          <w:lang w:val="ka-GE"/>
        </w:rPr>
        <w:t xml:space="preserve">მისი სრული კლინიკური მანიფესტაცია. </w:t>
      </w:r>
    </w:p>
    <w:p w:rsidR="00F035E0" w:rsidRDefault="00F035E0">
      <w:pPr>
        <w:rPr>
          <w:rFonts w:ascii="Sylfaen" w:hAnsi="Sylfaen"/>
          <w:lang w:val="ka-GE"/>
        </w:rPr>
      </w:pPr>
      <w:r>
        <w:rPr>
          <w:rFonts w:ascii="Sylfaen" w:hAnsi="Sylfaen"/>
          <w:lang w:val="ka-GE"/>
        </w:rPr>
        <w:t xml:space="preserve">       ენდომეტრიოზის </w:t>
      </w:r>
      <w:r w:rsidR="00B77FC8">
        <w:rPr>
          <w:rFonts w:ascii="Sylfaen" w:hAnsi="Sylfaen"/>
          <w:lang w:val="ka-GE"/>
        </w:rPr>
        <w:t>მკურნალობაში</w:t>
      </w:r>
      <w:r w:rsidR="00393573">
        <w:rPr>
          <w:rFonts w:ascii="Sylfaen" w:hAnsi="Sylfaen"/>
          <w:lang w:val="ka-GE"/>
        </w:rPr>
        <w:t xml:space="preserve"> </w:t>
      </w:r>
      <w:r>
        <w:rPr>
          <w:rFonts w:ascii="Sylfaen" w:hAnsi="Sylfaen"/>
          <w:lang w:val="ka-GE"/>
        </w:rPr>
        <w:t xml:space="preserve"> </w:t>
      </w:r>
      <w:r w:rsidR="00393573">
        <w:rPr>
          <w:rFonts w:ascii="Sylfaen" w:hAnsi="Sylfaen"/>
          <w:lang w:val="ka-GE"/>
        </w:rPr>
        <w:t xml:space="preserve">მიღწევების მიუხედავად, </w:t>
      </w:r>
      <w:r>
        <w:rPr>
          <w:rFonts w:ascii="Sylfaen" w:hAnsi="Sylfaen"/>
          <w:lang w:val="ka-GE"/>
        </w:rPr>
        <w:t xml:space="preserve"> </w:t>
      </w:r>
      <w:r w:rsidR="00393573">
        <w:rPr>
          <w:rFonts w:ascii="Sylfaen" w:hAnsi="Sylfaen"/>
          <w:lang w:val="ka-GE"/>
        </w:rPr>
        <w:t xml:space="preserve">კლინიკურ მართვაში  ბევრი კითხვის ნიშანია. მეტწილად ეს ეხება ახალგაზრდა ასაკის ქალებს, მოზარდობის პერიოდიდან. ამ კატეგორიის პაციენტებისთვის   მნიშვნელოვანია  დაავადების პროგრესის პრევენცია, ქირურგიული ჩარევის </w:t>
      </w:r>
      <w:r w:rsidR="00443A02">
        <w:rPr>
          <w:rFonts w:ascii="Sylfaen" w:hAnsi="Sylfaen"/>
          <w:lang w:val="ka-GE"/>
        </w:rPr>
        <w:t xml:space="preserve"> მინიმიზაცია, ტკივილის რაციონალური და სრულყოფილი მართვა და </w:t>
      </w:r>
      <w:r w:rsidR="00393573">
        <w:rPr>
          <w:rFonts w:ascii="Sylfaen" w:hAnsi="Sylfaen"/>
          <w:lang w:val="ka-GE"/>
        </w:rPr>
        <w:t xml:space="preserve"> რეპროდუქციული პოტენციალის შენარჩუნება</w:t>
      </w:r>
      <w:r w:rsidR="00443A02">
        <w:rPr>
          <w:rFonts w:ascii="Sylfaen" w:hAnsi="Sylfaen"/>
          <w:lang w:val="ka-GE"/>
        </w:rPr>
        <w:t xml:space="preserve">. </w:t>
      </w:r>
      <w:r w:rsidR="0018499E">
        <w:rPr>
          <w:rFonts w:ascii="Sylfaen" w:hAnsi="Sylfaen"/>
          <w:lang w:val="ka-GE"/>
        </w:rPr>
        <w:t xml:space="preserve"> </w:t>
      </w:r>
    </w:p>
    <w:p w:rsidR="00412751" w:rsidRDefault="0018499E">
      <w:pPr>
        <w:rPr>
          <w:rFonts w:ascii="Sylfaen" w:hAnsi="Sylfaen"/>
          <w:lang w:val="ka-GE"/>
        </w:rPr>
      </w:pPr>
      <w:r>
        <w:rPr>
          <w:rFonts w:ascii="Sylfaen" w:hAnsi="Sylfaen"/>
          <w:lang w:val="ka-GE"/>
        </w:rPr>
        <w:t xml:space="preserve">    </w:t>
      </w:r>
      <w:r w:rsidR="00B11A9B">
        <w:rPr>
          <w:rFonts w:ascii="Sylfaen" w:hAnsi="Sylfaen"/>
          <w:lang w:val="ka-GE"/>
        </w:rPr>
        <w:t xml:space="preserve">  </w:t>
      </w:r>
      <w:r w:rsidR="00412751">
        <w:rPr>
          <w:rFonts w:ascii="Sylfaen" w:hAnsi="Sylfaen"/>
          <w:lang w:val="ka-GE"/>
        </w:rPr>
        <w:t xml:space="preserve">  </w:t>
      </w:r>
      <w:r>
        <w:rPr>
          <w:rFonts w:ascii="Sylfaen" w:hAnsi="Sylfaen"/>
          <w:lang w:val="ka-GE"/>
        </w:rPr>
        <w:t xml:space="preserve">სადიაგნოსტიკო </w:t>
      </w:r>
      <w:r w:rsidR="00B77FC8">
        <w:rPr>
          <w:rFonts w:ascii="Sylfaen" w:hAnsi="Sylfaen"/>
          <w:lang w:val="ka-GE"/>
        </w:rPr>
        <w:t>ვიზუალ</w:t>
      </w:r>
      <w:r>
        <w:rPr>
          <w:rFonts w:ascii="Sylfaen" w:hAnsi="Sylfaen"/>
          <w:lang w:val="ka-GE"/>
        </w:rPr>
        <w:t>ური ტექნოლოგიების განვითარების ფონზე გაიზარდა ასიმპტომური ენდომეტრიოზის დიაგნოსტიკა, შესაბამისად სადაოა  არჩევანი - დაუყოვნებელი თერაპიის სტრატეგია  თუ მოცდის ტაქტიკა დინამიკაში დაკვირვების ფონზე</w:t>
      </w:r>
      <w:r w:rsidR="00B11A9B">
        <w:rPr>
          <w:rFonts w:ascii="Sylfaen" w:hAnsi="Sylfaen"/>
          <w:lang w:val="ka-GE"/>
        </w:rPr>
        <w:t>.  ცნობილი სამკურნალო  შესაძლებლობები (კოკ, გტრჰ აგონისტები,</w:t>
      </w:r>
      <w:r w:rsidR="00B77FC8">
        <w:rPr>
          <w:rFonts w:ascii="Sylfaen" w:hAnsi="Sylfaen"/>
          <w:lang w:val="ka-GE"/>
        </w:rPr>
        <w:t xml:space="preserve"> პროგესტაგენები, </w:t>
      </w:r>
      <w:r w:rsidR="00B11A9B">
        <w:rPr>
          <w:rFonts w:ascii="Sylfaen" w:hAnsi="Sylfaen"/>
          <w:lang w:val="ka-GE"/>
        </w:rPr>
        <w:t xml:space="preserve"> გტრჰ </w:t>
      </w:r>
      <w:r w:rsidR="00B77FC8">
        <w:rPr>
          <w:rFonts w:ascii="Sylfaen" w:hAnsi="Sylfaen"/>
          <w:lang w:val="ka-GE"/>
        </w:rPr>
        <w:t xml:space="preserve"> პერორალური ანტ</w:t>
      </w:r>
      <w:r w:rsidR="00B11A9B">
        <w:rPr>
          <w:rFonts w:ascii="Sylfaen" w:hAnsi="Sylfaen"/>
          <w:lang w:val="ka-GE"/>
        </w:rPr>
        <w:t xml:space="preserve">აგონისტები), მიუხედავად მაღალეფექტურობისა, ხანგრძლივი დროით მიღების შესაძლებლობის გათვალისწინებით უნდა შეირჩეს პაციენტის ასაკის, თერაპიული ინტერვენციის გვერდითი ეფექტების, სწრაფი შექცევადობის მიხედვით. ამ ფაქტორებზე დაყრდნობით პროგესტაგენებით (დიენოგესტით) ხანგრძლივი თერაპია გამოირჩევა მაღალეფექტურობით,  </w:t>
      </w:r>
      <w:r w:rsidR="00412751">
        <w:rPr>
          <w:rFonts w:ascii="Sylfaen" w:hAnsi="Sylfaen"/>
          <w:lang w:val="ka-GE"/>
        </w:rPr>
        <w:t xml:space="preserve">ტკივილის </w:t>
      </w:r>
      <w:r w:rsidR="00B11A9B">
        <w:rPr>
          <w:rFonts w:ascii="Sylfaen" w:hAnsi="Sylfaen"/>
          <w:lang w:val="ka-GE"/>
        </w:rPr>
        <w:t xml:space="preserve">სწრაფი კუპირებით, </w:t>
      </w:r>
      <w:r w:rsidR="000C06F0">
        <w:rPr>
          <w:rFonts w:ascii="Sylfaen" w:hAnsi="Sylfaen"/>
          <w:lang w:val="ka-GE"/>
        </w:rPr>
        <w:t>ენდომეტრიოზის პროგრესის  დათრგუნვით,  მინიმალური გვერდითი ეფექტებით,  საჭიროების შემთხვევში მენსტრუაციული და მასთან ასოცირებული ფერტილური ფუნქციის  სწრაფი შექცევადობით, კლინიკური ეფექტის  პროლონგაციით</w:t>
      </w:r>
      <w:r>
        <w:rPr>
          <w:rFonts w:ascii="Sylfaen" w:hAnsi="Sylfaen"/>
          <w:lang w:val="ka-GE"/>
        </w:rPr>
        <w:t xml:space="preserve"> </w:t>
      </w:r>
      <w:r w:rsidR="00412751">
        <w:rPr>
          <w:rFonts w:ascii="Sylfaen" w:hAnsi="Sylfaen"/>
          <w:lang w:val="ka-GE"/>
        </w:rPr>
        <w:t xml:space="preserve">. </w:t>
      </w:r>
    </w:p>
    <w:p w:rsidR="00443A02" w:rsidRDefault="00412751">
      <w:pPr>
        <w:rPr>
          <w:rFonts w:ascii="Sylfaen" w:hAnsi="Sylfaen"/>
          <w:lang w:val="ka-GE"/>
        </w:rPr>
      </w:pPr>
      <w:r>
        <w:rPr>
          <w:rFonts w:ascii="Sylfaen" w:hAnsi="Sylfaen"/>
          <w:lang w:val="ka-GE"/>
        </w:rPr>
        <w:t xml:space="preserve">       </w:t>
      </w:r>
      <w:r w:rsidR="0018499E">
        <w:rPr>
          <w:rFonts w:ascii="Sylfaen" w:hAnsi="Sylfaen"/>
          <w:lang w:val="ka-GE"/>
        </w:rPr>
        <w:t xml:space="preserve"> </w:t>
      </w:r>
      <w:r w:rsidR="00443A02">
        <w:rPr>
          <w:rFonts w:ascii="Sylfaen" w:hAnsi="Sylfaen"/>
          <w:lang w:val="ka-GE"/>
        </w:rPr>
        <w:t xml:space="preserve">    </w:t>
      </w:r>
      <w:r>
        <w:rPr>
          <w:rFonts w:ascii="Sylfaen" w:hAnsi="Sylfaen"/>
          <w:lang w:val="ka-GE"/>
        </w:rPr>
        <w:t>აღნიშნული გრძელვადიანი, ძირითადად ტკივილის კორექციაზე ორიენტირებული თერაპიის პოზიტიური ეფექტის სადემონსტრაციოდ განხილულია   რამოდენიმე კლინიკური შემთხვევა</w:t>
      </w:r>
    </w:p>
    <w:p w:rsidR="00B77FC8" w:rsidRDefault="00B77FC8">
      <w:pPr>
        <w:rPr>
          <w:rFonts w:ascii="Sylfaen" w:hAnsi="Sylfaen"/>
          <w:lang w:val="ka-GE"/>
        </w:rPr>
      </w:pPr>
    </w:p>
    <w:p w:rsidR="00B77FC8" w:rsidRDefault="00B77FC8">
      <w:pPr>
        <w:rPr>
          <w:rFonts w:ascii="Sylfaen" w:hAnsi="Sylfaen"/>
          <w:lang w:val="ka-GE"/>
        </w:rPr>
      </w:pPr>
    </w:p>
    <w:p w:rsidR="00B77FC8" w:rsidRDefault="00B77FC8">
      <w:pPr>
        <w:rPr>
          <w:rFonts w:ascii="Sylfaen" w:hAnsi="Sylfaen"/>
          <w:lang w:val="ka-GE"/>
        </w:rPr>
      </w:pPr>
    </w:p>
    <w:p w:rsidR="00B77FC8" w:rsidRDefault="00B77FC8">
      <w:pPr>
        <w:rPr>
          <w:rFonts w:ascii="Sylfaen" w:hAnsi="Sylfaen"/>
          <w:sz w:val="24"/>
          <w:szCs w:val="24"/>
          <w:lang w:val="ka-GE"/>
        </w:rPr>
      </w:pPr>
    </w:p>
    <w:p w:rsidR="00795563" w:rsidRDefault="00795563">
      <w:pPr>
        <w:rPr>
          <w:rFonts w:ascii="Helvetica" w:hAnsi="Helvetica" w:cs="Helvetica"/>
          <w:b/>
          <w:color w:val="1D1D1D"/>
          <w:szCs w:val="20"/>
          <w:shd w:val="clear" w:color="auto" w:fill="FFFFFF"/>
        </w:rPr>
      </w:pPr>
      <w:r w:rsidRPr="00795563">
        <w:rPr>
          <w:rFonts w:ascii="Helvetica" w:hAnsi="Helvetica" w:cs="Helvetica"/>
          <w:b/>
          <w:color w:val="1D1D1D"/>
          <w:szCs w:val="20"/>
          <w:shd w:val="clear" w:color="auto" w:fill="FFFFFF"/>
        </w:rPr>
        <w:lastRenderedPageBreak/>
        <w:t>Long-Term Management Options for Endometriosis in Young Women</w:t>
      </w:r>
    </w:p>
    <w:p w:rsidR="00795563" w:rsidRDefault="00795563" w:rsidP="00795563">
      <w:pPr>
        <w:rPr>
          <w:rFonts w:ascii="Helvetica" w:hAnsi="Helvetica" w:cs="Helvetica"/>
          <w:color w:val="1D1D1D"/>
          <w:sz w:val="20"/>
          <w:szCs w:val="20"/>
          <w:shd w:val="clear" w:color="auto" w:fill="FFFFFF"/>
        </w:rPr>
      </w:pPr>
      <w:r w:rsidRPr="00795563">
        <w:rPr>
          <w:rFonts w:ascii="Helvetica" w:hAnsi="Helvetica" w:cs="Helvetica"/>
          <w:b/>
          <w:color w:val="1D1D1D"/>
          <w:szCs w:val="20"/>
        </w:rPr>
        <w:br/>
      </w:r>
      <w:r>
        <w:rPr>
          <w:rFonts w:ascii="Helvetica" w:hAnsi="Helvetica" w:cs="Helvetica"/>
          <w:color w:val="1D1D1D"/>
          <w:sz w:val="20"/>
          <w:szCs w:val="20"/>
          <w:shd w:val="clear" w:color="auto" w:fill="FFFFFF"/>
        </w:rPr>
        <w:t xml:space="preserve">Manana </w:t>
      </w:r>
      <w:proofErr w:type="spellStart"/>
      <w:r>
        <w:rPr>
          <w:rFonts w:ascii="Helvetica" w:hAnsi="Helvetica" w:cs="Helvetica"/>
          <w:color w:val="1D1D1D"/>
          <w:sz w:val="20"/>
          <w:szCs w:val="20"/>
          <w:shd w:val="clear" w:color="auto" w:fill="FFFFFF"/>
        </w:rPr>
        <w:t>Gegechkori</w:t>
      </w:r>
      <w:proofErr w:type="spellEnd"/>
      <w:r>
        <w:rPr>
          <w:rFonts w:ascii="Helvetica" w:hAnsi="Helvetica" w:cs="Helvetica"/>
          <w:color w:val="1D1D1D"/>
          <w:sz w:val="20"/>
          <w:szCs w:val="20"/>
          <w:shd w:val="clear" w:color="auto" w:fill="FFFFFF"/>
        </w:rPr>
        <w:t>, MD, PhD</w:t>
      </w:r>
      <w:r>
        <w:rPr>
          <w:rFonts w:ascii="Helvetica" w:hAnsi="Helvetica" w:cs="Helvetica"/>
          <w:color w:val="1D1D1D"/>
          <w:sz w:val="20"/>
          <w:szCs w:val="20"/>
        </w:rPr>
        <w:br/>
      </w:r>
      <w:r>
        <w:rPr>
          <w:rFonts w:ascii="Helvetica" w:hAnsi="Helvetica" w:cs="Helvetica"/>
          <w:color w:val="1D1D1D"/>
          <w:sz w:val="20"/>
          <w:szCs w:val="20"/>
          <w:shd w:val="clear" w:color="auto" w:fill="FFFFFF"/>
        </w:rPr>
        <w:t>Professor, Tbilisi State Medical University</w:t>
      </w:r>
      <w:r>
        <w:rPr>
          <w:rFonts w:ascii="Helvetica" w:hAnsi="Helvetica" w:cs="Helvetica"/>
          <w:color w:val="1D1D1D"/>
          <w:sz w:val="20"/>
          <w:szCs w:val="20"/>
        </w:rPr>
        <w:br/>
      </w:r>
      <w:r>
        <w:rPr>
          <w:rFonts w:ascii="Helvetica" w:hAnsi="Helvetica" w:cs="Helvetica"/>
          <w:color w:val="1D1D1D"/>
          <w:sz w:val="20"/>
          <w:szCs w:val="20"/>
          <w:shd w:val="clear" w:color="auto" w:fill="FFFFFF"/>
        </w:rPr>
        <w:t>Reproductive Clinic</w:t>
      </w:r>
      <w:r>
        <w:rPr>
          <w:rFonts w:ascii="Helvetica" w:hAnsi="Helvetica" w:cs="Helvetica"/>
          <w:color w:val="1D1D1D"/>
          <w:sz w:val="20"/>
          <w:szCs w:val="20"/>
          <w:shd w:val="clear" w:color="auto" w:fill="FFFFFF"/>
        </w:rPr>
        <w:t xml:space="preserve"> </w:t>
      </w:r>
      <w:r>
        <w:rPr>
          <w:rFonts w:cs="Helvetica"/>
          <w:color w:val="1D1D1D"/>
          <w:sz w:val="20"/>
          <w:szCs w:val="20"/>
          <w:shd w:val="clear" w:color="auto" w:fill="FFFFFF"/>
        </w:rPr>
        <w:t xml:space="preserve"> of </w:t>
      </w:r>
      <w:r w:rsidRPr="00795563">
        <w:rPr>
          <w:rFonts w:ascii="Helvetica" w:hAnsi="Helvetica" w:cs="Helvetica"/>
          <w:color w:val="1D1D1D"/>
          <w:sz w:val="20"/>
          <w:szCs w:val="20"/>
          <w:shd w:val="clear" w:color="auto" w:fill="FFFFFF"/>
        </w:rPr>
        <w:t xml:space="preserve"> </w:t>
      </w:r>
      <w:proofErr w:type="spellStart"/>
      <w:r>
        <w:rPr>
          <w:rFonts w:ascii="Helvetica" w:hAnsi="Helvetica" w:cs="Helvetica"/>
          <w:color w:val="1D1D1D"/>
          <w:sz w:val="20"/>
          <w:szCs w:val="20"/>
          <w:shd w:val="clear" w:color="auto" w:fill="FFFFFF"/>
        </w:rPr>
        <w:t>Zurab</w:t>
      </w:r>
      <w:proofErr w:type="spellEnd"/>
      <w:r>
        <w:rPr>
          <w:rFonts w:ascii="Helvetica" w:hAnsi="Helvetica" w:cs="Helvetica"/>
          <w:color w:val="1D1D1D"/>
          <w:sz w:val="20"/>
          <w:szCs w:val="20"/>
          <w:shd w:val="clear" w:color="auto" w:fill="FFFFFF"/>
        </w:rPr>
        <w:t xml:space="preserve"> </w:t>
      </w:r>
      <w:proofErr w:type="spellStart"/>
      <w:r>
        <w:rPr>
          <w:rFonts w:ascii="Helvetica" w:hAnsi="Helvetica" w:cs="Helvetica"/>
          <w:color w:val="1D1D1D"/>
          <w:sz w:val="20"/>
          <w:szCs w:val="20"/>
          <w:shd w:val="clear" w:color="auto" w:fill="FFFFFF"/>
        </w:rPr>
        <w:t>Sabakhtarashvili</w:t>
      </w:r>
      <w:proofErr w:type="spellEnd"/>
    </w:p>
    <w:p w:rsidR="00795563" w:rsidRDefault="00795563">
      <w:pPr>
        <w:rPr>
          <w:rFonts w:ascii="Helvetica" w:hAnsi="Helvetica" w:cs="Helvetica"/>
          <w:color w:val="1D1D1D"/>
          <w:sz w:val="20"/>
          <w:szCs w:val="20"/>
          <w:shd w:val="clear" w:color="auto" w:fill="FFFFFF"/>
        </w:rPr>
      </w:pPr>
      <w:r>
        <w:rPr>
          <w:rFonts w:ascii="Helvetica" w:hAnsi="Helvetica" w:cs="Helvetica"/>
          <w:color w:val="1D1D1D"/>
          <w:sz w:val="20"/>
          <w:szCs w:val="20"/>
        </w:rPr>
        <w:br/>
      </w:r>
      <w:r>
        <w:rPr>
          <w:rFonts w:ascii="Helvetica" w:hAnsi="Helvetica" w:cs="Helvetica"/>
          <w:color w:val="1D1D1D"/>
          <w:sz w:val="20"/>
          <w:szCs w:val="20"/>
          <w:shd w:val="clear" w:color="auto" w:fill="FFFFFF"/>
        </w:rPr>
        <w:t>Abstract</w:t>
      </w:r>
    </w:p>
    <w:p w:rsidR="00795563" w:rsidRDefault="00795563">
      <w:pPr>
        <w:rPr>
          <w:rFonts w:ascii="Helvetica" w:hAnsi="Helvetica" w:cs="Helvetica"/>
          <w:color w:val="1D1D1D"/>
          <w:sz w:val="20"/>
          <w:szCs w:val="20"/>
          <w:shd w:val="clear" w:color="auto" w:fill="FFFFFF"/>
        </w:rPr>
      </w:pPr>
      <w:r>
        <w:rPr>
          <w:rFonts w:ascii="Helvetica" w:hAnsi="Helvetica" w:cs="Helvetica"/>
          <w:color w:val="1D1D1D"/>
          <w:sz w:val="20"/>
          <w:szCs w:val="20"/>
        </w:rPr>
        <w:br/>
      </w:r>
      <w:r>
        <w:rPr>
          <w:rFonts w:ascii="Helvetica" w:hAnsi="Helvetica" w:cs="Helvetica"/>
          <w:color w:val="1D1D1D"/>
          <w:sz w:val="20"/>
          <w:szCs w:val="20"/>
          <w:shd w:val="clear" w:color="auto" w:fill="FFFFFF"/>
        </w:rPr>
        <w:t xml:space="preserve">           </w:t>
      </w:r>
      <w:r>
        <w:rPr>
          <w:rFonts w:ascii="Helvetica" w:hAnsi="Helvetica" w:cs="Helvetica"/>
          <w:color w:val="1D1D1D"/>
          <w:sz w:val="20"/>
          <w:szCs w:val="20"/>
          <w:shd w:val="clear" w:color="auto" w:fill="FFFFFF"/>
        </w:rPr>
        <w:t>Endometriosis is a chronic inflammatory disease with a prolonged course that significantly affects women's quality of life through two major manifestations: pain and infertility. The initiation of the disease often precedes its full clinical manifestation by many years.</w:t>
      </w:r>
      <w:r>
        <w:rPr>
          <w:rFonts w:ascii="Helvetica" w:hAnsi="Helvetica" w:cs="Helvetica"/>
          <w:color w:val="1D1D1D"/>
          <w:sz w:val="20"/>
          <w:szCs w:val="20"/>
        </w:rPr>
        <w:br/>
      </w:r>
      <w:r>
        <w:rPr>
          <w:rFonts w:ascii="Helvetica" w:hAnsi="Helvetica" w:cs="Helvetica"/>
          <w:color w:val="1D1D1D"/>
          <w:sz w:val="20"/>
          <w:szCs w:val="20"/>
          <w:shd w:val="clear" w:color="auto" w:fill="FFFFFF"/>
        </w:rPr>
        <w:t xml:space="preserve">        </w:t>
      </w:r>
      <w:r>
        <w:rPr>
          <w:rFonts w:ascii="Helvetica" w:hAnsi="Helvetica" w:cs="Helvetica"/>
          <w:color w:val="1D1D1D"/>
          <w:sz w:val="20"/>
          <w:szCs w:val="20"/>
          <w:shd w:val="clear" w:color="auto" w:fill="FFFFFF"/>
        </w:rPr>
        <w:t>Despite substantial advances in the management of endometriosis, numerous questions remain unresolved in clinical practice, particularly regarding adolescents and young women. In this patient population, the primary goals are prevention of disease progression, minimization of surgical interventions, effective and rational pain management, and preservation of reproductive potential.</w:t>
      </w:r>
      <w:r>
        <w:rPr>
          <w:rFonts w:ascii="Helvetica" w:hAnsi="Helvetica" w:cs="Helvetica"/>
          <w:color w:val="1D1D1D"/>
          <w:sz w:val="20"/>
          <w:szCs w:val="20"/>
        </w:rPr>
        <w:br/>
      </w:r>
      <w:r>
        <w:rPr>
          <w:rFonts w:ascii="Helvetica" w:hAnsi="Helvetica" w:cs="Helvetica"/>
          <w:color w:val="1D1D1D"/>
          <w:sz w:val="20"/>
          <w:szCs w:val="20"/>
          <w:shd w:val="clear" w:color="auto" w:fill="FFFFFF"/>
        </w:rPr>
        <w:t>With the development of modern imaging technologies, the diagnosis of asymptomatic endometriosis has increased considerably. Consequently, the choice between immediate therapeutic intervention and expectant management with dynamic follow-up remains controversial.</w:t>
      </w:r>
    </w:p>
    <w:p w:rsidR="00795563" w:rsidRDefault="00795563">
      <w:pPr>
        <w:rPr>
          <w:rFonts w:ascii="Helvetica" w:hAnsi="Helvetica" w:cs="Helvetica"/>
          <w:color w:val="1D1D1D"/>
          <w:sz w:val="20"/>
          <w:szCs w:val="20"/>
          <w:shd w:val="clear" w:color="auto" w:fill="FFFFFF"/>
        </w:rPr>
      </w:pPr>
      <w:r>
        <w:rPr>
          <w:rFonts w:ascii="Helvetica" w:hAnsi="Helvetica" w:cs="Helvetica"/>
          <w:color w:val="1D1D1D"/>
          <w:sz w:val="20"/>
          <w:szCs w:val="20"/>
          <w:shd w:val="clear" w:color="auto" w:fill="FFFFFF"/>
        </w:rPr>
        <w:t xml:space="preserve">      </w:t>
      </w:r>
      <w:r>
        <w:rPr>
          <w:rFonts w:ascii="Helvetica" w:hAnsi="Helvetica" w:cs="Helvetica"/>
          <w:color w:val="1D1D1D"/>
          <w:sz w:val="20"/>
          <w:szCs w:val="20"/>
          <w:shd w:val="clear" w:color="auto" w:fill="FFFFFF"/>
        </w:rPr>
        <w:t xml:space="preserve"> Although currently available treatment options—including combined oral contraceptives, </w:t>
      </w:r>
      <w:proofErr w:type="spellStart"/>
      <w:r>
        <w:rPr>
          <w:rFonts w:ascii="Helvetica" w:hAnsi="Helvetica" w:cs="Helvetica"/>
          <w:color w:val="1D1D1D"/>
          <w:sz w:val="20"/>
          <w:szCs w:val="20"/>
          <w:shd w:val="clear" w:color="auto" w:fill="FFFFFF"/>
        </w:rPr>
        <w:t>GnRH</w:t>
      </w:r>
      <w:proofErr w:type="spellEnd"/>
      <w:r>
        <w:rPr>
          <w:rFonts w:ascii="Helvetica" w:hAnsi="Helvetica" w:cs="Helvetica"/>
          <w:color w:val="1D1D1D"/>
          <w:sz w:val="20"/>
          <w:szCs w:val="20"/>
          <w:shd w:val="clear" w:color="auto" w:fill="FFFFFF"/>
        </w:rPr>
        <w:t xml:space="preserve"> agonists, </w:t>
      </w:r>
      <w:proofErr w:type="spellStart"/>
      <w:r>
        <w:rPr>
          <w:rFonts w:ascii="Helvetica" w:hAnsi="Helvetica" w:cs="Helvetica"/>
          <w:color w:val="1D1D1D"/>
          <w:sz w:val="20"/>
          <w:szCs w:val="20"/>
          <w:shd w:val="clear" w:color="auto" w:fill="FFFFFF"/>
        </w:rPr>
        <w:t>progestins</w:t>
      </w:r>
      <w:proofErr w:type="spellEnd"/>
      <w:r>
        <w:rPr>
          <w:rFonts w:ascii="Helvetica" w:hAnsi="Helvetica" w:cs="Helvetica"/>
          <w:color w:val="1D1D1D"/>
          <w:sz w:val="20"/>
          <w:szCs w:val="20"/>
          <w:shd w:val="clear" w:color="auto" w:fill="FFFFFF"/>
        </w:rPr>
        <w:t xml:space="preserve">, and oral </w:t>
      </w:r>
      <w:proofErr w:type="spellStart"/>
      <w:r>
        <w:rPr>
          <w:rFonts w:ascii="Helvetica" w:hAnsi="Helvetica" w:cs="Helvetica"/>
          <w:color w:val="1D1D1D"/>
          <w:sz w:val="20"/>
          <w:szCs w:val="20"/>
          <w:shd w:val="clear" w:color="auto" w:fill="FFFFFF"/>
        </w:rPr>
        <w:t>GnRH</w:t>
      </w:r>
      <w:proofErr w:type="spellEnd"/>
      <w:r>
        <w:rPr>
          <w:rFonts w:ascii="Helvetica" w:hAnsi="Helvetica" w:cs="Helvetica"/>
          <w:color w:val="1D1D1D"/>
          <w:sz w:val="20"/>
          <w:szCs w:val="20"/>
          <w:shd w:val="clear" w:color="auto" w:fill="FFFFFF"/>
        </w:rPr>
        <w:t xml:space="preserve"> antagonists—demonstrate high efficacy, long-term treatment strategies should be individualized according to patient age, potential adverse effects, and the reversibility of therapeutic interventions.</w:t>
      </w:r>
      <w:r>
        <w:rPr>
          <w:rFonts w:ascii="Helvetica" w:hAnsi="Helvetica" w:cs="Helvetica"/>
          <w:color w:val="1D1D1D"/>
          <w:sz w:val="20"/>
          <w:szCs w:val="20"/>
        </w:rPr>
        <w:br/>
      </w:r>
      <w:r>
        <w:rPr>
          <w:rFonts w:ascii="Helvetica" w:hAnsi="Helvetica" w:cs="Helvetica"/>
          <w:color w:val="1D1D1D"/>
          <w:sz w:val="20"/>
          <w:szCs w:val="20"/>
          <w:shd w:val="clear" w:color="auto" w:fill="FFFFFF"/>
        </w:rPr>
        <w:t xml:space="preserve">     </w:t>
      </w:r>
      <w:r>
        <w:rPr>
          <w:rFonts w:ascii="Helvetica" w:hAnsi="Helvetica" w:cs="Helvetica"/>
          <w:color w:val="1D1D1D"/>
          <w:sz w:val="20"/>
          <w:szCs w:val="20"/>
          <w:shd w:val="clear" w:color="auto" w:fill="FFFFFF"/>
        </w:rPr>
        <w:t xml:space="preserve">Among these options, long-term progestin therapy with </w:t>
      </w:r>
      <w:proofErr w:type="spellStart"/>
      <w:r>
        <w:rPr>
          <w:rFonts w:ascii="Helvetica" w:hAnsi="Helvetica" w:cs="Helvetica"/>
          <w:color w:val="1D1D1D"/>
          <w:sz w:val="20"/>
          <w:szCs w:val="20"/>
          <w:shd w:val="clear" w:color="auto" w:fill="FFFFFF"/>
        </w:rPr>
        <w:t>dienogest</w:t>
      </w:r>
      <w:proofErr w:type="spellEnd"/>
      <w:r>
        <w:rPr>
          <w:rFonts w:ascii="Helvetica" w:hAnsi="Helvetica" w:cs="Helvetica"/>
          <w:color w:val="1D1D1D"/>
          <w:sz w:val="20"/>
          <w:szCs w:val="20"/>
          <w:shd w:val="clear" w:color="auto" w:fill="FFFFFF"/>
        </w:rPr>
        <w:t xml:space="preserve"> has demonstrated high efficacy, rapid pain relief, suppression of disease progression, minimal adverse effects, rapid restoration of menstrual and fertility functions when treatment is discontinued, and prolonged clinical benefit. To illustrate the positive impact of long-term, predominantly pain-oriented medical management, several clinical cases are presented.</w:t>
      </w:r>
    </w:p>
    <w:p w:rsidR="00795563" w:rsidRPr="00B77FC8" w:rsidRDefault="00795563">
      <w:pPr>
        <w:rPr>
          <w:rFonts w:ascii="Sylfaen" w:hAnsi="Sylfaen"/>
          <w:sz w:val="24"/>
          <w:szCs w:val="24"/>
          <w:lang w:val="ka-GE"/>
        </w:rPr>
      </w:pPr>
      <w:bookmarkStart w:id="0" w:name="_GoBack"/>
      <w:bookmarkEnd w:id="0"/>
      <w:r>
        <w:rPr>
          <w:rFonts w:ascii="Helvetica" w:hAnsi="Helvetica" w:cs="Helvetica"/>
          <w:color w:val="1D1D1D"/>
          <w:sz w:val="20"/>
          <w:szCs w:val="20"/>
        </w:rPr>
        <w:br/>
      </w:r>
      <w:r>
        <w:rPr>
          <w:rFonts w:ascii="Helvetica" w:hAnsi="Helvetica" w:cs="Helvetica"/>
          <w:color w:val="1D1D1D"/>
          <w:sz w:val="20"/>
          <w:szCs w:val="20"/>
          <w:shd w:val="clear" w:color="auto" w:fill="FFFFFF"/>
        </w:rPr>
        <w:t xml:space="preserve">Keywords: Endometriosis, </w:t>
      </w:r>
      <w:proofErr w:type="spellStart"/>
      <w:r>
        <w:rPr>
          <w:rFonts w:ascii="Helvetica" w:hAnsi="Helvetica" w:cs="Helvetica"/>
          <w:color w:val="1D1D1D"/>
          <w:sz w:val="20"/>
          <w:szCs w:val="20"/>
          <w:shd w:val="clear" w:color="auto" w:fill="FFFFFF"/>
        </w:rPr>
        <w:t>Dienogest</w:t>
      </w:r>
      <w:proofErr w:type="spellEnd"/>
      <w:r>
        <w:rPr>
          <w:rFonts w:ascii="Helvetica" w:hAnsi="Helvetica" w:cs="Helvetica"/>
          <w:color w:val="1D1D1D"/>
          <w:sz w:val="20"/>
          <w:szCs w:val="20"/>
          <w:shd w:val="clear" w:color="auto" w:fill="FFFFFF"/>
        </w:rPr>
        <w:t>, Long-term therapy, Chronic pelvic pain, Fertility preservation, Young women.</w:t>
      </w:r>
    </w:p>
    <w:sectPr w:rsidR="00795563" w:rsidRPr="00B77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5E0"/>
    <w:rsid w:val="000C06F0"/>
    <w:rsid w:val="0018499E"/>
    <w:rsid w:val="00393573"/>
    <w:rsid w:val="00412751"/>
    <w:rsid w:val="00443A02"/>
    <w:rsid w:val="00533F9E"/>
    <w:rsid w:val="00795563"/>
    <w:rsid w:val="009F4132"/>
    <w:rsid w:val="00B11A9B"/>
    <w:rsid w:val="00B27E12"/>
    <w:rsid w:val="00B77FC8"/>
    <w:rsid w:val="00F03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3E32"/>
  <w15:chartTrackingRefBased/>
  <w15:docId w15:val="{142B126D-D27D-4551-BAE2-2CE200D3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F03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035E0"/>
    <w:rPr>
      <w:rFonts w:ascii="Courier New" w:eastAsia="Times New Roman" w:hAnsi="Courier New" w:cs="Courier New"/>
      <w:sz w:val="20"/>
      <w:szCs w:val="20"/>
    </w:rPr>
  </w:style>
  <w:style w:type="character" w:customStyle="1" w:styleId="y2iqfc">
    <w:name w:val="y2iqfc"/>
    <w:basedOn w:val="DefaultParagraphFont"/>
    <w:rsid w:val="00F03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80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5</cp:revision>
  <dcterms:created xsi:type="dcterms:W3CDTF">2026-06-06T17:22:00Z</dcterms:created>
  <dcterms:modified xsi:type="dcterms:W3CDTF">2026-06-06T19:46:00Z</dcterms:modified>
</cp:coreProperties>
</file>