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4CB0F7" w14:textId="77777777" w:rsidR="006B510F" w:rsidRDefault="006B510F" w:rsidP="006B510F">
      <w:pPr>
        <w:pStyle w:val="font-claude-response-body"/>
      </w:pPr>
      <w:bookmarkStart w:id="0" w:name="_GoBack"/>
      <w:r>
        <w:rPr>
          <w:rStyle w:val="Strong"/>
          <w:rFonts w:ascii="Sylfaen" w:hAnsi="Sylfaen" w:cs="Sylfaen"/>
        </w:rPr>
        <w:t>თემა</w:t>
      </w:r>
      <w:r>
        <w:rPr>
          <w:rStyle w:val="Strong"/>
        </w:rPr>
        <w:t xml:space="preserve">: </w:t>
      </w:r>
      <w:r>
        <w:rPr>
          <w:rStyle w:val="Strong"/>
          <w:rFonts w:ascii="Sylfaen" w:hAnsi="Sylfaen" w:cs="Sylfaen"/>
        </w:rPr>
        <w:t>მიო</w:t>
      </w:r>
      <w:r>
        <w:rPr>
          <w:rStyle w:val="Strong"/>
        </w:rPr>
        <w:t>-</w:t>
      </w:r>
      <w:r>
        <w:rPr>
          <w:rStyle w:val="Strong"/>
          <w:rFonts w:ascii="Sylfaen" w:hAnsi="Sylfaen" w:cs="Sylfaen"/>
        </w:rPr>
        <w:t>ინოზიტოლი</w:t>
      </w:r>
      <w:r>
        <w:rPr>
          <w:rStyle w:val="Strong"/>
        </w:rPr>
        <w:t xml:space="preserve"> - </w:t>
      </w:r>
      <w:r>
        <w:rPr>
          <w:rStyle w:val="Strong"/>
          <w:rFonts w:ascii="Sylfaen" w:hAnsi="Sylfaen" w:cs="Sylfaen"/>
        </w:rPr>
        <w:t>ინსულინრეზისტენტობის</w:t>
      </w:r>
      <w:r>
        <w:rPr>
          <w:rStyle w:val="Strong"/>
        </w:rPr>
        <w:t xml:space="preserve"> </w:t>
      </w:r>
      <w:r>
        <w:rPr>
          <w:rStyle w:val="Strong"/>
          <w:rFonts w:ascii="Sylfaen" w:hAnsi="Sylfaen" w:cs="Sylfaen"/>
        </w:rPr>
        <w:t>მართვის</w:t>
      </w:r>
      <w:r>
        <w:rPr>
          <w:rStyle w:val="Strong"/>
        </w:rPr>
        <w:t xml:space="preserve"> </w:t>
      </w:r>
      <w:r>
        <w:rPr>
          <w:rStyle w:val="Strong"/>
          <w:rFonts w:ascii="Sylfaen" w:hAnsi="Sylfaen" w:cs="Sylfaen"/>
        </w:rPr>
        <w:t>ახალი</w:t>
      </w:r>
      <w:r>
        <w:rPr>
          <w:rStyle w:val="Strong"/>
        </w:rPr>
        <w:t xml:space="preserve"> </w:t>
      </w:r>
      <w:r>
        <w:rPr>
          <w:rStyle w:val="Strong"/>
          <w:rFonts w:ascii="Sylfaen" w:hAnsi="Sylfaen" w:cs="Sylfaen"/>
        </w:rPr>
        <w:t>სტანდარტი</w:t>
      </w:r>
      <w:r>
        <w:rPr>
          <w:rStyle w:val="Strong"/>
        </w:rPr>
        <w:t xml:space="preserve">: </w:t>
      </w:r>
      <w:r>
        <w:rPr>
          <w:rStyle w:val="Strong"/>
          <w:rFonts w:ascii="Sylfaen" w:hAnsi="Sylfaen" w:cs="Sylfaen"/>
        </w:rPr>
        <w:t>მეთფორმინიდან</w:t>
      </w:r>
      <w:r>
        <w:rPr>
          <w:rStyle w:val="Strong"/>
        </w:rPr>
        <w:t xml:space="preserve"> </w:t>
      </w:r>
      <w:r>
        <w:rPr>
          <w:rStyle w:val="Strong"/>
          <w:rFonts w:ascii="Sylfaen" w:hAnsi="Sylfaen" w:cs="Sylfaen"/>
        </w:rPr>
        <w:t>კომპლექსურ</w:t>
      </w:r>
      <w:r>
        <w:rPr>
          <w:rStyle w:val="Strong"/>
        </w:rPr>
        <w:t xml:space="preserve"> </w:t>
      </w:r>
      <w:r>
        <w:rPr>
          <w:rStyle w:val="Strong"/>
          <w:rFonts w:ascii="Sylfaen" w:hAnsi="Sylfaen" w:cs="Sylfaen"/>
        </w:rPr>
        <w:t>მიდგომამდე</w:t>
      </w:r>
    </w:p>
    <w:bookmarkEnd w:id="0"/>
    <w:p w14:paraId="1D2DD211" w14:textId="740A02F4" w:rsidR="006B510F" w:rsidRDefault="006B510F" w:rsidP="006B510F">
      <w:pPr>
        <w:pStyle w:val="font-claude-response-body"/>
      </w:pPr>
      <w:r>
        <w:rPr>
          <w:rFonts w:ascii="Sylfaen" w:hAnsi="Sylfaen" w:cs="Sylfaen"/>
        </w:rPr>
        <w:t>ინსულინრეზისტენტობა</w:t>
      </w:r>
      <w:r>
        <w:t xml:space="preserve"> </w:t>
      </w:r>
      <w:r>
        <w:rPr>
          <w:rFonts w:ascii="Sylfaen" w:hAnsi="Sylfaen" w:cs="Sylfaen"/>
        </w:rPr>
        <w:t>და</w:t>
      </w:r>
      <w:r>
        <w:t xml:space="preserve"> </w:t>
      </w:r>
      <w:r>
        <w:rPr>
          <w:rFonts w:ascii="Sylfaen" w:hAnsi="Sylfaen" w:cs="Sylfaen"/>
        </w:rPr>
        <w:t>თანმდევი</w:t>
      </w:r>
      <w:r>
        <w:t xml:space="preserve"> </w:t>
      </w:r>
      <w:r>
        <w:rPr>
          <w:rFonts w:ascii="Sylfaen" w:hAnsi="Sylfaen" w:cs="Sylfaen"/>
        </w:rPr>
        <w:t>მეტაბოლური</w:t>
      </w:r>
      <w:r>
        <w:t xml:space="preserve"> </w:t>
      </w:r>
      <w:r>
        <w:rPr>
          <w:rFonts w:ascii="Sylfaen" w:hAnsi="Sylfaen" w:cs="Sylfaen"/>
        </w:rPr>
        <w:t>სინდრომი</w:t>
      </w:r>
      <w:r>
        <w:t xml:space="preserve"> </w:t>
      </w:r>
      <w:r>
        <w:rPr>
          <w:rFonts w:ascii="Sylfaen" w:hAnsi="Sylfaen" w:cs="Sylfaen"/>
        </w:rPr>
        <w:t>გინეკოლოგიური</w:t>
      </w:r>
      <w:r>
        <w:t xml:space="preserve"> </w:t>
      </w:r>
      <w:r>
        <w:rPr>
          <w:rFonts w:ascii="Sylfaen" w:hAnsi="Sylfaen" w:cs="Sylfaen"/>
        </w:rPr>
        <w:t>ენდოკრინოლოგიის</w:t>
      </w:r>
      <w:r>
        <w:t xml:space="preserve"> </w:t>
      </w:r>
      <w:r>
        <w:rPr>
          <w:rFonts w:ascii="Sylfaen" w:hAnsi="Sylfaen" w:cs="Sylfaen"/>
        </w:rPr>
        <w:t>ერთ</w:t>
      </w:r>
      <w:r>
        <w:t>-</w:t>
      </w:r>
      <w:r>
        <w:rPr>
          <w:rFonts w:ascii="Sylfaen" w:hAnsi="Sylfaen" w:cs="Sylfaen"/>
        </w:rPr>
        <w:t>ერთ</w:t>
      </w:r>
      <w:r>
        <w:t xml:space="preserve"> </w:t>
      </w:r>
      <w:r>
        <w:rPr>
          <w:rFonts w:ascii="Sylfaen" w:hAnsi="Sylfaen" w:cs="Sylfaen"/>
        </w:rPr>
        <w:t>უმთავრეს</w:t>
      </w:r>
      <w:r>
        <w:t xml:space="preserve"> </w:t>
      </w:r>
      <w:r>
        <w:rPr>
          <w:rFonts w:ascii="Sylfaen" w:hAnsi="Sylfaen" w:cs="Sylfaen"/>
        </w:rPr>
        <w:t>კლინიკურ</w:t>
      </w:r>
      <w:r>
        <w:t xml:space="preserve"> </w:t>
      </w:r>
      <w:r>
        <w:rPr>
          <w:rFonts w:ascii="Sylfaen" w:hAnsi="Sylfaen" w:cs="Sylfaen"/>
        </w:rPr>
        <w:t>გამოწვევას</w:t>
      </w:r>
      <w:r>
        <w:t xml:space="preserve"> </w:t>
      </w:r>
      <w:r>
        <w:rPr>
          <w:rFonts w:ascii="Sylfaen" w:hAnsi="Sylfaen" w:cs="Sylfaen"/>
        </w:rPr>
        <w:t>წარმოადგენს</w:t>
      </w:r>
      <w:r>
        <w:t xml:space="preserve">. </w:t>
      </w:r>
      <w:r>
        <w:rPr>
          <w:rFonts w:ascii="Sylfaen" w:hAnsi="Sylfaen" w:cs="Sylfaen"/>
        </w:rPr>
        <w:t>ამ</w:t>
      </w:r>
      <w:r>
        <w:t xml:space="preserve"> </w:t>
      </w:r>
      <w:r>
        <w:rPr>
          <w:rFonts w:ascii="Sylfaen" w:hAnsi="Sylfaen" w:cs="Sylfaen"/>
        </w:rPr>
        <w:t>პროცესში</w:t>
      </w:r>
      <w:r>
        <w:t xml:space="preserve"> </w:t>
      </w:r>
      <w:r>
        <w:rPr>
          <w:rFonts w:ascii="Sylfaen" w:hAnsi="Sylfaen" w:cs="Sylfaen"/>
        </w:rPr>
        <w:t>განსაკუთრებულ</w:t>
      </w:r>
      <w:r>
        <w:t xml:space="preserve"> </w:t>
      </w:r>
      <w:r>
        <w:rPr>
          <w:rFonts w:ascii="Sylfaen" w:hAnsi="Sylfaen" w:cs="Sylfaen"/>
        </w:rPr>
        <w:t>ყურადღებას</w:t>
      </w:r>
      <w:r>
        <w:t xml:space="preserve"> </w:t>
      </w:r>
      <w:r>
        <w:rPr>
          <w:rFonts w:ascii="Sylfaen" w:hAnsi="Sylfaen" w:cs="Sylfaen"/>
        </w:rPr>
        <w:t>იმსახურებს</w:t>
      </w:r>
      <w:r>
        <w:t xml:space="preserve"> </w:t>
      </w:r>
      <w:r>
        <w:rPr>
          <w:rFonts w:ascii="Sylfaen" w:hAnsi="Sylfaen" w:cs="Sylfaen"/>
        </w:rPr>
        <w:t>კომპენსატორული</w:t>
      </w:r>
      <w:r>
        <w:t xml:space="preserve"> </w:t>
      </w:r>
      <w:r>
        <w:rPr>
          <w:rFonts w:ascii="Sylfaen" w:hAnsi="Sylfaen" w:cs="Sylfaen"/>
        </w:rPr>
        <w:t>ჰიპერინსულინემიის</w:t>
      </w:r>
      <w:r>
        <w:t xml:space="preserve"> </w:t>
      </w:r>
      <w:r>
        <w:rPr>
          <w:rFonts w:ascii="Sylfaen" w:hAnsi="Sylfaen" w:cs="Sylfaen"/>
        </w:rPr>
        <w:t>პირდაპირი</w:t>
      </w:r>
      <w:r>
        <w:t xml:space="preserve"> </w:t>
      </w:r>
      <w:r>
        <w:rPr>
          <w:rFonts w:ascii="Sylfaen" w:hAnsi="Sylfaen" w:cs="Sylfaen"/>
        </w:rPr>
        <w:t>ტოქსიკური</w:t>
      </w:r>
      <w:r>
        <w:t xml:space="preserve"> </w:t>
      </w:r>
      <w:r>
        <w:rPr>
          <w:rFonts w:ascii="Sylfaen" w:hAnsi="Sylfaen" w:cs="Sylfaen"/>
        </w:rPr>
        <w:t>ზეგავლენა</w:t>
      </w:r>
      <w:r>
        <w:t xml:space="preserve"> </w:t>
      </w:r>
      <w:r>
        <w:rPr>
          <w:rFonts w:ascii="Sylfaen" w:hAnsi="Sylfaen" w:cs="Sylfaen"/>
        </w:rPr>
        <w:t>საკვერცხის</w:t>
      </w:r>
      <w:r>
        <w:t xml:space="preserve"> </w:t>
      </w:r>
      <w:r>
        <w:rPr>
          <w:rFonts w:ascii="Sylfaen" w:hAnsi="Sylfaen" w:cs="Sylfaen"/>
        </w:rPr>
        <w:t>ქსოვილზე</w:t>
      </w:r>
      <w:r>
        <w:t xml:space="preserve">. </w:t>
      </w:r>
      <w:r>
        <w:rPr>
          <w:rFonts w:ascii="Sylfaen" w:hAnsi="Sylfaen" w:cs="Sylfaen"/>
        </w:rPr>
        <w:t>ჭარბი</w:t>
      </w:r>
      <w:r>
        <w:t xml:space="preserve"> </w:t>
      </w:r>
      <w:r>
        <w:rPr>
          <w:rFonts w:ascii="Sylfaen" w:hAnsi="Sylfaen" w:cs="Sylfaen"/>
        </w:rPr>
        <w:t>ინსულინი</w:t>
      </w:r>
      <w:r>
        <w:t xml:space="preserve"> </w:t>
      </w:r>
      <w:r>
        <w:rPr>
          <w:rFonts w:ascii="Sylfaen" w:hAnsi="Sylfaen" w:cs="Sylfaen"/>
        </w:rPr>
        <w:t>ასტიმულირებს</w:t>
      </w:r>
      <w:r>
        <w:t xml:space="preserve"> </w:t>
      </w:r>
      <w:r>
        <w:rPr>
          <w:rFonts w:ascii="Sylfaen" w:hAnsi="Sylfaen" w:cs="Sylfaen"/>
        </w:rPr>
        <w:t>თეკა</w:t>
      </w:r>
      <w:r>
        <w:t>-</w:t>
      </w:r>
      <w:r>
        <w:rPr>
          <w:rFonts w:ascii="Sylfaen" w:hAnsi="Sylfaen" w:cs="Sylfaen"/>
        </w:rPr>
        <w:t>უჯრედების</w:t>
      </w:r>
      <w:r>
        <w:t xml:space="preserve"> </w:t>
      </w:r>
      <w:r>
        <w:rPr>
          <w:rFonts w:ascii="Sylfaen" w:hAnsi="Sylfaen" w:cs="Sylfaen"/>
        </w:rPr>
        <w:t>მიერ</w:t>
      </w:r>
      <w:r>
        <w:t xml:space="preserve"> </w:t>
      </w:r>
      <w:r>
        <w:rPr>
          <w:rFonts w:ascii="Sylfaen" w:hAnsi="Sylfaen" w:cs="Sylfaen"/>
        </w:rPr>
        <w:t>ანდროგენების</w:t>
      </w:r>
      <w:r>
        <w:t xml:space="preserve"> </w:t>
      </w:r>
      <w:r>
        <w:rPr>
          <w:rFonts w:ascii="Sylfaen" w:hAnsi="Sylfaen" w:cs="Sylfaen"/>
        </w:rPr>
        <w:t>ჰიპერსეკრეციას</w:t>
      </w:r>
      <w:r>
        <w:t xml:space="preserve"> </w:t>
      </w:r>
      <w:r>
        <w:rPr>
          <w:rFonts w:ascii="Sylfaen" w:hAnsi="Sylfaen" w:cs="Sylfaen"/>
        </w:rPr>
        <w:t>და</w:t>
      </w:r>
      <w:r>
        <w:t xml:space="preserve"> </w:t>
      </w:r>
      <w:r>
        <w:rPr>
          <w:rFonts w:ascii="Sylfaen" w:hAnsi="Sylfaen" w:cs="Sylfaen"/>
        </w:rPr>
        <w:t>არღვევს</w:t>
      </w:r>
      <w:r>
        <w:t xml:space="preserve"> </w:t>
      </w:r>
      <w:r>
        <w:rPr>
          <w:rFonts w:ascii="Sylfaen" w:hAnsi="Sylfaen" w:cs="Sylfaen"/>
        </w:rPr>
        <w:t>ფოლიკულოგენეზის</w:t>
      </w:r>
      <w:r>
        <w:t xml:space="preserve"> </w:t>
      </w:r>
      <w:r>
        <w:rPr>
          <w:rFonts w:ascii="Sylfaen" w:hAnsi="Sylfaen" w:cs="Sylfaen"/>
        </w:rPr>
        <w:t>დინამიკას</w:t>
      </w:r>
      <w:r>
        <w:t xml:space="preserve">, </w:t>
      </w:r>
      <w:r>
        <w:rPr>
          <w:rFonts w:ascii="Sylfaen" w:hAnsi="Sylfaen" w:cs="Sylfaen"/>
        </w:rPr>
        <w:t>რაც</w:t>
      </w:r>
      <w:r>
        <w:t xml:space="preserve"> </w:t>
      </w:r>
      <w:r w:rsidR="00791852" w:rsidRPr="00791852">
        <w:rPr>
          <w:rFonts w:ascii="Sylfaen" w:hAnsi="Sylfaen" w:cs="Sylfaen"/>
        </w:rPr>
        <w:t>პოლიენდოკრინული მეტაბოლური ოვარიული სინდრომის (PMOS)</w:t>
      </w:r>
      <w:r>
        <w:t xml:space="preserve">, </w:t>
      </w:r>
      <w:r>
        <w:rPr>
          <w:rFonts w:ascii="Sylfaen" w:hAnsi="Sylfaen" w:cs="Sylfaen"/>
        </w:rPr>
        <w:t>ქრონიკული</w:t>
      </w:r>
      <w:r>
        <w:t xml:space="preserve"> </w:t>
      </w:r>
      <w:r>
        <w:rPr>
          <w:rFonts w:ascii="Sylfaen" w:hAnsi="Sylfaen" w:cs="Sylfaen"/>
        </w:rPr>
        <w:t>ანოვულაციისა</w:t>
      </w:r>
      <w:r>
        <w:t xml:space="preserve"> </w:t>
      </w:r>
      <w:r>
        <w:rPr>
          <w:rFonts w:ascii="Sylfaen" w:hAnsi="Sylfaen" w:cs="Sylfaen"/>
        </w:rPr>
        <w:t>და</w:t>
      </w:r>
      <w:r>
        <w:t xml:space="preserve"> </w:t>
      </w:r>
      <w:r>
        <w:rPr>
          <w:rFonts w:ascii="Sylfaen" w:hAnsi="Sylfaen" w:cs="Sylfaen"/>
        </w:rPr>
        <w:t>უნაყოფობის</w:t>
      </w:r>
      <w:r>
        <w:t xml:space="preserve"> </w:t>
      </w:r>
      <w:r>
        <w:rPr>
          <w:rFonts w:ascii="Sylfaen" w:hAnsi="Sylfaen" w:cs="Sylfaen"/>
        </w:rPr>
        <w:t>პათოგენეზის</w:t>
      </w:r>
      <w:r>
        <w:t xml:space="preserve"> </w:t>
      </w:r>
      <w:r>
        <w:rPr>
          <w:rFonts w:ascii="Sylfaen" w:hAnsi="Sylfaen" w:cs="Sylfaen"/>
        </w:rPr>
        <w:t>ფუნდამენტური</w:t>
      </w:r>
      <w:r>
        <w:t xml:space="preserve"> </w:t>
      </w:r>
      <w:r>
        <w:rPr>
          <w:rFonts w:ascii="Sylfaen" w:hAnsi="Sylfaen" w:cs="Sylfaen"/>
        </w:rPr>
        <w:t>რგოლია</w:t>
      </w:r>
      <w:r>
        <w:t>.</w:t>
      </w:r>
    </w:p>
    <w:p w14:paraId="01E0A3F5" w14:textId="047ADF34" w:rsidR="006B510F" w:rsidRDefault="006B510F" w:rsidP="006B510F">
      <w:pPr>
        <w:pStyle w:val="font-claude-response-body"/>
      </w:pPr>
      <w:r>
        <w:rPr>
          <w:rFonts w:ascii="Sylfaen" w:hAnsi="Sylfaen" w:cs="Sylfaen"/>
        </w:rPr>
        <w:t>შესაბამისად</w:t>
      </w:r>
      <w:r>
        <w:t xml:space="preserve">, </w:t>
      </w:r>
      <w:r>
        <w:rPr>
          <w:rFonts w:ascii="Sylfaen" w:hAnsi="Sylfaen" w:cs="Sylfaen"/>
        </w:rPr>
        <w:t>მეტაბოლური</w:t>
      </w:r>
      <w:r>
        <w:t xml:space="preserve"> </w:t>
      </w:r>
      <w:r>
        <w:rPr>
          <w:rFonts w:ascii="Sylfaen" w:hAnsi="Sylfaen" w:cs="Sylfaen"/>
        </w:rPr>
        <w:t>სინდრომის</w:t>
      </w:r>
      <w:r>
        <w:t xml:space="preserve"> </w:t>
      </w:r>
      <w:r>
        <w:rPr>
          <w:rFonts w:ascii="Sylfaen" w:hAnsi="Sylfaen" w:cs="Sylfaen"/>
        </w:rPr>
        <w:t>კომპლექსურ</w:t>
      </w:r>
      <w:r>
        <w:t xml:space="preserve"> </w:t>
      </w:r>
      <w:r>
        <w:rPr>
          <w:rFonts w:ascii="Sylfaen" w:hAnsi="Sylfaen" w:cs="Sylfaen"/>
        </w:rPr>
        <w:t>მართვას</w:t>
      </w:r>
      <w:r>
        <w:t xml:space="preserve"> </w:t>
      </w:r>
      <w:r>
        <w:rPr>
          <w:rFonts w:ascii="Sylfaen" w:hAnsi="Sylfaen" w:cs="Sylfaen"/>
        </w:rPr>
        <w:t>პრინციპული</w:t>
      </w:r>
      <w:r>
        <w:t xml:space="preserve"> </w:t>
      </w:r>
      <w:r>
        <w:rPr>
          <w:rFonts w:ascii="Sylfaen" w:hAnsi="Sylfaen" w:cs="Sylfaen"/>
        </w:rPr>
        <w:t>მნიშვნელობა</w:t>
      </w:r>
      <w:r>
        <w:t xml:space="preserve"> </w:t>
      </w:r>
      <w:r>
        <w:rPr>
          <w:rFonts w:ascii="Sylfaen" w:hAnsi="Sylfaen" w:cs="Sylfaen"/>
        </w:rPr>
        <w:t>ენიჭება</w:t>
      </w:r>
      <w:r>
        <w:t xml:space="preserve"> </w:t>
      </w:r>
      <w:r>
        <w:rPr>
          <w:rFonts w:ascii="Sylfaen" w:hAnsi="Sylfaen" w:cs="Sylfaen"/>
        </w:rPr>
        <w:t>გინეკოლოგიურ</w:t>
      </w:r>
      <w:r>
        <w:t xml:space="preserve"> </w:t>
      </w:r>
      <w:r>
        <w:rPr>
          <w:rFonts w:ascii="Sylfaen" w:hAnsi="Sylfaen" w:cs="Sylfaen"/>
        </w:rPr>
        <w:t>პრაქტიკაში</w:t>
      </w:r>
      <w:r>
        <w:t xml:space="preserve">. </w:t>
      </w:r>
      <w:r>
        <w:rPr>
          <w:rFonts w:ascii="Sylfaen" w:hAnsi="Sylfaen" w:cs="Sylfaen"/>
        </w:rPr>
        <w:t>ინსულინმგრძნობელობის</w:t>
      </w:r>
      <w:r>
        <w:t xml:space="preserve"> </w:t>
      </w:r>
      <w:r>
        <w:rPr>
          <w:rFonts w:ascii="Sylfaen" w:hAnsi="Sylfaen" w:cs="Sylfaen"/>
        </w:rPr>
        <w:t>უჯრედულ</w:t>
      </w:r>
      <w:r>
        <w:t xml:space="preserve"> </w:t>
      </w:r>
      <w:r>
        <w:rPr>
          <w:rFonts w:ascii="Sylfaen" w:hAnsi="Sylfaen" w:cs="Sylfaen"/>
        </w:rPr>
        <w:t>დონეზე</w:t>
      </w:r>
      <w:r>
        <w:t xml:space="preserve"> </w:t>
      </w:r>
      <w:r>
        <w:rPr>
          <w:rFonts w:ascii="Sylfaen" w:hAnsi="Sylfaen" w:cs="Sylfaen"/>
        </w:rPr>
        <w:t>აღდგენა</w:t>
      </w:r>
      <w:r>
        <w:t xml:space="preserve"> </w:t>
      </w:r>
      <w:r>
        <w:rPr>
          <w:rFonts w:ascii="Sylfaen" w:hAnsi="Sylfaen" w:cs="Sylfaen"/>
        </w:rPr>
        <w:t>პირდაპირ</w:t>
      </w:r>
      <w:r>
        <w:t xml:space="preserve"> </w:t>
      </w:r>
      <w:r>
        <w:rPr>
          <w:rFonts w:ascii="Sylfaen" w:hAnsi="Sylfaen" w:cs="Sylfaen"/>
        </w:rPr>
        <w:t>და</w:t>
      </w:r>
      <w:r>
        <w:t xml:space="preserve"> </w:t>
      </w:r>
      <w:r>
        <w:rPr>
          <w:rFonts w:ascii="Sylfaen" w:hAnsi="Sylfaen" w:cs="Sylfaen"/>
        </w:rPr>
        <w:t>დადებითად</w:t>
      </w:r>
      <w:r>
        <w:t xml:space="preserve"> </w:t>
      </w:r>
      <w:r>
        <w:rPr>
          <w:rFonts w:ascii="Sylfaen" w:hAnsi="Sylfaen" w:cs="Sylfaen"/>
        </w:rPr>
        <w:t>აისახება</w:t>
      </w:r>
      <w:r>
        <w:t xml:space="preserve"> </w:t>
      </w:r>
      <w:r>
        <w:rPr>
          <w:rFonts w:ascii="Sylfaen" w:hAnsi="Sylfaen" w:cs="Sylfaen"/>
        </w:rPr>
        <w:t>საკვერცხის</w:t>
      </w:r>
      <w:r>
        <w:t xml:space="preserve"> </w:t>
      </w:r>
      <w:r>
        <w:rPr>
          <w:rFonts w:ascii="Sylfaen" w:hAnsi="Sylfaen" w:cs="Sylfaen"/>
        </w:rPr>
        <w:t>ფუნქციაზე</w:t>
      </w:r>
      <w:r>
        <w:t xml:space="preserve"> </w:t>
      </w:r>
      <w:r w:rsidR="00791852">
        <w:rPr>
          <w:rFonts w:asciiTheme="minorHAnsi" w:hAnsiTheme="minorHAnsi"/>
          <w:lang w:val="ka-GE"/>
        </w:rPr>
        <w:t>-</w:t>
      </w:r>
      <w:r>
        <w:t xml:space="preserve"> </w:t>
      </w:r>
      <w:r>
        <w:rPr>
          <w:rFonts w:ascii="Sylfaen" w:hAnsi="Sylfaen" w:cs="Sylfaen"/>
        </w:rPr>
        <w:t>მცირდება</w:t>
      </w:r>
      <w:r>
        <w:t xml:space="preserve"> </w:t>
      </w:r>
      <w:r>
        <w:rPr>
          <w:rFonts w:ascii="Sylfaen" w:hAnsi="Sylfaen" w:cs="Sylfaen"/>
        </w:rPr>
        <w:t>ლოკალური</w:t>
      </w:r>
      <w:r>
        <w:t xml:space="preserve"> </w:t>
      </w:r>
      <w:r>
        <w:rPr>
          <w:rFonts w:ascii="Sylfaen" w:hAnsi="Sylfaen" w:cs="Sylfaen"/>
        </w:rPr>
        <w:t>ჰიპერანდროგენემია</w:t>
      </w:r>
      <w:r>
        <w:t xml:space="preserve"> </w:t>
      </w:r>
      <w:r>
        <w:rPr>
          <w:rFonts w:ascii="Sylfaen" w:hAnsi="Sylfaen" w:cs="Sylfaen"/>
        </w:rPr>
        <w:t>და</w:t>
      </w:r>
      <w:r>
        <w:t xml:space="preserve"> </w:t>
      </w:r>
      <w:r>
        <w:rPr>
          <w:rFonts w:ascii="Sylfaen" w:hAnsi="Sylfaen" w:cs="Sylfaen"/>
        </w:rPr>
        <w:t>იხსნება</w:t>
      </w:r>
      <w:r>
        <w:t xml:space="preserve"> </w:t>
      </w:r>
      <w:r>
        <w:rPr>
          <w:rFonts w:ascii="Sylfaen" w:hAnsi="Sylfaen" w:cs="Sylfaen"/>
        </w:rPr>
        <w:t>ფოლიკულის</w:t>
      </w:r>
      <w:r>
        <w:t xml:space="preserve"> </w:t>
      </w:r>
      <w:r>
        <w:rPr>
          <w:rFonts w:ascii="Sylfaen" w:hAnsi="Sylfaen" w:cs="Sylfaen"/>
        </w:rPr>
        <w:t>განვითარების</w:t>
      </w:r>
      <w:r>
        <w:t xml:space="preserve"> </w:t>
      </w:r>
      <w:r>
        <w:rPr>
          <w:rFonts w:ascii="Sylfaen" w:hAnsi="Sylfaen" w:cs="Sylfaen"/>
        </w:rPr>
        <w:t>შეფერხება</w:t>
      </w:r>
      <w:r>
        <w:t xml:space="preserve">. </w:t>
      </w:r>
      <w:r>
        <w:rPr>
          <w:rFonts w:ascii="Sylfaen" w:hAnsi="Sylfaen" w:cs="Sylfaen"/>
        </w:rPr>
        <w:t>ეს</w:t>
      </w:r>
      <w:r>
        <w:t xml:space="preserve"> </w:t>
      </w:r>
      <w:r>
        <w:rPr>
          <w:rFonts w:ascii="Sylfaen" w:hAnsi="Sylfaen" w:cs="Sylfaen"/>
        </w:rPr>
        <w:t>პროცესი</w:t>
      </w:r>
      <w:r>
        <w:t xml:space="preserve"> </w:t>
      </w:r>
      <w:r>
        <w:rPr>
          <w:rFonts w:ascii="Sylfaen" w:hAnsi="Sylfaen" w:cs="Sylfaen"/>
        </w:rPr>
        <w:t>უზრუნველყოფს</w:t>
      </w:r>
      <w:r>
        <w:t xml:space="preserve"> </w:t>
      </w:r>
      <w:r>
        <w:rPr>
          <w:rFonts w:ascii="Sylfaen" w:hAnsi="Sylfaen" w:cs="Sylfaen"/>
        </w:rPr>
        <w:t>მენსტრუალური</w:t>
      </w:r>
      <w:r>
        <w:t xml:space="preserve"> </w:t>
      </w:r>
      <w:r>
        <w:rPr>
          <w:rFonts w:ascii="Sylfaen" w:hAnsi="Sylfaen" w:cs="Sylfaen"/>
        </w:rPr>
        <w:t>ციკლის</w:t>
      </w:r>
      <w:r>
        <w:t xml:space="preserve"> </w:t>
      </w:r>
      <w:r>
        <w:rPr>
          <w:rFonts w:ascii="Sylfaen" w:hAnsi="Sylfaen" w:cs="Sylfaen"/>
        </w:rPr>
        <w:t>რეგულაციას</w:t>
      </w:r>
      <w:r>
        <w:t xml:space="preserve">, </w:t>
      </w:r>
      <w:r>
        <w:rPr>
          <w:rFonts w:ascii="Sylfaen" w:hAnsi="Sylfaen" w:cs="Sylfaen"/>
        </w:rPr>
        <w:t>აუმჯობესებს</w:t>
      </w:r>
      <w:r>
        <w:t xml:space="preserve"> </w:t>
      </w:r>
      <w:r>
        <w:rPr>
          <w:rFonts w:ascii="Sylfaen" w:hAnsi="Sylfaen" w:cs="Sylfaen"/>
        </w:rPr>
        <w:t>ოოციტის</w:t>
      </w:r>
      <w:r>
        <w:t xml:space="preserve"> </w:t>
      </w:r>
      <w:r>
        <w:rPr>
          <w:rFonts w:ascii="Sylfaen" w:hAnsi="Sylfaen" w:cs="Sylfaen"/>
        </w:rPr>
        <w:t>ხარისხს</w:t>
      </w:r>
      <w:r>
        <w:t xml:space="preserve"> </w:t>
      </w:r>
      <w:r>
        <w:rPr>
          <w:rFonts w:ascii="Sylfaen" w:hAnsi="Sylfaen" w:cs="Sylfaen"/>
        </w:rPr>
        <w:t>და</w:t>
      </w:r>
      <w:r>
        <w:t xml:space="preserve"> </w:t>
      </w:r>
      <w:r>
        <w:rPr>
          <w:rFonts w:ascii="Sylfaen" w:hAnsi="Sylfaen" w:cs="Sylfaen"/>
        </w:rPr>
        <w:t>სარწმუნოდ</w:t>
      </w:r>
      <w:r>
        <w:t xml:space="preserve"> </w:t>
      </w:r>
      <w:r>
        <w:rPr>
          <w:rFonts w:ascii="Sylfaen" w:hAnsi="Sylfaen" w:cs="Sylfaen"/>
        </w:rPr>
        <w:t>ზრდის</w:t>
      </w:r>
      <w:r>
        <w:t xml:space="preserve"> </w:t>
      </w:r>
      <w:r>
        <w:rPr>
          <w:rFonts w:ascii="Sylfaen" w:hAnsi="Sylfaen" w:cs="Sylfaen"/>
        </w:rPr>
        <w:t>სპონტანური</w:t>
      </w:r>
      <w:r>
        <w:t xml:space="preserve"> </w:t>
      </w:r>
      <w:r>
        <w:rPr>
          <w:rFonts w:ascii="Sylfaen" w:hAnsi="Sylfaen" w:cs="Sylfaen"/>
        </w:rPr>
        <w:t>ოვულაციის</w:t>
      </w:r>
      <w:r>
        <w:t xml:space="preserve"> </w:t>
      </w:r>
      <w:r>
        <w:rPr>
          <w:rFonts w:ascii="Sylfaen" w:hAnsi="Sylfaen" w:cs="Sylfaen"/>
        </w:rPr>
        <w:t>მაჩვენებელს</w:t>
      </w:r>
      <w:r>
        <w:t xml:space="preserve">. </w:t>
      </w:r>
      <w:r>
        <w:rPr>
          <w:rFonts w:ascii="Sylfaen" w:hAnsi="Sylfaen" w:cs="Sylfaen"/>
        </w:rPr>
        <w:t>ამრიგად</w:t>
      </w:r>
      <w:r>
        <w:t xml:space="preserve">, </w:t>
      </w:r>
      <w:r>
        <w:rPr>
          <w:rFonts w:ascii="Sylfaen" w:hAnsi="Sylfaen" w:cs="Sylfaen"/>
        </w:rPr>
        <w:t>მეტაბოლური</w:t>
      </w:r>
      <w:r>
        <w:t xml:space="preserve"> </w:t>
      </w:r>
      <w:r>
        <w:rPr>
          <w:rFonts w:ascii="Sylfaen" w:hAnsi="Sylfaen" w:cs="Sylfaen"/>
        </w:rPr>
        <w:t>კონტროლი</w:t>
      </w:r>
      <w:r>
        <w:t xml:space="preserve"> </w:t>
      </w:r>
      <w:r>
        <w:rPr>
          <w:rFonts w:ascii="Sylfaen" w:hAnsi="Sylfaen" w:cs="Sylfaen"/>
        </w:rPr>
        <w:t>ფერტილობის</w:t>
      </w:r>
      <w:r>
        <w:t xml:space="preserve"> </w:t>
      </w:r>
      <w:r>
        <w:rPr>
          <w:rFonts w:ascii="Sylfaen" w:hAnsi="Sylfaen" w:cs="Sylfaen"/>
        </w:rPr>
        <w:t>რესტავრაციის</w:t>
      </w:r>
      <w:r>
        <w:t xml:space="preserve"> </w:t>
      </w:r>
      <w:r>
        <w:rPr>
          <w:rFonts w:ascii="Sylfaen" w:hAnsi="Sylfaen" w:cs="Sylfaen"/>
        </w:rPr>
        <w:t>აუცილებელი</w:t>
      </w:r>
      <w:r>
        <w:t xml:space="preserve"> </w:t>
      </w:r>
      <w:r>
        <w:rPr>
          <w:rFonts w:ascii="Sylfaen" w:hAnsi="Sylfaen" w:cs="Sylfaen"/>
        </w:rPr>
        <w:t>წინაპირობაა</w:t>
      </w:r>
      <w:r>
        <w:t>.</w:t>
      </w:r>
    </w:p>
    <w:p w14:paraId="21FE8FF3" w14:textId="77777777" w:rsidR="006B510F" w:rsidRDefault="006B510F" w:rsidP="006B510F">
      <w:pPr>
        <w:pStyle w:val="font-claude-response-body"/>
      </w:pPr>
      <w:r>
        <w:rPr>
          <w:rFonts w:ascii="Sylfaen" w:hAnsi="Sylfaen" w:cs="Sylfaen"/>
        </w:rPr>
        <w:t>ისტორიულად</w:t>
      </w:r>
      <w:r>
        <w:t xml:space="preserve">, </w:t>
      </w:r>
      <w:r>
        <w:rPr>
          <w:rFonts w:ascii="Sylfaen" w:hAnsi="Sylfaen" w:cs="Sylfaen"/>
        </w:rPr>
        <w:t>აღნიშნული</w:t>
      </w:r>
      <w:r>
        <w:t xml:space="preserve"> </w:t>
      </w:r>
      <w:r>
        <w:rPr>
          <w:rFonts w:ascii="Sylfaen" w:hAnsi="Sylfaen" w:cs="Sylfaen"/>
        </w:rPr>
        <w:t>მიზნების</w:t>
      </w:r>
      <w:r>
        <w:t xml:space="preserve"> </w:t>
      </w:r>
      <w:r>
        <w:rPr>
          <w:rFonts w:ascii="Sylfaen" w:hAnsi="Sylfaen" w:cs="Sylfaen"/>
        </w:rPr>
        <w:t>მისაღწევად</w:t>
      </w:r>
      <w:r>
        <w:t xml:space="preserve"> </w:t>
      </w:r>
      <w:r>
        <w:rPr>
          <w:rFonts w:ascii="Sylfaen" w:hAnsi="Sylfaen" w:cs="Sylfaen"/>
        </w:rPr>
        <w:t>მეთფორმინი</w:t>
      </w:r>
      <w:r>
        <w:t xml:space="preserve"> </w:t>
      </w:r>
      <w:r>
        <w:rPr>
          <w:rFonts w:ascii="Sylfaen" w:hAnsi="Sylfaen" w:cs="Sylfaen"/>
        </w:rPr>
        <w:t>განიხილებოდა</w:t>
      </w:r>
      <w:r>
        <w:t xml:space="preserve"> </w:t>
      </w:r>
      <w:r>
        <w:rPr>
          <w:rFonts w:ascii="Sylfaen" w:hAnsi="Sylfaen" w:cs="Sylfaen"/>
        </w:rPr>
        <w:t>ფარმაკოლოგიურ</w:t>
      </w:r>
      <w:r>
        <w:t xml:space="preserve"> </w:t>
      </w:r>
      <w:r>
        <w:rPr>
          <w:rFonts w:ascii="Sylfaen" w:hAnsi="Sylfaen" w:cs="Sylfaen"/>
        </w:rPr>
        <w:t>ოქროს</w:t>
      </w:r>
      <w:r>
        <w:t xml:space="preserve"> </w:t>
      </w:r>
      <w:r>
        <w:rPr>
          <w:rFonts w:ascii="Sylfaen" w:hAnsi="Sylfaen" w:cs="Sylfaen"/>
        </w:rPr>
        <w:t>სტანდარტად</w:t>
      </w:r>
      <w:r>
        <w:t xml:space="preserve">. </w:t>
      </w:r>
      <w:r>
        <w:rPr>
          <w:rFonts w:ascii="Sylfaen" w:hAnsi="Sylfaen" w:cs="Sylfaen"/>
        </w:rPr>
        <w:t>თუმცა</w:t>
      </w:r>
      <w:r>
        <w:t xml:space="preserve">, </w:t>
      </w:r>
      <w:r>
        <w:rPr>
          <w:rFonts w:ascii="Sylfaen" w:hAnsi="Sylfaen" w:cs="Sylfaen"/>
        </w:rPr>
        <w:t>გასტროინტესტინალური</w:t>
      </w:r>
      <w:r>
        <w:t xml:space="preserve"> </w:t>
      </w:r>
      <w:r>
        <w:rPr>
          <w:rFonts w:ascii="Sylfaen" w:hAnsi="Sylfaen" w:cs="Sylfaen"/>
        </w:rPr>
        <w:t>გვერდითი</w:t>
      </w:r>
      <w:r>
        <w:t xml:space="preserve"> </w:t>
      </w:r>
      <w:r>
        <w:rPr>
          <w:rFonts w:ascii="Sylfaen" w:hAnsi="Sylfaen" w:cs="Sylfaen"/>
        </w:rPr>
        <w:t>მოვლენები</w:t>
      </w:r>
      <w:r>
        <w:t xml:space="preserve">, </w:t>
      </w:r>
      <w:r>
        <w:rPr>
          <w:rFonts w:ascii="Sylfaen" w:hAnsi="Sylfaen" w:cs="Sylfaen"/>
        </w:rPr>
        <w:t>პაციენტთა</w:t>
      </w:r>
      <w:r>
        <w:t xml:space="preserve"> </w:t>
      </w:r>
      <w:r>
        <w:rPr>
          <w:rFonts w:ascii="Sylfaen" w:hAnsi="Sylfaen" w:cs="Sylfaen"/>
        </w:rPr>
        <w:t>დაბალი</w:t>
      </w:r>
      <w:r>
        <w:t xml:space="preserve"> </w:t>
      </w:r>
      <w:r>
        <w:rPr>
          <w:rFonts w:ascii="Sylfaen" w:hAnsi="Sylfaen" w:cs="Sylfaen"/>
        </w:rPr>
        <w:t>დამყოლობა</w:t>
      </w:r>
      <w:r>
        <w:t xml:space="preserve"> </w:t>
      </w:r>
      <w:r>
        <w:rPr>
          <w:rFonts w:ascii="Sylfaen" w:hAnsi="Sylfaen" w:cs="Sylfaen"/>
        </w:rPr>
        <w:t>და</w:t>
      </w:r>
      <w:r>
        <w:t xml:space="preserve"> </w:t>
      </w:r>
      <w:r>
        <w:rPr>
          <w:rFonts w:ascii="Sylfaen" w:hAnsi="Sylfaen" w:cs="Sylfaen"/>
        </w:rPr>
        <w:t>საკვერცხის</w:t>
      </w:r>
      <w:r>
        <w:t xml:space="preserve"> </w:t>
      </w:r>
      <w:r>
        <w:rPr>
          <w:rFonts w:ascii="Sylfaen" w:hAnsi="Sylfaen" w:cs="Sylfaen"/>
        </w:rPr>
        <w:t>სპეციფიკურ</w:t>
      </w:r>
      <w:r>
        <w:t xml:space="preserve"> </w:t>
      </w:r>
      <w:r>
        <w:rPr>
          <w:rFonts w:ascii="Sylfaen" w:hAnsi="Sylfaen" w:cs="Sylfaen"/>
        </w:rPr>
        <w:t>სიგნალგადამცემ</w:t>
      </w:r>
      <w:r>
        <w:t xml:space="preserve"> </w:t>
      </w:r>
      <w:r>
        <w:rPr>
          <w:rFonts w:ascii="Sylfaen" w:hAnsi="Sylfaen" w:cs="Sylfaen"/>
        </w:rPr>
        <w:t>გზებზე</w:t>
      </w:r>
      <w:r>
        <w:t xml:space="preserve"> </w:t>
      </w:r>
      <w:r>
        <w:rPr>
          <w:rFonts w:ascii="Sylfaen" w:hAnsi="Sylfaen" w:cs="Sylfaen"/>
        </w:rPr>
        <w:t>შეზღუდული</w:t>
      </w:r>
      <w:r>
        <w:t xml:space="preserve"> </w:t>
      </w:r>
      <w:r>
        <w:rPr>
          <w:rFonts w:ascii="Sylfaen" w:hAnsi="Sylfaen" w:cs="Sylfaen"/>
        </w:rPr>
        <w:t>პირდაპირი</w:t>
      </w:r>
      <w:r>
        <w:t xml:space="preserve"> </w:t>
      </w:r>
      <w:r>
        <w:rPr>
          <w:rFonts w:ascii="Sylfaen" w:hAnsi="Sylfaen" w:cs="Sylfaen"/>
        </w:rPr>
        <w:t>გავლენა</w:t>
      </w:r>
      <w:r>
        <w:t xml:space="preserve"> </w:t>
      </w:r>
      <w:r>
        <w:rPr>
          <w:rFonts w:ascii="Sylfaen" w:hAnsi="Sylfaen" w:cs="Sylfaen"/>
        </w:rPr>
        <w:t>უფრო</w:t>
      </w:r>
      <w:r>
        <w:t xml:space="preserve"> </w:t>
      </w:r>
      <w:r>
        <w:rPr>
          <w:rFonts w:ascii="Sylfaen" w:hAnsi="Sylfaen" w:cs="Sylfaen"/>
        </w:rPr>
        <w:t>მიზნობრივი</w:t>
      </w:r>
      <w:r>
        <w:t xml:space="preserve"> </w:t>
      </w:r>
      <w:r>
        <w:rPr>
          <w:rFonts w:ascii="Sylfaen" w:hAnsi="Sylfaen" w:cs="Sylfaen"/>
        </w:rPr>
        <w:t>თერაპიული</w:t>
      </w:r>
      <w:r>
        <w:t xml:space="preserve"> </w:t>
      </w:r>
      <w:r>
        <w:rPr>
          <w:rFonts w:ascii="Sylfaen" w:hAnsi="Sylfaen" w:cs="Sylfaen"/>
        </w:rPr>
        <w:t>ალტერნატივის</w:t>
      </w:r>
      <w:r>
        <w:t xml:space="preserve"> </w:t>
      </w:r>
      <w:r>
        <w:rPr>
          <w:rFonts w:ascii="Sylfaen" w:hAnsi="Sylfaen" w:cs="Sylfaen"/>
        </w:rPr>
        <w:t>საჭიროებას</w:t>
      </w:r>
      <w:r>
        <w:t xml:space="preserve"> </w:t>
      </w:r>
      <w:r>
        <w:rPr>
          <w:rFonts w:ascii="Sylfaen" w:hAnsi="Sylfaen" w:cs="Sylfaen"/>
        </w:rPr>
        <w:t>ქმნის</w:t>
      </w:r>
      <w:r>
        <w:t>.</w:t>
      </w:r>
    </w:p>
    <w:p w14:paraId="3DE51B9F" w14:textId="54237ACE" w:rsidR="006B510F" w:rsidRDefault="006B510F" w:rsidP="006B510F">
      <w:pPr>
        <w:pStyle w:val="font-claude-response-body"/>
      </w:pPr>
      <w:r>
        <w:rPr>
          <w:rFonts w:ascii="Sylfaen" w:hAnsi="Sylfaen" w:cs="Sylfaen"/>
        </w:rPr>
        <w:t>სწორედ</w:t>
      </w:r>
      <w:r>
        <w:t xml:space="preserve"> </w:t>
      </w:r>
      <w:r>
        <w:rPr>
          <w:rFonts w:ascii="Sylfaen" w:hAnsi="Sylfaen" w:cs="Sylfaen"/>
        </w:rPr>
        <w:t>ამ</w:t>
      </w:r>
      <w:r>
        <w:t xml:space="preserve"> </w:t>
      </w:r>
      <w:r>
        <w:rPr>
          <w:rFonts w:ascii="Sylfaen" w:hAnsi="Sylfaen" w:cs="Sylfaen"/>
        </w:rPr>
        <w:t>ხარვეზს</w:t>
      </w:r>
      <w:r>
        <w:t xml:space="preserve"> </w:t>
      </w:r>
      <w:r>
        <w:rPr>
          <w:rFonts w:ascii="Sylfaen" w:hAnsi="Sylfaen" w:cs="Sylfaen"/>
        </w:rPr>
        <w:t>ავსებს</w:t>
      </w:r>
      <w:r>
        <w:t xml:space="preserve"> </w:t>
      </w:r>
      <w:r>
        <w:rPr>
          <w:rFonts w:ascii="Sylfaen" w:hAnsi="Sylfaen" w:cs="Sylfaen"/>
        </w:rPr>
        <w:t>მიო</w:t>
      </w:r>
      <w:r>
        <w:t>-</w:t>
      </w:r>
      <w:r>
        <w:rPr>
          <w:rFonts w:ascii="Sylfaen" w:hAnsi="Sylfaen" w:cs="Sylfaen"/>
        </w:rPr>
        <w:t>ინოზიტოლი</w:t>
      </w:r>
      <w:r>
        <w:t xml:space="preserve">. </w:t>
      </w:r>
      <w:r>
        <w:rPr>
          <w:rFonts w:ascii="Sylfaen" w:hAnsi="Sylfaen" w:cs="Sylfaen"/>
        </w:rPr>
        <w:t>როგორც</w:t>
      </w:r>
      <w:r>
        <w:t xml:space="preserve"> </w:t>
      </w:r>
      <w:r>
        <w:rPr>
          <w:rFonts w:ascii="Sylfaen" w:hAnsi="Sylfaen" w:cs="Sylfaen"/>
        </w:rPr>
        <w:t>ინსულინის</w:t>
      </w:r>
      <w:r>
        <w:t xml:space="preserve"> </w:t>
      </w:r>
      <w:r>
        <w:rPr>
          <w:rFonts w:ascii="Sylfaen" w:hAnsi="Sylfaen" w:cs="Sylfaen"/>
        </w:rPr>
        <w:t>სიგნალის</w:t>
      </w:r>
      <w:r>
        <w:t xml:space="preserve"> </w:t>
      </w:r>
      <w:r>
        <w:rPr>
          <w:rFonts w:ascii="Sylfaen" w:hAnsi="Sylfaen" w:cs="Sylfaen"/>
        </w:rPr>
        <w:t>მეორეული</w:t>
      </w:r>
      <w:r>
        <w:t xml:space="preserve"> </w:t>
      </w:r>
      <w:r>
        <w:rPr>
          <w:rFonts w:ascii="Sylfaen" w:hAnsi="Sylfaen" w:cs="Sylfaen"/>
        </w:rPr>
        <w:t>მესენჯერი</w:t>
      </w:r>
      <w:r>
        <w:t xml:space="preserve">, </w:t>
      </w:r>
      <w:r>
        <w:rPr>
          <w:rFonts w:ascii="Sylfaen" w:hAnsi="Sylfaen" w:cs="Sylfaen"/>
        </w:rPr>
        <w:t>იგი</w:t>
      </w:r>
      <w:r>
        <w:t xml:space="preserve"> </w:t>
      </w:r>
      <w:r>
        <w:rPr>
          <w:rFonts w:ascii="Sylfaen" w:hAnsi="Sylfaen" w:cs="Sylfaen"/>
        </w:rPr>
        <w:t>არა</w:t>
      </w:r>
      <w:r>
        <w:t xml:space="preserve"> </w:t>
      </w:r>
      <w:r>
        <w:rPr>
          <w:rFonts w:ascii="Sylfaen" w:hAnsi="Sylfaen" w:cs="Sylfaen"/>
        </w:rPr>
        <w:t>მხოლოდ</w:t>
      </w:r>
      <w:r>
        <w:t xml:space="preserve"> </w:t>
      </w:r>
      <w:r>
        <w:rPr>
          <w:rFonts w:ascii="Sylfaen" w:hAnsi="Sylfaen" w:cs="Sylfaen"/>
        </w:rPr>
        <w:t>აუმჯობესებს</w:t>
      </w:r>
      <w:r>
        <w:t xml:space="preserve"> </w:t>
      </w:r>
      <w:r>
        <w:rPr>
          <w:rFonts w:ascii="Sylfaen" w:hAnsi="Sylfaen" w:cs="Sylfaen"/>
        </w:rPr>
        <w:t>სისტემურ</w:t>
      </w:r>
      <w:r>
        <w:t xml:space="preserve"> </w:t>
      </w:r>
      <w:r>
        <w:rPr>
          <w:rFonts w:ascii="Sylfaen" w:hAnsi="Sylfaen" w:cs="Sylfaen"/>
        </w:rPr>
        <w:t>მეტაბოლიზმს</w:t>
      </w:r>
      <w:r>
        <w:t xml:space="preserve">, </w:t>
      </w:r>
      <w:r>
        <w:rPr>
          <w:rFonts w:ascii="Sylfaen" w:hAnsi="Sylfaen" w:cs="Sylfaen"/>
        </w:rPr>
        <w:t>არამედ</w:t>
      </w:r>
      <w:r>
        <w:t xml:space="preserve"> </w:t>
      </w:r>
      <w:r>
        <w:rPr>
          <w:rFonts w:ascii="Sylfaen" w:hAnsi="Sylfaen" w:cs="Sylfaen"/>
        </w:rPr>
        <w:t>გამოირჩევა</w:t>
      </w:r>
      <w:r>
        <w:t xml:space="preserve"> </w:t>
      </w:r>
      <w:r>
        <w:rPr>
          <w:rFonts w:ascii="Sylfaen" w:hAnsi="Sylfaen" w:cs="Sylfaen"/>
        </w:rPr>
        <w:t>საკვერცხეზე</w:t>
      </w:r>
      <w:r>
        <w:t xml:space="preserve"> </w:t>
      </w:r>
      <w:r>
        <w:rPr>
          <w:rFonts w:ascii="Sylfaen" w:hAnsi="Sylfaen" w:cs="Sylfaen"/>
        </w:rPr>
        <w:t>მიზნობრივი</w:t>
      </w:r>
      <w:r>
        <w:t xml:space="preserve"> </w:t>
      </w:r>
      <w:r>
        <w:rPr>
          <w:rFonts w:ascii="Sylfaen" w:hAnsi="Sylfaen" w:cs="Sylfaen"/>
        </w:rPr>
        <w:t>ტროპულობით</w:t>
      </w:r>
      <w:r>
        <w:t xml:space="preserve">. </w:t>
      </w:r>
      <w:r>
        <w:rPr>
          <w:rFonts w:ascii="Sylfaen" w:hAnsi="Sylfaen" w:cs="Sylfaen"/>
        </w:rPr>
        <w:t>ის</w:t>
      </w:r>
      <w:r>
        <w:t xml:space="preserve"> </w:t>
      </w:r>
      <w:r>
        <w:rPr>
          <w:rFonts w:ascii="Sylfaen" w:hAnsi="Sylfaen" w:cs="Sylfaen"/>
        </w:rPr>
        <w:t>აღადგენს</w:t>
      </w:r>
      <w:r>
        <w:t xml:space="preserve"> </w:t>
      </w:r>
      <w:r>
        <w:rPr>
          <w:rFonts w:ascii="Sylfaen" w:hAnsi="Sylfaen" w:cs="Sylfaen"/>
        </w:rPr>
        <w:t>ჰიპერინსულინემიის</w:t>
      </w:r>
      <w:r>
        <w:t xml:space="preserve"> </w:t>
      </w:r>
      <w:r>
        <w:rPr>
          <w:rFonts w:ascii="Sylfaen" w:hAnsi="Sylfaen" w:cs="Sylfaen"/>
        </w:rPr>
        <w:t>ფონზე</w:t>
      </w:r>
      <w:r>
        <w:t xml:space="preserve"> </w:t>
      </w:r>
      <w:r>
        <w:rPr>
          <w:rFonts w:ascii="Sylfaen" w:hAnsi="Sylfaen" w:cs="Sylfaen"/>
        </w:rPr>
        <w:t>დარღვეულ</w:t>
      </w:r>
      <w:r>
        <w:t xml:space="preserve"> </w:t>
      </w:r>
      <w:r>
        <w:rPr>
          <w:rFonts w:ascii="Sylfaen" w:hAnsi="Sylfaen" w:cs="Sylfaen"/>
        </w:rPr>
        <w:t>უჯრედშიდა</w:t>
      </w:r>
      <w:r>
        <w:t xml:space="preserve"> </w:t>
      </w:r>
      <w:r>
        <w:rPr>
          <w:rFonts w:ascii="Sylfaen" w:hAnsi="Sylfaen" w:cs="Sylfaen"/>
        </w:rPr>
        <w:t>ინოზიტოლურ</w:t>
      </w:r>
      <w:r>
        <w:t xml:space="preserve"> </w:t>
      </w:r>
      <w:r>
        <w:rPr>
          <w:rFonts w:ascii="Sylfaen" w:hAnsi="Sylfaen" w:cs="Sylfaen"/>
        </w:rPr>
        <w:t>ბალანსს</w:t>
      </w:r>
      <w:r>
        <w:t xml:space="preserve">, </w:t>
      </w:r>
      <w:r>
        <w:rPr>
          <w:rFonts w:ascii="Sylfaen" w:hAnsi="Sylfaen" w:cs="Sylfaen"/>
        </w:rPr>
        <w:t>ეფექტურად</w:t>
      </w:r>
      <w:r>
        <w:t xml:space="preserve"> </w:t>
      </w:r>
      <w:r>
        <w:rPr>
          <w:rFonts w:ascii="Sylfaen" w:hAnsi="Sylfaen" w:cs="Sylfaen"/>
        </w:rPr>
        <w:t>აქვეითებს</w:t>
      </w:r>
      <w:r>
        <w:t xml:space="preserve"> </w:t>
      </w:r>
      <w:r>
        <w:rPr>
          <w:rFonts w:ascii="Sylfaen" w:hAnsi="Sylfaen" w:cs="Sylfaen"/>
        </w:rPr>
        <w:t>ანდროგენებს</w:t>
      </w:r>
      <w:r>
        <w:t xml:space="preserve"> </w:t>
      </w:r>
      <w:r>
        <w:rPr>
          <w:rFonts w:ascii="Sylfaen" w:hAnsi="Sylfaen" w:cs="Sylfaen"/>
        </w:rPr>
        <w:t>და</w:t>
      </w:r>
      <w:r>
        <w:t xml:space="preserve"> </w:t>
      </w:r>
      <w:r>
        <w:rPr>
          <w:rFonts w:ascii="Sylfaen" w:hAnsi="Sylfaen" w:cs="Sylfaen"/>
        </w:rPr>
        <w:t>უზრუნველყოფს</w:t>
      </w:r>
      <w:r>
        <w:t xml:space="preserve"> </w:t>
      </w:r>
      <w:r>
        <w:rPr>
          <w:rFonts w:ascii="Sylfaen" w:hAnsi="Sylfaen" w:cs="Sylfaen"/>
        </w:rPr>
        <w:t>ოოციტის</w:t>
      </w:r>
      <w:r>
        <w:t xml:space="preserve"> </w:t>
      </w:r>
      <w:r>
        <w:rPr>
          <w:rFonts w:ascii="Sylfaen" w:hAnsi="Sylfaen" w:cs="Sylfaen"/>
        </w:rPr>
        <w:t>ხარისხის</w:t>
      </w:r>
      <w:r>
        <w:t xml:space="preserve"> </w:t>
      </w:r>
      <w:r>
        <w:rPr>
          <w:rFonts w:ascii="Sylfaen" w:hAnsi="Sylfaen" w:cs="Sylfaen"/>
        </w:rPr>
        <w:t>გაუმჯობესებას</w:t>
      </w:r>
      <w:r>
        <w:t xml:space="preserve"> </w:t>
      </w:r>
      <w:r w:rsidR="00791852">
        <w:rPr>
          <w:rFonts w:asciiTheme="minorHAnsi" w:hAnsiTheme="minorHAnsi"/>
          <w:lang w:val="ka-GE"/>
        </w:rPr>
        <w:t>-</w:t>
      </w:r>
      <w:r>
        <w:t xml:space="preserve"> </w:t>
      </w:r>
      <w:r>
        <w:rPr>
          <w:rFonts w:ascii="Sylfaen" w:hAnsi="Sylfaen" w:cs="Sylfaen"/>
        </w:rPr>
        <w:t>რაც</w:t>
      </w:r>
      <w:r>
        <w:t xml:space="preserve"> </w:t>
      </w:r>
      <w:r>
        <w:rPr>
          <w:rFonts w:ascii="Sylfaen" w:hAnsi="Sylfaen" w:cs="Sylfaen"/>
        </w:rPr>
        <w:t>მეთფორმინიდან</w:t>
      </w:r>
      <w:r>
        <w:t xml:space="preserve"> </w:t>
      </w:r>
      <w:r>
        <w:rPr>
          <w:rFonts w:ascii="Sylfaen" w:hAnsi="Sylfaen" w:cs="Sylfaen"/>
        </w:rPr>
        <w:t>კომპლექსურ</w:t>
      </w:r>
      <w:r>
        <w:t xml:space="preserve"> </w:t>
      </w:r>
      <w:r>
        <w:rPr>
          <w:rFonts w:ascii="Sylfaen" w:hAnsi="Sylfaen" w:cs="Sylfaen"/>
        </w:rPr>
        <w:t>მიდგომაზე</w:t>
      </w:r>
      <w:r>
        <w:t xml:space="preserve"> </w:t>
      </w:r>
      <w:r>
        <w:rPr>
          <w:rFonts w:ascii="Sylfaen" w:hAnsi="Sylfaen" w:cs="Sylfaen"/>
        </w:rPr>
        <w:t>გადასვლის</w:t>
      </w:r>
      <w:r>
        <w:t xml:space="preserve"> </w:t>
      </w:r>
      <w:r>
        <w:rPr>
          <w:rFonts w:ascii="Sylfaen" w:hAnsi="Sylfaen" w:cs="Sylfaen"/>
        </w:rPr>
        <w:t>მყარ</w:t>
      </w:r>
      <w:r>
        <w:t xml:space="preserve"> </w:t>
      </w:r>
      <w:r>
        <w:rPr>
          <w:rFonts w:ascii="Sylfaen" w:hAnsi="Sylfaen" w:cs="Sylfaen"/>
        </w:rPr>
        <w:t>კლინიკურ</w:t>
      </w:r>
      <w:r>
        <w:t xml:space="preserve"> </w:t>
      </w:r>
      <w:r>
        <w:rPr>
          <w:rFonts w:ascii="Sylfaen" w:hAnsi="Sylfaen" w:cs="Sylfaen"/>
        </w:rPr>
        <w:t>საფუძველს</w:t>
      </w:r>
      <w:r>
        <w:t xml:space="preserve"> </w:t>
      </w:r>
      <w:r>
        <w:rPr>
          <w:rFonts w:ascii="Sylfaen" w:hAnsi="Sylfaen" w:cs="Sylfaen"/>
        </w:rPr>
        <w:t>ქმნის</w:t>
      </w:r>
      <w:r>
        <w:t>.</w:t>
      </w:r>
    </w:p>
    <w:p w14:paraId="073E120E" w14:textId="77777777" w:rsidR="00791852" w:rsidRDefault="00791852" w:rsidP="00791852">
      <w:pPr>
        <w:pStyle w:val="NormalWeb"/>
      </w:pPr>
      <w:r>
        <w:rPr>
          <w:b/>
          <w:bCs/>
        </w:rPr>
        <w:t>Title: Myo-Inositol – A New Standard in the Management of Insulin Resistance: From Metformin to a Comprehensive Approach</w:t>
      </w:r>
    </w:p>
    <w:p w14:paraId="73474A32" w14:textId="77777777" w:rsidR="00791852" w:rsidRDefault="00791852" w:rsidP="00791852">
      <w:pPr>
        <w:pStyle w:val="NormalWeb"/>
      </w:pPr>
      <w:r>
        <w:t xml:space="preserve">Insulin resistance and the concomitant metabolic syndrome represent one of the primary clinical challenges in gynecological endocrinology. In this context, the direct toxic impact of compensatory hyperinsulinemia on ovarian tissue warrants particular attention. Excess insulin stimulates the hypersecretion of androgens by theca cells and disrupts the dynamics of </w:t>
      </w:r>
      <w:r>
        <w:lastRenderedPageBreak/>
        <w:t>folliculogenesis, constituting a fundamental mechanism in the pathogenesis of Polyendocrine Metabolic Ovarian Syndrome (PMOS), chronic anovulation, and infertility.</w:t>
      </w:r>
    </w:p>
    <w:p w14:paraId="10F65954" w14:textId="77777777" w:rsidR="00791852" w:rsidRDefault="00791852" w:rsidP="00791852">
      <w:pPr>
        <w:pStyle w:val="NormalWeb"/>
      </w:pPr>
      <w:r>
        <w:t>Consequently, the comprehensive management of metabolic syndrome is of paramount importance in gynecological practice. The restoration of insulin sensitivity at the cellular level exerts a direct and positive effect on ovarian function: it reduces local hyperandrogenemia and resolves the developmental arrest of follicles. This process facilitates the regulation of the menstrual cycle, improves oocyte quality, and significantly increases the rate of spontaneous ovulation. Thus, metabolic control is an indispensable prerequisite for the restoration of fertility.</w:t>
      </w:r>
    </w:p>
    <w:p w14:paraId="55CD940D" w14:textId="77777777" w:rsidR="00791852" w:rsidRDefault="00791852" w:rsidP="00791852">
      <w:pPr>
        <w:pStyle w:val="NormalWeb"/>
      </w:pPr>
      <w:r>
        <w:t>Historically, metformin has been considered the pharmacological gold standard for achieving these clinical end-points. However, its gastrointestinal adverse effects, suboptimal patient compliance, and limited direct influence on ovary-specific intracellular signaling pathways necessitate a more targeted therapeutic alternative.</w:t>
      </w:r>
    </w:p>
    <w:p w14:paraId="4AB59AD4" w14:textId="393C08F5" w:rsidR="00791852" w:rsidRDefault="00791852" w:rsidP="00791852">
      <w:pPr>
        <w:pStyle w:val="NormalWeb"/>
      </w:pPr>
      <w:r>
        <w:t>Myo-inositol precisely addresses this therapeutic gap. Functioning as a second messenger in the insulin signaling cascade, it not only improves systemic metabolism but also exhibits a targeted tropism for the ovary. It restores the intracellular inositol balance that is compromised by hyperinsulinemia, effectively mitigates androgen levels, and enhances oocyte quality</w:t>
      </w:r>
      <w:r>
        <w:rPr>
          <w:rFonts w:asciiTheme="minorHAnsi" w:hAnsiTheme="minorHAnsi"/>
          <w:lang w:val="ka-GE"/>
        </w:rPr>
        <w:t>-</w:t>
      </w:r>
      <w:r>
        <w:t>thereby establishing a robust clinical rationale for transitioning from metformin to a comprehensive management approach.</w:t>
      </w:r>
    </w:p>
    <w:p w14:paraId="37EB34C5" w14:textId="77777777" w:rsidR="006B510F" w:rsidRPr="00E07EF2" w:rsidRDefault="006B510F" w:rsidP="006B510F">
      <w:pPr>
        <w:pStyle w:val="NormalWeb"/>
      </w:pPr>
    </w:p>
    <w:sectPr w:rsidR="006B510F" w:rsidRPr="00E07EF2" w:rsidSect="005B2D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22599"/>
    <w:multiLevelType w:val="multilevel"/>
    <w:tmpl w:val="37EA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A75EE"/>
    <w:multiLevelType w:val="multilevel"/>
    <w:tmpl w:val="F11A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B689B"/>
    <w:multiLevelType w:val="multilevel"/>
    <w:tmpl w:val="818C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AF1B0B"/>
    <w:multiLevelType w:val="multilevel"/>
    <w:tmpl w:val="397A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503436"/>
    <w:multiLevelType w:val="multilevel"/>
    <w:tmpl w:val="5F6C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9D5"/>
    <w:rsid w:val="00056536"/>
    <w:rsid w:val="000A34B3"/>
    <w:rsid w:val="004F09D5"/>
    <w:rsid w:val="005661A5"/>
    <w:rsid w:val="005B2DAE"/>
    <w:rsid w:val="006B510F"/>
    <w:rsid w:val="00791852"/>
    <w:rsid w:val="00E07EF2"/>
    <w:rsid w:val="00E742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11514"/>
  <w15:chartTrackingRefBased/>
  <w15:docId w15:val="{000A4A2C-9958-47CF-BC72-FAC11706B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E742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7426C"/>
    <w:rPr>
      <w:rFonts w:ascii="Times New Roman" w:eastAsia="Times New Roman" w:hAnsi="Times New Roman" w:cs="Times New Roman"/>
      <w:b/>
      <w:bCs/>
      <w:sz w:val="27"/>
      <w:szCs w:val="27"/>
    </w:rPr>
  </w:style>
  <w:style w:type="paragraph" w:styleId="NormalWeb">
    <w:name w:val="Normal (Web)"/>
    <w:basedOn w:val="Normal"/>
    <w:uiPriority w:val="99"/>
    <w:unhideWhenUsed/>
    <w:rsid w:val="00E742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6B51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51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586842">
      <w:bodyDiv w:val="1"/>
      <w:marLeft w:val="0"/>
      <w:marRight w:val="0"/>
      <w:marTop w:val="0"/>
      <w:marBottom w:val="0"/>
      <w:divBdr>
        <w:top w:val="none" w:sz="0" w:space="0" w:color="auto"/>
        <w:left w:val="none" w:sz="0" w:space="0" w:color="auto"/>
        <w:bottom w:val="none" w:sz="0" w:space="0" w:color="auto"/>
        <w:right w:val="none" w:sz="0" w:space="0" w:color="auto"/>
      </w:divBdr>
    </w:div>
    <w:div w:id="301424118">
      <w:bodyDiv w:val="1"/>
      <w:marLeft w:val="0"/>
      <w:marRight w:val="0"/>
      <w:marTop w:val="0"/>
      <w:marBottom w:val="0"/>
      <w:divBdr>
        <w:top w:val="none" w:sz="0" w:space="0" w:color="auto"/>
        <w:left w:val="none" w:sz="0" w:space="0" w:color="auto"/>
        <w:bottom w:val="none" w:sz="0" w:space="0" w:color="auto"/>
        <w:right w:val="none" w:sz="0" w:space="0" w:color="auto"/>
      </w:divBdr>
    </w:div>
    <w:div w:id="441070648">
      <w:bodyDiv w:val="1"/>
      <w:marLeft w:val="0"/>
      <w:marRight w:val="0"/>
      <w:marTop w:val="0"/>
      <w:marBottom w:val="0"/>
      <w:divBdr>
        <w:top w:val="none" w:sz="0" w:space="0" w:color="auto"/>
        <w:left w:val="none" w:sz="0" w:space="0" w:color="auto"/>
        <w:bottom w:val="none" w:sz="0" w:space="0" w:color="auto"/>
        <w:right w:val="none" w:sz="0" w:space="0" w:color="auto"/>
      </w:divBdr>
    </w:div>
    <w:div w:id="1101025113">
      <w:bodyDiv w:val="1"/>
      <w:marLeft w:val="0"/>
      <w:marRight w:val="0"/>
      <w:marTop w:val="0"/>
      <w:marBottom w:val="0"/>
      <w:divBdr>
        <w:top w:val="none" w:sz="0" w:space="0" w:color="auto"/>
        <w:left w:val="none" w:sz="0" w:space="0" w:color="auto"/>
        <w:bottom w:val="none" w:sz="0" w:space="0" w:color="auto"/>
        <w:right w:val="none" w:sz="0" w:space="0" w:color="auto"/>
      </w:divBdr>
    </w:div>
    <w:div w:id="1292133714">
      <w:bodyDiv w:val="1"/>
      <w:marLeft w:val="0"/>
      <w:marRight w:val="0"/>
      <w:marTop w:val="0"/>
      <w:marBottom w:val="0"/>
      <w:divBdr>
        <w:top w:val="none" w:sz="0" w:space="0" w:color="auto"/>
        <w:left w:val="none" w:sz="0" w:space="0" w:color="auto"/>
        <w:bottom w:val="none" w:sz="0" w:space="0" w:color="auto"/>
        <w:right w:val="none" w:sz="0" w:space="0" w:color="auto"/>
      </w:divBdr>
    </w:div>
    <w:div w:id="187361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tekla</dc:creator>
  <cp:keywords/>
  <dc:description/>
  <cp:lastModifiedBy>tekla</cp:lastModifiedBy>
  <cp:revision>5</cp:revision>
  <dcterms:created xsi:type="dcterms:W3CDTF">2026-05-22T12:05:00Z</dcterms:created>
  <dcterms:modified xsi:type="dcterms:W3CDTF">2026-05-23T12:33:00Z</dcterms:modified>
</cp:coreProperties>
</file>