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1.1. История как наука. Хронологические и географические рамки курса. История России и всеобщая история</w:t>
      </w:r>
    </w:p>
    <w:p>
      <w:pPr>
        <w:pStyle w:val="Шапка"/>
      </w:pPr>
      <w:r>
        <w:t>Раздел 1. Общие вопросы курса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открывает курс и задаёт инструментарий для всех последующих занятий. Здесь решаются три предварительных вопроса: на каком основании историк вообще что-либо утверждает о прошлом, в каких единицах он измеряет время и пространство своего предмета и как отечественная история соотносится с историей других стран. Всё, что будет сказано в следующих разделах о Руси, Московском царстве, империи и советском государстве, опирается на ответы, которые даются сегодня.</w:t>
      </w:r>
    </w:p>
    <w:p>
      <w:pPr>
        <w:pStyle w:val="Слайд"/>
      </w:pPr>
      <w:r>
        <w:t>[слайд 2 — Постановка проблемы]</w:t>
      </w:r>
    </w:p>
    <w:p>
      <w:pPr>
        <w:pStyle w:val="BodyText"/>
      </w:pPr>
      <w:r>
        <w:t>Двойственность слова заложена в самом его происхождении. Греческое ἱστορία означало «расспрос», «разыскание», и Геродот в первой фразе своего труда называет его изложением результатов расспросов. Иначе говоря, у истоков дисциплины слово обозначало процедуру добывания знания, и лишь позднее оно перешло на сами события. В русском языке похожий сдвиг произошёл со словом «летопись»: первоначально это запись по годам, затем — сам ход событий, «летопись подвига».</w:t>
      </w:r>
    </w:p>
    <w:p>
      <w:pPr>
        <w:pStyle w:val="BodyText"/>
      </w:pPr>
      <w:r>
        <w:t>Практическое следствие различения состоит в следующем. Когда два человека спорят, «какой была» эпоха Ивана Грозного, они почти никогда не спорят о событиях. Они спорят о текстах, через которые эти события им известны, о том, каким текстам доверять и как их связывать. Пока это не осознано, спор неразрешим. Как только он переведён на уровень источников и правил их прочтения, у него появляется предмет, а у участников — общие критерии.</w:t>
      </w:r>
    </w:p>
    <w:p>
      <w:pPr>
        <w:pStyle w:val="Слайд"/>
      </w:pPr>
      <w:r>
        <w:t>[слайд 3 — План лекции]</w:t>
      </w:r>
    </w:p>
    <w:p>
      <w:pPr>
        <w:pStyle w:val="BodyText"/>
      </w:pPr>
      <w:r>
        <w:t>Пять вопросов лекции выстроены в порядке, в котором работает сам исследователь. Сначала устанавливается, что такое научное знание о прошлом и чем оно отличается от других способов обращения с прошлым. Затем рассматривается материал, из которого это знание строится. Третий и четвёртый вопросы задают координаты — время и пространство. Пятый вводит сравнение, без которого невозможно говорить об истории одной страны как о части истории человечества.</w:t>
      </w:r>
    </w:p>
    <w:p>
      <w:pPr>
        <w:pStyle w:val="Слайд"/>
      </w:pPr>
      <w:r>
        <w:t>[слайд 4 — Организация курса]</w:t>
      </w:r>
    </w:p>
    <w:p>
      <w:pPr>
        <w:pStyle w:val="BodyText"/>
      </w:pPr>
      <w:r>
        <w:t>Распределение часов показывает, где проходит основная работа: самостоятельная часть превышает лекционную. Лекция даёт каркас — понятия, хронологию, спорные вопросы и способы их решения. Чтение источников и литературы наполняет этот каркас. По каждому разделу предусмотрен контроль, поэтому накопление материала к экзамену идёт постепенно.</w:t>
      </w:r>
    </w:p>
    <w:p>
      <w:pPr>
        <w:pStyle w:val="BodyText"/>
      </w:pPr>
      <w:r>
        <w:t>Требование «изложить и сопоставить разные оценки» заслуживает отдельного пояснения. На экзамене оценивается умение показать, на каких источниках и рассуждениях держится та или иная точка зрения и в чём именно расходятся её сторонники и противники. Пересказ одной оценки, пусть даже хорошо аргументированной, этому требованию не отвечает. Компетенция УК-5 в применении к истории означает умение видеть, что люди другой эпохи и другой культуры рассуждали по своей логике, и восстанавливать эту логику, прежде чем её оценивать.</w:t>
      </w:r>
    </w:p>
    <w:p>
      <w:pPr>
        <w:pStyle w:val="Heading2"/>
      </w:pPr>
      <w:r>
        <w:t>Вопрос первый. Историческая наука и её метод</w:t>
      </w:r>
    </w:p>
    <w:p>
      <w:pPr>
        <w:pStyle w:val="Слайд"/>
      </w:pPr>
      <w:r>
        <w:t>[слайд 5 — Вопрос первый]</w:t>
      </w:r>
    </w:p>
    <w:p>
      <w:pPr>
        <w:pStyle w:val="BodyText"/>
      </w:pPr>
      <w:r>
        <w:t>Первый вопрос касается устройства исторического знания: из чего оно складывается, по каким правилам проверяется и как менялись эти правила на протяжении последних трёх с половиной столетий.</w:t>
      </w:r>
    </w:p>
    <w:p>
      <w:pPr>
        <w:pStyle w:val="Слайд"/>
      </w:pPr>
      <w:r>
        <w:t>[слайд 6 — Два значения слова]</w:t>
      </w:r>
    </w:p>
    <w:p>
      <w:pPr>
        <w:pStyle w:val="BodyText"/>
      </w:pPr>
      <w:r>
        <w:t>Схема фиксирует положение историка в отличие от положения естествоиспытателя. Физик может повторить опыт, геолог — заново осмотреть обнажение пород. Историку событие недоступно ни в каком виде: битва на Калке, Земский собор 1613 года или заседание Политбюро существуют для него только как совокупность записей, предметов и изображений, причём каждый из этих следов уже является чьим-то отбором и чьим-то взглядом.</w:t>
      </w:r>
    </w:p>
    <w:p>
      <w:pPr>
        <w:pStyle w:val="BodyText"/>
      </w:pPr>
      <w:r>
        <w:t>Отсюда вторая составляющая правой части схемы — написанное ранее. Исследователь, приступающий к теме, застаёт её уже описанной, с готовыми терминами, сложившимися оценками и привычной последовательностью событий. Значительная часть работы состоит в том, чтобы отделить сообщения источников от того, что к ним добавили предшественники. Например, привычное выражение «татаро-монгольское иго» в источниках XIII–XV веков не встречается: слово «иго» в этом значении закрепилось в литературе XVI–XVII веков, а составное название — ещё позднее.</w:t>
      </w:r>
    </w:p>
    <w:p>
      <w:pPr>
        <w:pStyle w:val="Слайд"/>
      </w:pPr>
      <w:r>
        <w:t>[слайд 7 — Предмет и метод]</w:t>
      </w:r>
    </w:p>
    <w:p>
      <w:pPr>
        <w:pStyle w:val="BodyText"/>
      </w:pPr>
      <w:r>
        <w:t>Предмет исторической науки за последнее столетие расширялся непрерывно. В XIX веке под историей прежде всего понимали историю государства, его войн, законов и правителей. Затем в предмет вошли хозяйство и социальные группы, позднее — представления людей, их страхи, ожидания, отношение к детству и смерти. Сегодня существуют истории климата, болезней, запахов и эмоций, и каждая из них опирается на свой круг источников.</w:t>
      </w:r>
    </w:p>
    <w:p>
      <w:pPr>
        <w:pStyle w:val="BodyText"/>
      </w:pPr>
      <w:r>
        <w:t>Метод при этом остаётся общим. Критика источника и сопоставление независимых свидетельств применяются к летописи XII века точно так же, как к газете 1937 года. Сравнение сходных случаев заменяет историку эксперимент: если сходные причины в разных обществах дают сходный результат, связь получает подтверждение; если результат различается, ищется фактор, который это различие объясняет.</w:t>
      </w:r>
    </w:p>
    <w:p>
      <w:pPr>
        <w:pStyle w:val="BodyText"/>
      </w:pPr>
      <w:r>
        <w:t>Принцип опровержимости, вынесенный на слайд, сформулирован философом науки К. Поппером для естествознания, однако в истории он работает в особой форме. Историческое утверждение проверяется через возвращение к источнику: любой читатель научной работы должен иметь возможность по ссылке найти документ и убедиться, что сказанное в нём действительно сказано. Поэтому сноска в историческом тексте выполняет ту же функцию, что описание методики эксперимента в статье по химии.</w:t>
      </w:r>
    </w:p>
    <w:p>
      <w:pPr>
        <w:pStyle w:val="Слайд"/>
      </w:pPr>
      <w:r>
        <w:t>[слайд 8 — Наука, память, политика]</w:t>
      </w:r>
    </w:p>
    <w:p>
      <w:pPr>
        <w:pStyle w:val="BodyText"/>
      </w:pPr>
      <w:r>
        <w:t>Таблица разводит три способа обращения с прошлым, которые в повседневной речи обозначаются одним словом. Наиболее существен второй её ряд — отношение к противоречию. Для исследователя противоречие между источниками служит отправной точкой работы: именно в месте расхождения обычно скрыто то, что пытались утаить, исказить или по-разному поняли современники. Семейная и групповая память стремится к цельному рассказу и противоречий не удерживает. Политика памяти устраняет их сознательно, поскольку ей нужен однозначный вывод для настоящего.</w:t>
      </w:r>
    </w:p>
    <w:p>
      <w:pPr>
        <w:pStyle w:val="BodyText"/>
      </w:pPr>
      <w:r>
        <w:t>Память при этом не является «ошибочной наукой». Она решает свою задачу — сохраняет связь поколений и самоопределение группы — и сама становится предметом исторического исследования. Французский историк П. Нора в 1980-х годах предложил понятие «мест памяти»: памятников, праздников, учебников, названий улиц, через которые общество закрепляет образ прошлого. История таких мест позволяет понять, как и почему одни сюжеты прошлого становятся общезначимыми, а другие забываются. Для России показательный пример — история праздника 4 ноября: дата освобождения Москвы в 1612 году отмечалась как церковный праздник иконы Казанской Божией Матери, затем выпала из календаря и была восстановлена как государственный праздник в 2005 году.</w:t>
      </w:r>
    </w:p>
    <w:p>
      <w:pPr>
        <w:pStyle w:val="Слайд"/>
      </w:pPr>
      <w:r>
        <w:t>[слайд 9 — Порядок работы историка]</w:t>
      </w:r>
    </w:p>
    <w:p>
      <w:pPr>
        <w:pStyle w:val="BodyText"/>
      </w:pPr>
      <w:r>
        <w:t>Цепочка на слайде показывает последовательность операций. Её практическая ценность заключается в вертикальной границе между фактом и интерпретацией. Утверждение «в 1497 году издан Судебник, ограничивший переход крестьян неделей до и после Юрьева дня» относится к левой части: оно проверяется по тексту Судебника. Утверждение «с 1497 года началось закрепощение крестьянства» относится к правой: оно связывает норму с последующими событиями и предполагает определённую оценку того, что такое закрепощение и когда оно может считаться начавшимся.</w:t>
      </w:r>
    </w:p>
    <w:p>
      <w:pPr>
        <w:pStyle w:val="BodyText"/>
      </w:pPr>
      <w:r>
        <w:t>В дискуссии полезно сразу определить, по какую сторону границы находится предмет разногласий. Спор о факте разрешается обращением к источнику. Спор об интерпретации разрешается иначе: сопоставлением объяснительной силы разных версий — какая из них охватывает больше известных фактов и меньше нуждается в дополнительных допущениях.</w:t>
      </w:r>
    </w:p>
    <w:p>
      <w:pPr>
        <w:pStyle w:val="Слайд"/>
      </w:pPr>
      <w:r>
        <w:t>[слайд 10 — Становление дисциплины]</w:t>
      </w:r>
    </w:p>
    <w:p>
      <w:pPr>
        <w:pStyle w:val="BodyText"/>
      </w:pPr>
      <w:r>
        <w:t>Правила проверки документа сложились раньше, чем историческая наука в современном смысле. В 1440 году итальянский гуманист Лоренцо Валла доказал подложность «Константинова дара» — грамоты, по которой император Константин якобы передал папе власть над Западом. Аргументы Валлы были филологическими: в тексте, приписанном IV веку, встречались слова и обороты, появившиеся в латыни несколькими столетиями позже. Это первый известный случай, когда знание языка эпохи стало решающим доказательством в историческом споре.</w:t>
      </w:r>
    </w:p>
    <w:p>
      <w:pPr>
        <w:pStyle w:val="BodyText"/>
      </w:pPr>
      <w:r>
        <w:t>Систематическую форму этим правилам придали бенедиктинцы конгрегации Святого Мавра. Поводом послужил вызов: в 1675 году иезуит Даниэль Папеброх объявил подозрительными почти все древние грамоты французских монастырей. В ответ Жан Мабильон в 1681 году выпустил трактат «О дипломатике», где на сотнях образцов показал, как по письму, формулам, печатям и материалу отличить подлинную грамоту от поддельной. Папеброх публично признал правоту оппонента. Бернар де Монфокон в 1708 году сделал то же для греческих рукописей и дал название палеографии.</w:t>
      </w:r>
    </w:p>
    <w:p>
      <w:pPr>
        <w:pStyle w:val="BodyText"/>
      </w:pPr>
      <w:r>
        <w:t>Эдуард Гиббон, по собственному признанию, задумал «Историю упадка и разрушения Римской империи» в октябре 1764 года, сидя среди развалин Капитолия. Его труд важен постановкой вопроса: падение государства рассматривается как процесс, имеющий причины, которые можно назвать и обсудить.</w:t>
      </w:r>
    </w:p>
    <w:p>
      <w:pPr>
        <w:pStyle w:val="BodyText"/>
      </w:pPr>
      <w:r>
        <w:t>Леопольд фон Ранке в предисловии к своей первой книге в 1824 году заявил, что хочет лишь показать, «как это собственно было». Фраза стала лозунгом документальной истории, а его семинар в Берлинском университете — образцом подготовки историков: студенты учились на разборе подлинных актов. Через два поколения такие семинары существовали во всех крупных университетах Европы и в России.</w:t>
      </w:r>
    </w:p>
    <w:p>
      <w:pPr>
        <w:pStyle w:val="BodyText"/>
      </w:pPr>
      <w:r>
        <w:t>Журнал «Анналы экономической и социальной истории», основанный в Страсбурге в 1929 году Марком Блоком и Люсьеном Февром, перенёс внимание на структуры: хозяйство, социальные связи, представления. Судьба Блока сама стала частью истории дисциплины: участник Сопротивления, он был расстрелян гестапо 16 июня 1944 года под Лионом, а его незаконченная книга «Апология истории» вышла посмертно. Фернан Бродель написал основную часть книги о Средиземноморье в эпоху Филиппа II в немецком лагере для военнопленных, работая по памяти и пересылая тетради Февру.</w:t>
      </w:r>
    </w:p>
    <w:p>
      <w:pPr>
        <w:pStyle w:val="BodyText"/>
      </w:pPr>
      <w:r>
        <w:t>Среди имён на слайде есть и выпускник Петербургского университета. Михаил Ростовцев, эмигрировавший после 1918 года, создал в Йельском университете обобщающие труды по социально-экономической истории эллинистического мира и Римской империи, которые остаются классическими. Райнхарт Козеллек возглавил многотомный словарь «Основные исторические понятия», где показано, как в Германии 1750–1850 годов менялось значение слов «государство», «революция», «прогресс». Для лингвиста это направление ближе других: оно рассматривает язык эпохи как источник сведений о самой эпохе.</w:t>
      </w:r>
    </w:p>
    <w:p>
      <w:pPr>
        <w:pStyle w:val="Слайд"/>
      </w:pPr>
      <w:r>
        <w:t>[слайд 11 — Русская традиция]</w:t>
      </w:r>
    </w:p>
    <w:p>
      <w:pPr>
        <w:pStyle w:val="BodyText"/>
      </w:pPr>
      <w:r>
        <w:t>Василий Никитич Татищев был по должности горным администратором, и большую часть жизни провёл на Урале: в 1723 году вместе с В. де Генниным он основал Екатеринбург, позднее руководил казёнными заводами края. «История Российская» писалась параллельно с этой службой и была издана лишь в 1768–1784 годах, после смерти автора. Главная загадка труда — «татищевские известия»: сведения, которых нет ни в одной сохранившейся летописи, включая так называемую Иоакимовскую летопись о ранней истории Новгорода. Одни исследователи считают их следами утраченных рукописей, другие — реконструкциями самого Татищева. Спор продолжается почти два столетия и служит образцовым примером того, как трудно оценить сведения, источник которых не сохранился.</w:t>
      </w:r>
    </w:p>
    <w:p>
      <w:pPr>
        <w:pStyle w:val="BodyText"/>
      </w:pPr>
      <w:r>
        <w:t>Николай Михайлович Карамзин получил в 1803 году звание придворного историографа. Первые восемь томов «Истории государства Российского» вышли в феврале 1818 года тиражом три тысячи экземпляров и разошлись за двадцать пять дней, что для того времени было явлением исключительным. А. С. Пушкин писал, что древняя Россия будто бы была найдена Карамзиным, как Америка Колумбом. Основной текст рассчитан на широкого читателя, а примечания, сопоставимые с ним по объёму, содержат выписки из рукописей, многие из которых позднее погибли, в том числе в московском пожаре 1812 года.</w:t>
      </w:r>
    </w:p>
    <w:p>
      <w:pPr>
        <w:pStyle w:val="BodyText"/>
      </w:pPr>
      <w:r>
        <w:t>Сергей Михайлович Соловьёв выпускал по тому «Истории России с древнейших времён» ежегодно с 1851 по 1879 год, доведя изложение до 1770-х годов в 29 томах. В центре его концепции — государство как форма, в которой народ осуществляет своё историческое развитие, и борьба государственного начала с родовым.</w:t>
      </w:r>
    </w:p>
    <w:p>
      <w:pPr>
        <w:pStyle w:val="BodyText"/>
      </w:pPr>
      <w:r>
        <w:t>Его ученик Василий Осипович Ключевский сформулировал одно из самых цитируемых положений русской историографии: история России есть история страны, которая колонизуется. Через этот тезис переселение, освоение новых земель и подвижность населения стали ключом к пониманию общественного строя. Сергей Фёдорович Платонов в «Очерках по истории Смуты» показал, как систематический разбор каждого источника позволяет восстановить логику событий, казавшихся хаотическими. В 1930 году Платонов был арестован по так называемому «академическому делу» и умер в ссылке в Самаре.</w:t>
      </w:r>
    </w:p>
    <w:p>
      <w:pPr>
        <w:pStyle w:val="Слайд"/>
      </w:pPr>
      <w:r>
        <w:t>[слайд 12 — Советская школа]</w:t>
      </w:r>
    </w:p>
    <w:p>
      <w:pPr>
        <w:pStyle w:val="BodyText"/>
      </w:pPr>
      <w:r>
        <w:t>Формационная схема пришла в отечественную историографию из работ К. Маркса и была канонизирована в 1930-х годах. Её привлекательность для исследователя заключалась в обязательном внимании к хозяйственной основе общества, к производству, повинностям, распределению земли. Многотомные исследования аграрной истории, истории городов и ремесла, выполненные в этой рамке, сохраняют ценность благодаря собранному и опубликованному материалу.</w:t>
      </w:r>
    </w:p>
    <w:p>
      <w:pPr>
        <w:pStyle w:val="BodyText"/>
      </w:pPr>
      <w:r>
        <w:t>Трудности возникали там, где реальный материал не укладывался в предписанную последовательность. Для Древней Руси так и не удалось убедительно выделить рабовладельческую стадию, и долгие дискуссии о «феодализме» в X–XI веках во многом были спорами о том, как втиснуть известные факты в обязательную схему. Показательна судьба понятия «азиатский способ производства», упомянутого Марксом: его обсуждение в 1920–1930-х годах было прекращено именно потому, что оно нарушало единую линию развития.</w:t>
      </w:r>
    </w:p>
    <w:p>
      <w:pPr>
        <w:pStyle w:val="Слайд"/>
      </w:pPr>
      <w:r>
        <w:t>[слайд 13 — Три имени из программы]</w:t>
      </w:r>
    </w:p>
    <w:p>
      <w:pPr>
        <w:pStyle w:val="BodyText"/>
      </w:pPr>
      <w:r>
        <w:t>Михаил Николаевич Тихомиров выпустил в 1946 году книгу «Древнерусские города», где на основе летописей, актов и археологии показал развитую городскую жизнь домонгольской Руси. Он возглавлял Археографическую комиссию Академии наук, и при его участии началось систематическое издание Полного собрания русских летописей после долгого перерыва.</w:t>
      </w:r>
    </w:p>
    <w:p>
      <w:pPr>
        <w:pStyle w:val="BodyText"/>
      </w:pPr>
      <w:r>
        <w:t>Находка, связанная с именем Артемия Владимировича Арциховского, произошла 26 июля 1951 года на Неревском раскопе в Новгороде: работница экспедиции Нина Акулова подняла из слоя XIV века свёрток бересты с процарапанными буквами. Сегодня известно более тысячи ста новгородских грамот и несколько сотен из других городов. Они принесли письма простых горожан, долговые записи, ученические упражнения, среди которых — знаменитые рисунки и азбука мальчика Онфима XIII века. Для лингвистики грамоты стали открытием отдельного языкового пласта: А. А. Зализняк по ним реконструировал древненовгородский диалект, заметно отличавшийся от языка летописей.</w:t>
      </w:r>
    </w:p>
    <w:p>
      <w:pPr>
        <w:pStyle w:val="BodyText"/>
      </w:pPr>
      <w:r>
        <w:t>Игорь Яковлевич Фроянов в книге «Киевская Русь: очерки социально-экономической истории» (1974) и последующих работах доказывал, что общественный строй Руси X–XII веков определяли городовые общины и вече, а княжеская власть была подконтрольна им. Позиция вызвала острую полемику, поскольку противоречила общепринятой датировке феодализма; ленинградская школа Фроянова и её оппоненты продолжают спор до сих пор.</w:t>
      </w:r>
    </w:p>
    <w:p>
      <w:pPr>
        <w:pStyle w:val="Слайд"/>
      </w:pPr>
      <w:r>
        <w:t>[слайд 14 — Современные направления]</w:t>
      </w:r>
    </w:p>
    <w:p>
      <w:pPr>
        <w:pStyle w:val="BodyText"/>
      </w:pPr>
      <w:r>
        <w:t>Книга Э. П. Томпсона «Виги и охотники» (1975) посвящена так называемому «Чёрному акту» 1723 года, который ввёл в Англии около пятидесяти новых составов преступлений, караемых смертной казнью, — за браконьерство в королевских лесах, порчу деревьев, появление в лесу с зачернённым лицом. Томпсон показал, что за суровостью закона стояло столкновение крестьянских обычаев пользования лесом с новыми представлениями о собственности. Неожиданный вывод книги, вызвавший долгий спор среди марксистов, — признание того, что право, даже служа интересам господствующих групп, одновременно ограничивает их и потому не сводится к инструменту насилия.</w:t>
      </w:r>
    </w:p>
    <w:p>
      <w:pPr>
        <w:pStyle w:val="BodyText"/>
      </w:pPr>
      <w:r>
        <w:t>Классический образец микроистории — книга Карло Гинзбурга «Сыр и черви» (1976) о фриульском мельнике Доменико Сканделле по прозвищу Меноккио, сожжённом по приговору инквизиции в 1599 году. Мельник утверждал, что мир возник из хаоса, как сыр из молока, а ангелы появились в нём, как черви. По протоколам допросов Гинзбург восстановил, какие книги читал мельник и как он их понимал, и тем самым открыл народную культуру, существовавшую рядом с книжной.</w:t>
      </w:r>
    </w:p>
    <w:p>
      <w:pPr>
        <w:pStyle w:val="BodyText"/>
      </w:pPr>
      <w:r>
        <w:t>Для отечественной истории повседневности показательны работы Н. Б. Лебиной о ленинградском быте 1920–1950-х годов и исследования коммунального жилья, где на материале домовых книг, жалоб и судебных дел восстанавливается жизнь целого поколения горожан. Историческая антропология представлена в отечественной науке работами А. Я. Гуревича о картине мира средневекового человека.</w:t>
      </w:r>
    </w:p>
    <w:p>
      <w:pPr>
        <w:pStyle w:val="Слайд"/>
      </w:pPr>
      <w:r>
        <w:t>[слайд 15 — Итог вопроса 1]</w:t>
      </w:r>
    </w:p>
    <w:p>
      <w:pPr>
        <w:pStyle w:val="BodyText"/>
      </w:pPr>
      <w:r>
        <w:t>Четыре положения итога образуют рабочий минимум для чтения любой исторической литературы. При знакомстве с новой книгой полезно сразу задать к ней два вопроса: на каких источниках построены её утверждения и какой вопрос автор задаёт своему материалу. Ответ на первый позволяет оценить надёжность выводов, ответ на второй — понять, чем эта книга отличается от предшествующих работ на ту же тему.</w:t>
      </w:r>
    </w:p>
    <w:p>
      <w:pPr>
        <w:pStyle w:val="Heading2"/>
      </w:pPr>
      <w:r>
        <w:t>Вопрос второй. Исторический источник</w:t>
      </w:r>
    </w:p>
    <w:p>
      <w:pPr>
        <w:pStyle w:val="Слайд"/>
      </w:pPr>
      <w:r>
        <w:t>[слайд 16 — Вопрос второй]</w:t>
      </w:r>
    </w:p>
    <w:p>
      <w:pPr>
        <w:pStyle w:val="BodyText"/>
      </w:pPr>
      <w:r>
        <w:t>Второй вопрос — самый объёмный в лекции. В нём рассматриваются виды источников и правила обращения с ними, а затем разбираются конкретные случаи, на которых эти правила видны в действии.</w:t>
      </w:r>
    </w:p>
    <w:p>
      <w:pPr>
        <w:pStyle w:val="Слайд"/>
      </w:pPr>
      <w:r>
        <w:t>[слайд 17 — Определение источника]</w:t>
      </w:r>
    </w:p>
    <w:p>
      <w:pPr>
        <w:pStyle w:val="BodyText"/>
      </w:pPr>
      <w:r>
        <w:t>Определение источника через пригодность объекта, а не через намерение автора, выработано отечественным источниковедением второй половины XX века, прежде всего в работах С. О. Шмидта и О. М. Медушевской. Медушевская предложила понимать источник как продукт целенаправленной человеческой деятельности, который несёт информацию о создавшем его обществе. Отсюда следует, что одна и та же вещь может быть источником по разным вопросам: монета — по истории денежного обращения, металлургии, торговых путей и представлений о власти, запечатлённых в её изображении.</w:t>
      </w:r>
    </w:p>
    <w:p>
      <w:pPr>
        <w:pStyle w:val="BodyText"/>
      </w:pPr>
      <w:r>
        <w:t>Пример хозяйственной записи хорошо иллюстрируют писцовые книги XVI века. Составлялись они для налогового обложения, и о политике в них нет ни слова. Однако именно по ним историки определили масштаб запустения центральных уездов после опричнины и Ливонской войны: в отдельных погостах Новгородской земли к началу 1580-х годов пустовало до девяти десятых пашни.</w:t>
      </w:r>
    </w:p>
    <w:p>
      <w:pPr>
        <w:pStyle w:val="BodyText"/>
      </w:pPr>
      <w:r>
        <w:t>Последний тезис слайда — о мусоре, ставшем материалом, — следует понимать буквально. Средневековые выгребные ямы дают археологу сведения о питании и паразитарных болезнях, отходы мастерских — о технологиях. Для новейшего времени аналогичную роль играют билеты, этикетки, квитанции и рекламные листки, которые никто не собирался сохранять.</w:t>
      </w:r>
    </w:p>
    <w:p>
      <w:pPr>
        <w:pStyle w:val="Слайд"/>
      </w:pPr>
      <w:r>
        <w:t>[слайд 18 — Вещественные источники]</w:t>
      </w:r>
    </w:p>
    <w:p>
      <w:pPr>
        <w:pStyle w:val="BodyText"/>
      </w:pPr>
      <w:r>
        <w:t>Дендрохронология в Новгороде дала шкалу, привязывающую каждый слой к календарной дате. На Неревском раскопе вскрыто 28 ярусов деревянной мостовой Великой улицы, перекладывавшейся по мере подъёма культурного слоя с середины X до второй половины XV века. Берестяная грамота, найденная между двумя ярусами, получает датировку с точностью до двух-трёх десятилетий без единого упоминания даты в её тексте.</w:t>
      </w:r>
    </w:p>
    <w:p>
      <w:pPr>
        <w:pStyle w:val="BodyText"/>
      </w:pPr>
      <w:r>
        <w:t>Естественнонаучные методы способны полностью изменить представление о древности памятника. Шигирский идол, найденный в 1890 году в торфянике на восточном склоне Среднего Урала, долго считался произведением эпохи бронзы или неолита. Радиоуглеродный анализ, проведённый в 2014–2018 годах, показал возраст около двенадцати тысяч лет: деревянная скульптура более чем вдвое старше египетских пирамид и стала одним из древнейших известных монументальных изображений человека.</w:t>
      </w:r>
    </w:p>
    <w:p>
      <w:pPr>
        <w:pStyle w:val="BodyText"/>
      </w:pPr>
      <w:r>
        <w:t>Изотопный анализ костей позволяет установить, где человек провёл детство и чем питался, палеогенетика — происхождение популяций. Оговорка о погрешности, вынесенная на слайд, существенна: радиоуглеродная дата всегда даётся интервалом, и в популярных изданиях этот интервал часто опускается, отчего у читателя возникает впечатление ложной точности.</w:t>
      </w:r>
    </w:p>
    <w:p>
      <w:pPr>
        <w:pStyle w:val="Слайд"/>
      </w:pPr>
      <w:r>
        <w:t>[слайд 19 — Письменные источники]</w:t>
      </w:r>
    </w:p>
    <w:p>
      <w:pPr>
        <w:pStyle w:val="BodyText"/>
      </w:pPr>
      <w:r>
        <w:t>Таблица задаёт для каждого вида письменного источника две колонки: что он сообщает надёжно и где требуется осторожность. Наиболее коварной обычно оказывается летопись. Повесть временных лет, которую принято воспринимать как рассказ о IX–XI веках, дошла до нас в списках XIV–XV веков, а сама составлена в начале XII века; её рассказ о призвании варягов отделён от описываемых событий двумя с половиной столетиями. А. А. Шахматов, реконструируя историю летописания, показал, что каждый следующий свод перерабатывал предыдущий в интересах своего заказчика.</w:t>
      </w:r>
    </w:p>
    <w:p>
      <w:pPr>
        <w:pStyle w:val="BodyText"/>
      </w:pPr>
      <w:r>
        <w:t>Для делопроизводства справедливо наблюдение, известное историкам советской экономики: отчёты о выполнении плана составлялись с учётом ожиданий получателя. Отсюда приём, которым пользуются исследователи: сопоставлять сводные отчёты с первичными документами — нарядами, жалобами, актами ревизий, где расхождение с «нормой» фиксировалось вынужденно.</w:t>
      </w:r>
    </w:p>
    <w:p>
      <w:pPr>
        <w:pStyle w:val="BodyText"/>
      </w:pPr>
      <w:r>
        <w:t>Статистика требует проверки методики. Переписи 1897, 1926, 1937 и 1939 годов применяли разные определения национальности, грамотности и занятий. Перепись 1937 года была объявлена дефектной, её руководители репрессированы, а результаты засекречены; опубликованы они были лишь в 1990-е годы. Сопоставление этих данных невозможно без выяснения, как именно в каждом случае задавался вопрос.</w:t>
      </w:r>
    </w:p>
    <w:p>
      <w:pPr>
        <w:pStyle w:val="Слайд"/>
      </w:pPr>
      <w:r>
        <w:t>[слайд 20 — Расширение круга источников]</w:t>
      </w:r>
    </w:p>
    <w:p>
      <w:pPr>
        <w:pStyle w:val="BodyText"/>
      </w:pPr>
      <w:r>
        <w:t>Рисунки детей из собрания В. Воронова относятся к редкой категории источников, авторы которых не преследовали никакой цели, кроме выполнения задания учителя. Дети изображали то, что их поразило: очереди, разбитые витрины, патрули, похороны. Здесь видны предметы, редко попадающие в официальные документы: какие именно магазины закрылись, как выглядели вооружённые люди на улицах, что в городе вызывало страх.</w:t>
      </w:r>
    </w:p>
    <w:p>
      <w:pPr>
        <w:pStyle w:val="BodyText"/>
      </w:pPr>
      <w:r>
        <w:t>Рисунок нуждается в той же критике, что и текст. Следует учитывать, что учитель задавал тему, что дети подражали друг другу и журнальной графике и что подписи, сделанные учениками, отражают взрослые слова, услышанные дома. Даже с этими оговорками собрание остаётся почти единственным систематическим свидетельством восприятия революции теми, кто не мог о ней написать.</w:t>
      </w:r>
    </w:p>
    <w:p>
      <w:pPr>
        <w:pStyle w:val="Слайд"/>
      </w:pPr>
      <w:r>
        <w:t>[слайд 21 — Критика источника]</w:t>
      </w:r>
    </w:p>
    <w:p>
      <w:pPr>
        <w:pStyle w:val="BodyText"/>
      </w:pPr>
      <w:r>
        <w:t>Вывод в нижней части слайда парадоксален лишь на первый взгляд. Подлинная летопись может содержать вымышленные известия; подлинная официальная сводка — недостоверные цифры. И наоборот, подделка служит надёжным свидетельством о времени и среде своего изготовления. Классический случай — «Велесова книга», текст на «дощечках», предъявленный в эмиграции в 1950-х годах. Лингвистический анализ, выполненный О. В. Твороговым и А. А. Зализняком, показал невозможность такого языка ни в одну эпоху. Для истории IX века книга ценности не имеет, однако для истории эмигрантских представлений о славянской древности середины XX века она является полноценным источником.</w:t>
      </w:r>
    </w:p>
    <w:p>
      <w:pPr>
        <w:pStyle w:val="BodyText"/>
      </w:pPr>
      <w:r>
        <w:t>Вопрос внутренней критики «что означают слова на языке его времени» обычно оказывается решающим. Слово «холоп» в XVI веке обозначало юридический статус, к которому прибегали и разорившиеся дворяне, а «мужик» — податного человека, без оттенка грубости. Читатель, понимающий эти слова в современном смысле, неизбежно приходит к ошибочным выводам.</w:t>
      </w:r>
    </w:p>
    <w:p>
      <w:pPr>
        <w:pStyle w:val="Слайд"/>
      </w:pPr>
      <w:r>
        <w:t>[слайд 22 — Случай первый: ретушь]</w:t>
      </w:r>
    </w:p>
    <w:p>
      <w:pPr>
        <w:pStyle w:val="BodyText"/>
      </w:pPr>
      <w:r>
        <w:t>Сравнение двух публикаций одного снимка учит задавать вопрос о дате каждой версии. Ретушь начала 1920-х годов служила задачам массовой печати: изображение вождя среди народа должно было свидетельствовать о всеобщей поддержке. Позднее, в 1930-х годах, ретушь стала применяться иначе — для удаления со снимков людей, объявленных врагами. Британский исследователь Д. Кинг собрал обширную коллекцию таких изображений и показал, как на протяжении десятилетия с одних и тех же фотографий постепенно исчезали участники событий.</w:t>
      </w:r>
    </w:p>
    <w:p>
      <w:pPr>
        <w:pStyle w:val="BodyText"/>
      </w:pPr>
      <w:r>
        <w:t>Для работы с изображением полезно правило: устанавливать самую раннюю публикацию и по возможности обращаться к негативу или первому отпечатку. Любая последующая версия рассматривается как отдельный источник со своим временем создания.</w:t>
      </w:r>
    </w:p>
    <w:p>
      <w:pPr>
        <w:pStyle w:val="Слайд"/>
      </w:pPr>
      <w:r>
        <w:t>[слайд 23 — Случай второй: лозунг]</w:t>
      </w:r>
    </w:p>
    <w:p>
      <w:pPr>
        <w:pStyle w:val="BodyText"/>
      </w:pPr>
      <w:r>
        <w:t>Открытка 1917 года показывает другой вид вмешательства: изображение дополняется текстом. Лозунг «В борьбе обретёшь ты право своё» принадлежал партии социалистов-революционеров, и его появление на снимке приписывает изображённым солдатам определённую политическую позицию. Тираж открыток в революционный год был массовым, и к моменту, когда фотографии стали изучаться как источник, исходный вариант уже был малоизвестен.</w:t>
      </w:r>
    </w:p>
    <w:p>
      <w:pPr>
        <w:pStyle w:val="BodyText"/>
      </w:pPr>
      <w:r>
        <w:t>Ценность обоих вариантов для историка определяется по-разному. Первый свидетельствует о самом событии — о движении частей гарнизона по Литейному проспекту. Второй — о работе пропаганды 1917 года, о том, какие лозунги считались выигрышными и как быстро издатели приспосабливались к спросу.</w:t>
      </w:r>
    </w:p>
    <w:p>
      <w:pPr>
        <w:pStyle w:val="Слайд"/>
      </w:pPr>
      <w:r>
        <w:t>[слайд 24 — Карта как высказывание]</w:t>
      </w:r>
    </w:p>
    <w:p>
      <w:pPr>
        <w:pStyle w:val="BodyText"/>
      </w:pPr>
      <w:r>
        <w:t>Атлас 1928 года создан в период, когда советская наглядная агитация находилась на подъёме. Его составители — военные специалисты; А. Н. де-Лазари, офицер ещё императорской армии, позднее был репрессирован. Карта здесь выполняет функцию учебника: читатель, не знакомый с ходом Гражданской войны, получает сразу и последовательность событий, и их оценку.</w:t>
      </w:r>
    </w:p>
    <w:p>
      <w:pPr>
        <w:pStyle w:val="BodyText"/>
      </w:pPr>
      <w:r>
        <w:t>Карта всегда является выбором: что изобразить, что опустить, какую проекцию взять, где поставить центр. Для исследователя ценна сама возможность сравнить разные карты одних и тех же событий — например, советские и эмигрантские схемы Гражданской войны, где одни и те же операции получают различные названия и масштаб.</w:t>
      </w:r>
    </w:p>
    <w:p>
      <w:pPr>
        <w:pStyle w:val="Слайд"/>
      </w:pPr>
      <w:r>
        <w:t>[слайд 25 — Кинохроника как источник]</w:t>
      </w:r>
    </w:p>
    <w:p>
      <w:pPr>
        <w:pStyle w:val="BodyText"/>
      </w:pPr>
      <w:r>
        <w:t>Постановочность ранней кинохроники объясняется в первую очередь техникой. Камеры 1910-х годов были громоздкими, требовали штатива и хорошего освещения, а плёнка — длительной выдержки. Снять движущееся событие в момент его совершения удавалось редко. Наиболее известный пример влияния позднего кино на представление о прошлом — фильм С. М. Эйзенштейна «Октябрь» (1927): кадры штурма Зимнего дворца, снятые для юбилея, многократно воспроизводились в учебниках и документальных фильмах как подлинная хроника 1917 года, хотя в действительности занятие дворца происходило иначе и без массового штурма.</w:t>
      </w:r>
    </w:p>
    <w:p>
      <w:pPr>
        <w:pStyle w:val="Слайд"/>
      </w:pPr>
      <w:r>
        <w:t>[слайд 26 — Атрибуция в цифровой среде]</w:t>
      </w:r>
    </w:p>
    <w:p>
      <w:pPr>
        <w:pStyle w:val="BodyText"/>
      </w:pPr>
      <w:r>
        <w:t>Случай с портретом показывает механизм, характерный для цифровой эпохи: ошибка, допущенная в одной публикации, многократно копируется, и количество воспроизведений начинает восприниматься как подтверждение. Задание на слайде предполагает обратное движение — от последней публикации к первой. Методически оно ничем не отличается от того, что делают текстологи, восстанавливая генеалогию летописных списков: выясняется, какой текст от какого происходит и где в цепочке появилось искажение.</w:t>
      </w:r>
    </w:p>
    <w:p>
      <w:pPr>
        <w:pStyle w:val="Слайд"/>
      </w:pPr>
      <w:r>
        <w:t>[слайд 27 — Чтение против замысла]</w:t>
      </w:r>
    </w:p>
    <w:p>
      <w:pPr>
        <w:pStyle w:val="BodyText"/>
      </w:pPr>
      <w:r>
        <w:t>Книга Э. Ле Руа Ладюри «Монтайю, окситанская деревня» (1975) построена на протоколах допросов, которые в 1318–1325 годах вёл епископ Памье Жак Фурнье, будущий папа Бенедикт XII. Целью инквизитора было выявление катаров, однако дотошность допросов привела к тому, что в протоколах подробно описаны семейные отношения, работа пастухов, представления о теле, браке и загробной жизни жителей небольшой пиренейской деревни.</w:t>
      </w:r>
    </w:p>
    <w:p>
      <w:pPr>
        <w:pStyle w:val="BodyText"/>
      </w:pPr>
      <w:r>
        <w:t>Для советского периода применение этого приёма обсуждается в статье О. Л. Лейбовича и А. И. Казанкова, указанной в списке литературы. Авторы называют его «инквизиторской антропологией» и предупреждают о риске: следователь сам формировал рассказ подследственного, и протокол несёт отпечаток его представлений о должном ответе. Поэтому сведения следственного дела проверяются по независимым документам — анкетам отдела кадров, домовым книгам, переписке.</w:t>
      </w:r>
    </w:p>
    <w:p>
      <w:pPr>
        <w:pStyle w:val="Слайд"/>
      </w:pPr>
      <w:r>
        <w:t>[слайд 28 — Итог вопроса 2]</w:t>
      </w:r>
    </w:p>
    <w:p>
      <w:pPr>
        <w:pStyle w:val="BodyText"/>
      </w:pPr>
      <w:r>
        <w:t>Положения итога составляют порядок действий, который удобно применять к любому найденному материалу — от летописной статьи до публикации в социальной сети. Особенно важен четвёртый пункт применительно к учебной работе: ссылка на энциклопедию, учебник или популярный ресурс допустима как отправная точка поиска, но в письменной работе утверждение должно опираться на источник или исследование, где этот источник разобран.</w:t>
      </w:r>
    </w:p>
    <w:p>
      <w:pPr>
        <w:pStyle w:val="Heading1"/>
      </w:pPr>
      <w:r>
        <w:t>Час второй</w:t>
      </w:r>
    </w:p>
    <w:p>
      <w:pPr>
        <w:pStyle w:val="Heading2"/>
      </w:pPr>
      <w:r>
        <w:t>Вопрос третий. Время: хронология и периодизация</w:t>
      </w:r>
    </w:p>
    <w:p>
      <w:pPr>
        <w:pStyle w:val="Слайд"/>
      </w:pPr>
      <w:r>
        <w:t>[слайд 29 — Вопрос третий]</w:t>
      </w:r>
    </w:p>
    <w:p>
      <w:pPr>
        <w:pStyle w:val="BodyText"/>
      </w:pPr>
      <w:r>
        <w:t>Третий вопрос посвящён двум разным операциям со временем. Хронология устанавливает даты и переводит их из одной системы счёта в другую. Периодизация членит время на отрезки и тем самым выражает понимание исследователем того, что в прошлом было главным.</w:t>
      </w:r>
    </w:p>
    <w:p>
      <w:pPr>
        <w:pStyle w:val="Слайд"/>
      </w:pPr>
      <w:r>
        <w:t>[слайд 30 — Летосчисление в России]</w:t>
      </w:r>
    </w:p>
    <w:p>
      <w:pPr>
        <w:pStyle w:val="BodyText"/>
      </w:pPr>
      <w:r>
        <w:t>Счёт лет от сотворения мира в византийской традиции относил это событие к 5508 году до Рождества Христова. Отсюда простое правило пересчёта: для сентябрьского года от даты отнимается 5508 для месяцев с января по август и 5509 — для сентября–декабря; для мартовского года действует сходное правило с границей в марте. Сложность в том, что летописец не всегда указывал, по какому стилю он считает; кроме того, в своде могли соединяться статьи с разным началом года. Н. Г. Бережков в «Хронологии русского летописания» (1963) разобрал эти случаи по каждому своду.</w:t>
      </w:r>
    </w:p>
    <w:p>
      <w:pPr>
        <w:pStyle w:val="BodyText"/>
      </w:pPr>
      <w:r>
        <w:t>7000 год, наступивший в сентябре 1492 года, ожидался как конец света: пасхальные таблицы были рассчитаны только до него. Когда конец света не наступил, митрополит Зосима составил новую пасхалию на следующее тысячелетие, а в сопроводительном тексте впервые назвал Москву новым Константинополем, а Ивана III — «новым царём Константином».</w:t>
      </w:r>
    </w:p>
    <w:p>
      <w:pPr>
        <w:pStyle w:val="BodyText"/>
      </w:pPr>
      <w:r>
        <w:t>Указ Петра I от 20 декабря 1699 года предписывал встретить 1 января 1700 года с украшением домов ветвями ели и сосны и праздничной стрельбой. В Европе к этому времени уже действовал григорианский календарь, введённый папой Григорием XIII в 1582 году, однако протестантские страны переходили на него постепенно: Великобритания — только в 1752 году, когда после 2 сентября сразу наступило 14 сентября. Россия, сохранив юлианский календарь, оказалась в сходном положении с Англией первой половины XVIII века.</w:t>
      </w:r>
    </w:p>
    <w:p>
      <w:pPr>
        <w:pStyle w:val="BodyText"/>
      </w:pPr>
      <w:r>
        <w:t>Декрет Совнаркома о переходе на новый стиль был принят 24 января 1918 года. Русская православная церковь продолжает пользоваться юлианским календарём, поэтому Рождество празднуется 7 января: в XX и XXI веках разница составляет 13 суток, а с 1 марта 2100 года она возрастёт до 14.</w:t>
      </w:r>
    </w:p>
    <w:p>
      <w:pPr>
        <w:pStyle w:val="Слайд"/>
      </w:pPr>
      <w:r>
        <w:t>[слайд 31 — Задача на пересчёт дат]</w:t>
      </w:r>
    </w:p>
    <w:p>
      <w:pPr>
        <w:pStyle w:val="BodyText"/>
      </w:pPr>
      <w:r>
        <w:t>Решение первой задачи: при сентябрьском годе 6370 соответствует 861 году для сентября–декабря и 862 — для января–августа; при мартовском — 862 году для марта–декабря и 863 — для января–февраля. Под 6370 годом Повесть временных лет помещает призвание варягов, поэтому вопрос о стиле имеет прямое отношение к юбилейным датам: празднование тысячелетия России в 1862 году исходило из одного из возможных пересчётов.</w:t>
      </w:r>
    </w:p>
    <w:p>
      <w:pPr>
        <w:pStyle w:val="BodyText"/>
      </w:pPr>
      <w:r>
        <w:t>Решение второй задачи: к дате XX века прибавляется 13 дней, и 26 февраля 1917 года по старому стилю соответствует 11 марта по новому. Отсюда расхождение названий: революция, начавшаяся в конце февраля по старому стилю, в европейских газетах описывалась как мартовская.</w:t>
      </w:r>
    </w:p>
    <w:p>
      <w:pPr>
        <w:pStyle w:val="BodyText"/>
      </w:pPr>
      <w:r>
        <w:t>Решение третьей задачи: декабрь 7208 года — последний месяц этого года. Год, начавшийся 1 сентября 1699 года, был прерван реформой и продлился только четыре месяца; 1 января следующего месяца наступил 1700 год от Рождества Христова. Для документов этого времени нередко приходится учитывать, по какому счёту датирован каждый конкретный акт.</w:t>
      </w:r>
    </w:p>
    <w:p>
      <w:pPr>
        <w:pStyle w:val="Слайд"/>
      </w:pPr>
      <w:r>
        <w:t>[слайд 32 — Периодизация: назначение]</w:t>
      </w:r>
    </w:p>
    <w:p>
      <w:pPr>
        <w:pStyle w:val="BodyText"/>
      </w:pPr>
      <w:r>
        <w:t>Деление истории на периоды существовало задолго до научной историографии. Средневековые авторы использовали схему четырёх мировых монархий из Книги пророка Даниила: Вавилонской, Персидской, Македонской и Римской, — и Римская империя в этой логике должна была продолжаться до конца времён. Отсюда притязания германских императоров на римское наследство и московская идея «Третьего Рима»: периодизация задавала политическую программу.</w:t>
      </w:r>
    </w:p>
    <w:p>
      <w:pPr>
        <w:pStyle w:val="BodyText"/>
      </w:pPr>
      <w:r>
        <w:t>Четыре основания деления на слайде не исчерпывают возможных. Существуют периодизации по демографическому признаку (смена типа воспроизводства населения), по технологическому (переход от мускульной энергии к машинной), по типу связи между людьми (устная, письменная, печатная, электронная культура). Каждая из них выделяет свои рубежи, и ни одна не является «истинной» в отрыве от поставленного вопроса.</w:t>
      </w:r>
    </w:p>
    <w:p>
      <w:pPr>
        <w:pStyle w:val="Слайд"/>
      </w:pPr>
      <w:r>
        <w:t>[слайд 33 — Всемирная схема периодизации]</w:t>
      </w:r>
    </w:p>
    <w:p>
      <w:pPr>
        <w:pStyle w:val="BodyText"/>
      </w:pPr>
      <w:r>
        <w:t>Трёхчастная схема «древность — средние века — новое время» оформилась в учебниках немецкого профессора Христофора Целлариуса в 1680–1690-х годах, хотя само выражение «средний век» использовалось гуманистами ещё в XV веке. Для гуманистов «середина» была временем упадка между блестящей античностью и её возрождением в их собственную эпоху, и этот оценочный смысл слова «средневековье» сохраняется в разговорной речи до сих пор.</w:t>
      </w:r>
    </w:p>
    <w:p>
      <w:pPr>
        <w:pStyle w:val="BodyText"/>
      </w:pPr>
      <w:r>
        <w:t>Среди необычных взглядов на эту схему выделяется позиция французского медиевиста Ж. Ле Гоффа, предложившего понятие «долгого Средневековья», продолжающегося до конца XVIII века. По его мнению, ни Возрождение, ни Реформация не изменили основ жизни большинства европейцев: аграрного хозяйства, сословного строя, религиозной картины мира. Рубеж, по Ле Гоффу, создают промышленный переворот и Французская революция.</w:t>
      </w:r>
    </w:p>
    <w:p>
      <w:pPr>
        <w:pStyle w:val="Слайд"/>
      </w:pPr>
      <w:r>
        <w:t>[слайд 34 — Периодизация истории России]</w:t>
      </w:r>
    </w:p>
    <w:p>
      <w:pPr>
        <w:pStyle w:val="BodyText"/>
      </w:pPr>
      <w:r>
        <w:t>Схема курса наиболее удобна для учебных целей, поскольку смена формы государственности в отечественной истории, как правило, сопровождалась сменой названия государства, столицы и правящей династии. Однако даже здесь рубежи требуют оговорок. Начало Российской империи можно отсчитывать от провозглашения Петра I императором в 1721 году, однако основные преобразования, создавшие новое государство, приходятся на предшествующие два десятилетия. Конец Московского царства, таким образом, растянут во времени.</w:t>
      </w:r>
    </w:p>
    <w:p>
      <w:pPr>
        <w:pStyle w:val="Слайд"/>
      </w:pPr>
      <w:r>
        <w:t>[слайд 35 — Другое основание]</w:t>
      </w:r>
    </w:p>
    <w:p>
      <w:pPr>
        <w:pStyle w:val="BodyText"/>
      </w:pPr>
      <w:r>
        <w:t>Схема Д. Я. Травина изложена в книге «Почему Россия отстала?» и близка подходу, разработанному американскими исследователями Д. Нортом, Д. Уоллисом и Б. Вайнгастом. Главный вопрос этой теории — каким образом общество ограничивает насилие: через договор вооружённых элит, поделивших между собой ресурсы, или через безличные правила, обязательные для всех. Применённая к России, она даёт неожиданные рубежи: период между распадом Руси и усилением Москвы рассматривается как время отсутствия устойчивого монопольного контроля, а советский период — как одна из фаз длительной модернизации, начатой ещё в XIX веке.</w:t>
      </w:r>
    </w:p>
    <w:p>
      <w:pPr>
        <w:pStyle w:val="BodyText"/>
      </w:pPr>
      <w:r>
        <w:t>Сопоставление двух схем на слайде показывает, что каждая из них отвечает на свой вопрос, и выбор между ними определяется задачей исследования. Первая отвечает на вопрос о форме государства, вторая — о механизме удержания порядка.</w:t>
      </w:r>
    </w:p>
    <w:p>
      <w:pPr>
        <w:pStyle w:val="Слайд"/>
      </w:pPr>
      <w:r>
        <w:t>[слайд 36 — Итог вопроса 3]</w:t>
      </w:r>
    </w:p>
    <w:p>
      <w:pPr>
        <w:pStyle w:val="BodyText"/>
      </w:pPr>
      <w:r>
        <w:t>Положения итога применимы на практике. Встретив в источнике или в литературе дату, следует проверить, по какому стилю она указана. Встретив периодизацию, следует найти её основание. Встретив спор о рубеже, следует выяснить, какой признак кладёт в основу каждый из спорящих.</w:t>
      </w:r>
    </w:p>
    <w:p>
      <w:pPr>
        <w:pStyle w:val="Heading2"/>
      </w:pPr>
      <w:r>
        <w:t>Вопрос четвёртый. Пространство: географические рамки</w:t>
      </w:r>
    </w:p>
    <w:p>
      <w:pPr>
        <w:pStyle w:val="Слайд"/>
      </w:pPr>
      <w:r>
        <w:t>[слайд 37 — Вопрос четвёртый]</w:t>
      </w:r>
    </w:p>
    <w:p>
      <w:pPr>
        <w:pStyle w:val="BodyText"/>
      </w:pPr>
      <w:r>
        <w:t>Четвёртый вопрос касается пространства, в котором разворачивается история России, и тех ограничений, которые это пространство накладывало на хозяйство и управление.</w:t>
      </w:r>
    </w:p>
    <w:p>
      <w:pPr>
        <w:pStyle w:val="Слайд"/>
      </w:pPr>
      <w:r>
        <w:t>[слайд 38 — Географические рамки]</w:t>
      </w:r>
    </w:p>
    <w:p>
      <w:pPr>
        <w:pStyle w:val="BodyText"/>
      </w:pPr>
      <w:r>
        <w:t>Серия карт на слайде показывает рост территории с начала XVII века до кануна Первой мировой войны. Само название «Россия» в русских текстах появляется лишь в конце XV века, в греческой форме, пришедшей через византийскую книжность; до этого земля называлась Русью. Поэтому выражения вроде «Россия при Ярославе Мудром» являются анахронизмом.</w:t>
      </w:r>
    </w:p>
    <w:p>
      <w:pPr>
        <w:pStyle w:val="BodyText"/>
      </w:pPr>
      <w:r>
        <w:t>Граница между Европой и Азией по Уральскому хребту, которая сегодня кажется естественной, также имеет автора. Её предложил в 1720-х годах всё тот же В. Н. Татищев, указав на хребет как на водораздел между бассейнами рек, текущих на запад и на восток. Ранее границу проводили по Дону. Для нашего края это обстоятельство имеет прямое значение: Челябинская область находится по обе стороны условной линии, и под Златоустом на перевале установлен один из многочисленных пограничных знаков «Европа — Азия».</w:t>
      </w:r>
    </w:p>
    <w:p>
      <w:pPr>
        <w:pStyle w:val="BodyText"/>
      </w:pPr>
      <w:r>
        <w:t>Правило о переносе современных названий на прошлое касается и других территорий. Применительно к XIII веку говорить об «Украине» или «Казахстане» как о государственных единицах некорректно; применительно к этому же времени и «Россия» в современных границах является условностью. Корректная формулировка указывает, о какой политической единице идёт речь в данный момент.</w:t>
      </w:r>
    </w:p>
    <w:p>
      <w:pPr>
        <w:pStyle w:val="Слайд"/>
      </w:pPr>
      <w:r>
        <w:t>[слайд 39 — Природные условия]</w:t>
      </w:r>
    </w:p>
    <w:p>
      <w:pPr>
        <w:pStyle w:val="BodyText"/>
      </w:pPr>
      <w:r>
        <w:t>Положение о коротком сельскохозяйственном сезоне подробно разработано в книге Л. В. Милова «Великорусский пахарь и особенности российского исторического процесса» (1998). По расчётам Милова, в Центральной России цикл полевых работ укладывался примерно в 125–130 рабочих дней, тогда как в Западной Европе он мог занимать до 250 дней. Крестьянин был вынужден выполнять тот же объём работ за вдвое меньший срок, что ограничивало площадь обработки, урожайность и, следовательно, возможный объём изъятия. Милов выводил отсюда и особую роль общины, и значение государства как организатора, способного концентрировать скудный прибавочный продукт.</w:t>
      </w:r>
    </w:p>
    <w:p>
      <w:pPr>
        <w:pStyle w:val="BodyText"/>
      </w:pPr>
      <w:r>
        <w:t>Концепция Милова критикуется за элементы географического детерминизма, и на слайде не случайно сделана оговорка. Природные условия задают рамки, а внутри этих рамок общества принимали очень разные решения. Скандинавия, где сезон ещё короче, пошла по иному пути социального развития, что показывает ограниченность чисто природных объяснений.</w:t>
      </w:r>
    </w:p>
    <w:p>
      <w:pPr>
        <w:pStyle w:val="BodyText"/>
      </w:pPr>
      <w:r>
        <w:t>Значение речных систем видно по расположению ранних городов: Новгород, Смоленск, Киев, Владимир, Москва возникли на реках, связанных волоками. Значение открытых границ хорошо видно на Южном Урале: Оренбургская экспедиция 1730-х годов и Уйская укреплённая линия, с которыми связано основание Челябинска (1736), Троицка (1743) и десятков станиц, были ответом на ту же задачу постоянной обороны открытой степной границы.</w:t>
      </w:r>
    </w:p>
    <w:p>
      <w:pPr>
        <w:pStyle w:val="Слайд"/>
      </w:pPr>
      <w:r>
        <w:t>[слайд 40 — Порядок величин]</w:t>
      </w:r>
    </w:p>
    <w:p>
      <w:pPr>
        <w:pStyle w:val="BodyText"/>
      </w:pPr>
      <w:r>
        <w:t>Порядок величин позволяет представить, что означало управление в средневековом государстве. Новгородская грамота, отправленная в Киев, дошла бы до князя через полторы недели, ответ — ещё через столько же. Войско, двигавшееся с обозом, проходило в среднем 15–20 километров в день, поэтому походы планировались на зимний путь, когда реки замерзали и превращались в дороги.</w:t>
      </w:r>
    </w:p>
    <w:p>
      <w:pPr>
        <w:pStyle w:val="BodyText"/>
      </w:pPr>
      <w:r>
        <w:t>Для XIX века показательно сравнение: в 1830-х годах фельдъегерь доставлял срочный пакет из Петербурга в Иркутск за три–четыре недели, обычная почта шла около двух месяцев. Транссибирская магистраль, строительство которой началось в 1891–1892 годах от Владивостока и от Челябинска, сократила этот путь до одной–полутора недель. Именно поэтому её значение для управления огромной территорией сопоставимо с административной реформой.</w:t>
      </w:r>
    </w:p>
    <w:p>
      <w:pPr>
        <w:pStyle w:val="Heading2"/>
      </w:pPr>
      <w:r>
        <w:t>Вопрос пятый. Россия и всеобщая история</w:t>
      </w:r>
    </w:p>
    <w:p>
      <w:pPr>
        <w:pStyle w:val="Слайд"/>
      </w:pPr>
      <w:r>
        <w:t>[слайд 41 — Вопрос пятый]</w:t>
      </w:r>
    </w:p>
    <w:p>
      <w:pPr>
        <w:pStyle w:val="BodyText"/>
      </w:pPr>
      <w:r>
        <w:t>Пятый вопрос возвращает к проблеме, поставленной в начале курса, — к соотношению отечественной и всеобщей истории и к тому, на каких условиях возможно говорить об особенностях исторического пути России.</w:t>
      </w:r>
    </w:p>
    <w:p>
      <w:pPr>
        <w:pStyle w:val="Слайд"/>
      </w:pPr>
      <w:r>
        <w:t>[слайд 42 — Общее и особенное]</w:t>
      </w:r>
    </w:p>
    <w:p>
      <w:pPr>
        <w:pStyle w:val="BodyText"/>
      </w:pPr>
      <w:r>
        <w:t>Спор об «особом пути» имеет в русской мысли долгую историю: от «Философического письма» П. Я. Чаадаева (1836), где Россия описана как страна, стоящая вне истории, через полемику западников и славянофилов, до евразийцев 1920-х годов, представлявших Россию отдельным культурным миром. В зарубежной историографии существует параллельный спор о «немецком особом пути» (Sonderweg), объяснявшем приход нацизма особенностями исторического развития Германии. Критики этой концепции задали вопрос, применимый к любой стране: особый путь по сравнению с какой нормой? Оказалось, что в качестве нормы негласно использовалась идеализированная история Англии, которая сама по многим признакам была исключением.</w:t>
      </w:r>
    </w:p>
    <w:p>
      <w:pPr>
        <w:pStyle w:val="BodyText"/>
      </w:pPr>
      <w:r>
        <w:t>Четыре шага процедуры позволяют избежать этой ловушки. Например, утверждение «в России не было городского самоуправления» после применения процедуры распадается на несколько проверяемых: в Новгороде XII–XV веков вечевые институты существовали; в Московском государстве XVI века губная и земская реформы ввели выборные органы на местах; по доле городского населения в XVIII веке Россия уступала Нидерландам и Англии, но была сопоставима с Польшей и Венгрией. Каждое из этих суждений имеет признак, сопоставимый случай и время.</w:t>
      </w:r>
    </w:p>
    <w:p>
      <w:pPr>
        <w:pStyle w:val="Слайд"/>
      </w:pPr>
      <w:r>
        <w:t>[слайд 43 — Синхронизация]</w:t>
      </w:r>
    </w:p>
    <w:p>
      <w:pPr>
        <w:pStyle w:val="BodyText"/>
      </w:pPr>
      <w:r>
        <w:t>Таблица полезна прежде всего как напоминание о масштабе. Монгольская держава XIII века включала одновременно Северный Китай, Среднюю Азию, Иран и русские земли; ханская ставка в Каракоруме принимала посольства французского короля и папы римского. Русские князья, ездившие за ярлыком, попадали в тот же круг дипломатии, что и европейские монахи-путешественники Плано Карпини и Рубрук, оставившие описания ставки.</w:t>
      </w:r>
    </w:p>
    <w:p>
      <w:pPr>
        <w:pStyle w:val="BodyText"/>
      </w:pPr>
      <w:r>
        <w:t>Третья строка таблицы даёт пример содержательной параллели. В XVI веке Москва, Стамбул и Пекин решали сходную задачу удержания огромной территории силами служилого сословия, получавшего землю за службу: поместье, тимар и система наделов при династии Мин различались в деталях, но выполняли родственную функцию. Сравнение подобных институтов — плодотворное направление современной исторической науки.</w:t>
      </w:r>
    </w:p>
    <w:p>
      <w:pPr>
        <w:pStyle w:val="Heading2"/>
      </w:pPr>
      <w:r>
        <w:t>С учётом профиля подготовки</w:t>
      </w:r>
    </w:p>
    <w:p>
      <w:pPr>
        <w:pStyle w:val="Слайд"/>
      </w:pPr>
      <w:r>
        <w:t>[слайд 44 — Профильный слайд]</w:t>
      </w:r>
    </w:p>
    <w:p>
      <w:pPr>
        <w:pStyle w:val="BodyText"/>
      </w:pPr>
      <w:r>
        <w:t>Пример со словом «мир» хорошо известен. В дореформенной орфографии различались «миръ» — отсутствие войны — и «міръ» — вселенная, а также сельская община. Название романа Л. Н. Толстого «Война и миръ» указывает на первое значение; крестьянский «мір» обозначал общество односельчан, решающее вопросы сообща. «Правда» в древнерусском языке означала прежде всего закон и правовую норму, отсюда «Русская Правда». «Крестьянин» восходит к «христианину» и до XIV–XV веков обозначал просто православного человека.</w:t>
      </w:r>
    </w:p>
    <w:p>
      <w:pPr>
        <w:pStyle w:val="BodyText"/>
      </w:pPr>
      <w:r>
        <w:t>Пример перевода как выбора трактовки — передача на английский язык термина «самодержавие». Варианты autocracy, absolutism, sovereignty подчёркивают разные стороны: независимость от внешней власти, неограниченность внутри страны или источник легитимности. Первоначальный смысл в титуле Ивана III ближе к третьему — государь, не зависимый от Орды.</w:t>
      </w:r>
    </w:p>
    <w:p>
      <w:pPr>
        <w:pStyle w:val="BodyText"/>
      </w:pPr>
      <w:r>
        <w:t>Договоры Руси с Византией 911 и 944 годов сохранились в составе Повести временных лет в древнерусском переводе с греческого оригинала, который не дошёл. Анализ переводческих калек позволяет восстановить греческий юридический текст и выяснить, какие нормы были византийскими, а какие отражают русскую правовую практику.</w:t>
      </w:r>
    </w:p>
    <w:p>
      <w:pPr>
        <w:pStyle w:val="Heading2"/>
      </w:pPr>
      <w:r>
        <w:t>Заключение</w:t>
      </w:r>
    </w:p>
    <w:p>
      <w:pPr>
        <w:pStyle w:val="Слайд"/>
      </w:pPr>
      <w:r>
        <w:t>[слайд 45 — Основные выводы]</w:t>
      </w:r>
    </w:p>
    <w:p>
      <w:pPr>
        <w:pStyle w:val="BodyText"/>
      </w:pPr>
      <w:r>
        <w:t>Пять выводов темы образуют порядок работы, к которому курс будет возвращаться в каждом разделе: установить источник, проверить его происхождение и содержание, правильно поместить событие во времени и пространстве и сравнивать только по названному признаку. При изучении конкретных эпох эти правила будут применяться к летописям, актам, дипломатической переписке, фотографиям и статистике.</w:t>
      </w:r>
    </w:p>
    <w:p>
      <w:pPr>
        <w:pStyle w:val="Слайд"/>
      </w:pPr>
      <w:r>
        <w:t>[слайд 46 — Вопросы и задания]</w:t>
      </w:r>
    </w:p>
    <w:p>
      <w:pPr>
        <w:pStyle w:val="BodyText"/>
      </w:pPr>
      <w:r>
        <w:t>К вопросу о следах нашего времени полезно подойти конкретно. Бумажная переписка XIX века сохранилась в архивах в огромных количествах; электронная переписка начала XXI века хранится на серверах частных компаний и может исчезнуть при закрытии сервиса. Историки уже говорят о возможной «цифровой тёмной эпохе», когда материалы конца XX — начала XXI века окажутся менее доступны будущему исследователю, чем документы XVIII века.</w:t>
      </w:r>
    </w:p>
    <w:p>
      <w:pPr>
        <w:pStyle w:val="BodyText"/>
      </w:pPr>
      <w:r>
        <w:t>Для профильного задания можно взять, например, термины «вече», «дружина», «кормление» или «опричнина» и сравнить их передачу в английских переводах. Удобный материал дают переводы Повести временных лет С. Кросса и Судебников в издании, подготовленном Х. Дьюи.</w:t>
      </w:r>
    </w:p>
    <w:p>
      <w:pPr>
        <w:pStyle w:val="Слайд"/>
      </w:pPr>
      <w:r>
        <w:t>[слайд 47 — Литература]</w:t>
      </w:r>
    </w:p>
    <w:p>
      <w:pPr>
        <w:pStyle w:val="BodyText"/>
      </w:pPr>
      <w:r>
        <w:t>Пособие по источниковедению под редакцией И. Н. Данилевского и коллег является основным для практической части курса: в нём разобраны все виды источников, упомянутые на лекции. «Апология истории» М. Блока читается за один вечер и объясняет ремесло историка лучше любого учебника. Первая лекция «Курса русской истории» В. О. Ключевского содержит программное изложение его взгляда на предмет и метод.</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