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Тема 4.1. Россия в начале XVI века</w:t>
      </w:r>
    </w:p>
    <w:p>
      <w:pPr>
        <w:pStyle w:val="Шапка"/>
      </w:pPr>
      <w:r>
        <w:t>Раздел 4. Россия в XVI–XVII вв. · 1 академический час · УК-5.1, УК-5.2, УК-5.3</w:t>
      </w:r>
    </w:p>
    <w:p>
      <w:pPr>
        <w:pStyle w:val="Шапка"/>
      </w:pPr>
      <w:r>
        <w:t>Дисциплина Б1.О.03 «История России» · 45.03.02 Лингвистика · заочная форма</w:t>
      </w:r>
    </w:p>
    <w:p>
      <w:pPr>
        <w:pStyle w:val="Шапка"/>
      </w:pPr>
      <w:r>
        <w:t>Колесников Михаил Алексеевич</w:t>
      </w:r>
    </w:p>
    <w:p>
      <w:pPr>
        <w:pStyle w:val="Heading2"/>
      </w:pPr>
      <w:r>
        <w:t>Вводная часть</w:t>
      </w:r>
    </w:p>
    <w:p>
      <w:pPr>
        <w:pStyle w:val="Слайд"/>
      </w:pPr>
      <w:r>
        <w:t>[слайд 1 — Титул]</w:t>
      </w:r>
    </w:p>
    <w:p>
      <w:pPr>
        <w:pStyle w:val="BodyText"/>
      </w:pPr>
      <w:r>
        <w:t>Тема открывает раздел, посвящённый Московскому царству, и охватывает княжение Василия III, 1505–1533 годы. Хронологически она связывает время Ивана III, когда государство было собрано, и время Ивана IV, когда для него были созданы учреждения, а затем подвергнуты жестокому испытанию. Без понимания промежуточного этапа обе соседние эпохи выглядят как резкие разрывы, хотя многое в них вытекает из решений первой трети XVI века.</w:t>
      </w:r>
    </w:p>
    <w:p>
      <w:pPr>
        <w:pStyle w:val="Слайд"/>
      </w:pPr>
      <w:r>
        <w:t>[слайд 2 — Постановка проблемы]</w:t>
      </w:r>
    </w:p>
    <w:p>
      <w:pPr>
        <w:pStyle w:val="BodyText"/>
      </w:pPr>
      <w:r>
        <w:t>Василий III родился в 1479 году и был старшим сыном Ивана III от брака с Софьей Палеолог. Его путь к власти был непрямым: в 1498 году наследником венчали его племянника Дмитрия, внука Ивана III от старшего сына, и лишь опала Дмитрия и его матери в 1502 году открыла Василию дорогу к престолу. Сознание того, что право на власть было оспорено, по мнению ряда исследователей, сказалось на всей его политике: Василий последовательно устранял всех, кто мог бы стать альтернативой ему и его потомству.</w:t>
      </w:r>
    </w:p>
    <w:p>
      <w:pPr>
        <w:pStyle w:val="BodyText"/>
      </w:pPr>
      <w:r>
        <w:t>Портрет из Царского титулярника 1672 года создан через полтора столетия после смерти князя и прижизненного облика не передаёт. Ближе к оригиналу гравюра в книге Герберштейна, о которой речь пойдёт далее, хотя и она выполнена по описанию европейскими мастерами. Изображения правителей этого времени, таким образом, требуют той же критики, что и тексты.</w:t>
      </w:r>
    </w:p>
    <w:p>
      <w:pPr>
        <w:pStyle w:val="BodyText"/>
      </w:pPr>
      <w:r>
        <w:t>Последние годы Ивана III прошли в болезни. Софья Палеолог умерла в 1503 году, и в том же году великий князь, по летописным известиям, перенёс тяжёлый недуг, после которого отошёл от дел. Фактически Василий участвовал в управлении ещё при жизни отца, и смена власти в октябре 1505 года прошла без потрясений. Первым крупным решением нового государя стал брак: в том же году по образцу византийских смотрин невест к нему свезли девушек из служилых семей, и выбор пал на Соломонию Сабурову, дочь небогатого боярина. Последствия этого выбора скажутся через двадцать лет.</w:t>
      </w:r>
    </w:p>
    <w:p>
      <w:pPr>
        <w:pStyle w:val="Слайд"/>
      </w:pPr>
      <w:r>
        <w:t>[слайд 3 — План лекции]</w:t>
      </w:r>
    </w:p>
    <w:p>
      <w:pPr>
        <w:pStyle w:val="BodyText"/>
      </w:pPr>
      <w:r>
        <w:t>Пять вопросов выстроены от территории к власти и от власти к идеям. Первые два вопроса показывают, как формировалось пространство государства и где проходили его границы. Третий рассматривает тех, кто этим пространством управлял, и средства, которыми они располагали. Четвёртый посвящён церкви как крупнейшему землевладельцу и источнику идей о власти. Пятый помещает всё сказанное в общеевропейскую картину.</w:t>
      </w:r>
    </w:p>
    <w:p>
      <w:pPr>
        <w:pStyle w:val="Слайд"/>
      </w:pPr>
      <w:r>
        <w:t>[слайд 4 — Координаты темы]</w:t>
      </w:r>
    </w:p>
    <w:p>
      <w:pPr>
        <w:pStyle w:val="BodyText"/>
      </w:pPr>
      <w:r>
        <w:t>Даты образуют две плотные группы. Первая, 1503–1514 годы, относится к западу: перемирие с Литвой, Псков, Смоленск и Орша. Вторая, 1521–1531 годы, связана с внутренней жизнью и югом: присоединение Рязани и крымский набег, развод великого князя и церковные соборы. Обе группы отражают одну закономерность: каждое внешнее усиление сопровождалось внутренним сужением круга людей, участвовавших в принятии решений.</w:t>
      </w:r>
    </w:p>
    <w:p>
      <w:pPr>
        <w:pStyle w:val="BodyText"/>
      </w:pPr>
      <w:r>
        <w:t>Рождение Ивана Васильевича 25 августа 1530 года после двадцати с лишним лет бездетности государя изменило всю расстановку сил при дворе. Наследнику было три года, когда умер отец, и это определило характер следующего десятилетия, известного как время боярского правления.</w:t>
      </w:r>
    </w:p>
    <w:p>
      <w:pPr>
        <w:pStyle w:val="BodyText"/>
      </w:pPr>
      <w:r>
        <w:t>Даты полезно соотнести с европейскими. Смоленск был взят за три года до выступления Лютера, а поражение под Оршей произошло за несколько месяцев до смерти французского короля Людовика XII. Набег Мехмед-Гирея пришёлся на год Вормсского рейхстага, а церковные соборы 1525 и 1531 годов совпали по времени с Крестьянской войной в Германии и с началом английской Реформации.</w:t>
      </w:r>
    </w:p>
    <w:p>
      <w:pPr>
        <w:pStyle w:val="Heading2"/>
      </w:pPr>
      <w:r>
        <w:t>Вопрос первый. Последние присоединения</w:t>
      </w:r>
    </w:p>
    <w:p>
      <w:pPr>
        <w:pStyle w:val="Слайд"/>
      </w:pPr>
      <w:r>
        <w:t>[слайд 5 — Вопрос первый]</w:t>
      </w:r>
    </w:p>
    <w:p>
      <w:pPr>
        <w:pStyle w:val="BodyText"/>
      </w:pPr>
      <w:r>
        <w:t>Первый вопрос прослеживает, как в течение двух десятилетий исчезли последние самостоятельные политические центры на территории, которую московский государь считал своей «отчиной».</w:t>
      </w:r>
    </w:p>
    <w:p>
      <w:pPr>
        <w:pStyle w:val="Слайд"/>
      </w:pPr>
      <w:r>
        <w:t>[слайд 6 — Четыре приобретения]</w:t>
      </w:r>
    </w:p>
    <w:p>
      <w:pPr>
        <w:pStyle w:val="BodyText"/>
      </w:pPr>
      <w:r>
        <w:t>Присоединение северских земель было подготовлено ещё при Иване III. В 1500 году на московскую службу перешли князья Семён Иванович Можайский, владевший Черниговом и Стародубом, и Василий Иванович Шемячич, державший Новгород-Северский. Шемячич приходился внуком Дмитрию Шемяке, противнику Василия II в династической войне. История рода сделала круг: потомок изгнанного соперника вернулся на московскую службу вместе с обширной землёй. Судьба его оказалась печальной: в 1523 году по обвинению в сношениях с Литвой он был вызван в Москву, заключён под стражу и в 1529 году умер в тюрьме.</w:t>
      </w:r>
    </w:p>
    <w:p>
      <w:pPr>
        <w:pStyle w:val="BodyText"/>
      </w:pPr>
      <w:r>
        <w:t>По Благовещенскому перемирию 1503 года к Москве отошло около двадцати городов, в том числе Чернигов, Брянск, Путивль, Рыльск, Гомель и Дорогобуж. Литва утратила, по распространённой оценке, около трети своей восточной территории. Для сравнения: на западе Европы в те же годы шли Итальянские войны, где за десятилетия борьбы Франция и Испания обменивались отдельными городами и провинциями, и столь крупные территориальные сдвиги по итогам одной кампании были редкостью.</w:t>
      </w:r>
    </w:p>
    <w:p>
      <w:pPr>
        <w:pStyle w:val="BodyText"/>
      </w:pPr>
      <w:r>
        <w:t>Поводом к войне 1500 года служили жалобы на притеснения православия в Литве. Дочь Ивана III Елена в 1495 году вышла замуж за великого князя литовского Александра, и брачный договор гарантировал ей сохранение веры. Сообщения о попытках склонить её к унии позволили Москве представить войну как защиту единоверцев, и тот же довод открывал путь для перехода православных князей пограничья.</w:t>
      </w:r>
    </w:p>
    <w:p>
      <w:pPr>
        <w:pStyle w:val="Слайд"/>
      </w:pPr>
      <w:r>
        <w:t>[слайд 7 — Псков 1510]</w:t>
      </w:r>
    </w:p>
    <w:p>
      <w:pPr>
        <w:pStyle w:val="BodyText"/>
      </w:pPr>
      <w:r>
        <w:t>Разбирательство 1509–1510 годов было организовано так, что исход его был предрешён. Василий III прибыл в Новгород осенью 1509 года, псковские посадники и жалобщики явились к нему на суд, и в январе 1510 года их задержали. В Псков отправили дьяка Третьяка Долматова с требованием снять колокол. 13 января колокол сняли у Троицкого собора, и, по рассказу псковского летописца, горожане плакали о своей старине.</w:t>
      </w:r>
    </w:p>
    <w:p>
      <w:pPr>
        <w:pStyle w:val="BodyText"/>
      </w:pPr>
      <w:r>
        <w:t>«Повесть о псковском взятии», вошедшая в Псковскую первую летопись, построена как плач города о себе самом. Псков отвечает на вопрос, почему он скорбит, тем, что на него налетел «многокрылый орёл, исполнь крил львовых ноготей», и унёс его красоту. Образ орла, недавно появившегося на государственной печати, прочитывается однозначно. Это редкий в русской литературе XVI века текст, где голос подчинённой земли сохранился в собственной её летописи.</w:t>
      </w:r>
    </w:p>
    <w:p>
      <w:pPr>
        <w:pStyle w:val="BodyText"/>
      </w:pPr>
      <w:r>
        <w:t>Вывод трёхсот семей сопровождался переселением в Псков служилых людей и купцов из московских городов. Торговля с Ливонией продолжалась, однако теперь её контролировали наместники и дьяки. Среди последних был Мисюрь Мунехин, которому адресовано одно из посланий старца Филофея: формула о третьем Риме родилась в новоприсоединённом Пскове, в переписке местного монаха с московским администратором.</w:t>
      </w:r>
    </w:p>
    <w:p>
      <w:pPr>
        <w:pStyle w:val="BodyText"/>
      </w:pPr>
      <w:r>
        <w:t>Псковская самостоятельность имела давнюю историю. С середины XIV века город фактически вышел из-под власти Новгорода, имел своё вече, свою монету и свод законов, известный как Псковская судная грамота. В отличие от Новгорода, Псков постоянно нуждался в московской помощи против Ливонского ордена: в 1501–1502 годах магистр Вальтер фон Плеттенберг дважды нанёс поражение псковичам и московским полкам, и лишь соединённые силы удержали границу. Эта зависимость в военных делах облегчила Москве подчинение города.</w:t>
      </w:r>
    </w:p>
    <w:p>
      <w:pPr>
        <w:pStyle w:val="Слайд"/>
      </w:pPr>
      <w:r>
        <w:t>[слайд 8 — Смоленск 1514]</w:t>
      </w:r>
    </w:p>
    <w:p>
      <w:pPr>
        <w:pStyle w:val="BodyText"/>
      </w:pPr>
      <w:r>
        <w:t>Летом 1514 года под Смоленском было собрано, по сообщениям современников, около трёхсот орудий, в том числе крупные пушки, отлитые московскими и иностранными мастерами. Обстрел продолжался несколько дней, и 31 июля гарнизон начал переговоры. Важную роль в подготовке похода сыграл князь Михаил Глинский, перешедший из Литвы на московскую службу в 1508 году. Он рассчитывал получить Смоленск в держание, а когда город был включён в состав государства на общих основаниях, вступил в тайные сношения с Сигизмундом I, был схвачен и провёл в заключении около двенадцати лет.</w:t>
      </w:r>
    </w:p>
    <w:p>
      <w:pPr>
        <w:pStyle w:val="BodyText"/>
      </w:pPr>
      <w:r>
        <w:t>Битва под Оршей 8 сентября 1514 года стала одним из самых тяжёлых поражений московского войска в XVI веке. Литовским войском командовал князь Константин Острожский, который сам был взят в плен на Ведроши в 1500 году и сумел вернуться в Литву. Московские воеводы Иван Челяднин и Михаил Булгаков-Голица попали в плен.</w:t>
      </w:r>
    </w:p>
    <w:p>
      <w:pPr>
        <w:pStyle w:val="BodyText"/>
      </w:pPr>
      <w:r>
        <w:t>Орша имела любопытное продолжение в европейской политике. Сигизмунд I развернул пропагандистскую кампанию: в письмах к европейским дворам и в печатных листках сообщалось о десятках тысяч убитых «московитов», и цифры эти, по оценке современных историков, были многократно завышены. Цель состояла в том, чтобы разрушить союз Москвы с императором Максимилианом I, заключённый в том же 1514 году. Крупное полотно «Битва под Оршей», созданное около 1520-х годов в кругу Лукаса Кранаха и хранящееся сейчас в Национальном музее Стокгольма, относится к этой же пропаганде. В Москве в память о взятии Смоленска в 1524 году был основан Новодевичий монастырь.</w:t>
      </w:r>
    </w:p>
    <w:p>
      <w:pPr>
        <w:pStyle w:val="BodyText"/>
      </w:pPr>
      <w:r>
        <w:t>Судьба Смоленска в последующем столетии подтверждает его ключевое значение. При Борисе Годунове, в 1595–1602 годах, мастер Фёдор Конь возвёл здесь крепость с периметром стен более шести километров. В 1611 году, после двадцатимесячной осады, город взяли войска Сигизмунда III, и лишь в 1654 году он окончательно вернулся в состав Русского государства.</w:t>
      </w:r>
    </w:p>
    <w:p>
      <w:pPr>
        <w:pStyle w:val="Слайд"/>
      </w:pPr>
      <w:r>
        <w:t>[слайд 9 — Рязань 1521]</w:t>
      </w:r>
    </w:p>
    <w:p>
      <w:pPr>
        <w:pStyle w:val="BodyText"/>
      </w:pPr>
      <w:r>
        <w:t>Связь рязанского дома с московским была тесной: бабка последнего рязанского князя, Анна Васильевна, приходилась родной сестрой Ивану III, и в течение нескольких десятилетий рязанская политика согласовывалась с Москвой. Иван Иванович Рязанский попытался выйти из этой зависимости и, по московским известиям, вёл переговоры о браке с дочерью крымского хана. В 1520 году он был вызван в Москву и задержан; во время крымского набега 1521 года бежал и окончил дни в Литве.</w:t>
      </w:r>
    </w:p>
    <w:p>
      <w:pPr>
        <w:pStyle w:val="BodyText"/>
      </w:pPr>
      <w:r>
        <w:t>Рязанская земля имела для Москвы стратегическое значение. Она прикрывала южные подступы к столице, и её крепости, прежде всего Переяславль-Рязанский, стали частью оборонительной системы на Оке. Присоединение тем самым было и мерой обороны: на южной границе не должно было оставаться правителя, способного договориться с Крымом.</w:t>
      </w:r>
    </w:p>
    <w:p>
      <w:pPr>
        <w:pStyle w:val="BodyText"/>
      </w:pPr>
      <w:r>
        <w:t>Внешние признаки самостоятельности Рязань сохраняла до последнего. Рязанские князья чеканили собственную монету, в их кремле на Трубеже стоял кафедральный Успенский собор, а при дворе велись собственные летописные записи. После 1521 года часть рязанских служилых людей была переведена в московские уезды, а на их место поместили выходцев из центра, по той же схеме, что и в Новгороде, хотя и в меньших масштабах.</w:t>
      </w:r>
    </w:p>
    <w:p>
      <w:pPr>
        <w:pStyle w:val="Слайд"/>
      </w:pPr>
      <w:r>
        <w:t>[слайд 10 — Механика присоединений]</w:t>
      </w:r>
    </w:p>
    <w:p>
      <w:pPr>
        <w:pStyle w:val="BodyText"/>
      </w:pPr>
      <w:r>
        <w:t>Схема обмена, представленная на слайде, помогает объяснить различие в судьбе западных и восточных приобретений. На северских землях служилые князья долго сохраняли свои владения, и лишь в 1520-х годах последние из них были выведены. На Смоленщине была подтверждена жалованная грамота, сохранявшая права местной шляхты и мещан, и это позволило удержать город в критический месяц после Орши, когда часть смоленской знати пыталась сдать его Сигизмунду. Заговор раскрыли, и его участников казнили на стенах.</w:t>
      </w:r>
    </w:p>
    <w:p>
      <w:pPr>
        <w:pStyle w:val="BodyText"/>
      </w:pPr>
      <w:r>
        <w:t>Сравнение с Европой показывает, что сходный механизм действовал и там. Французская корона, присоединяя Бретань в 1491–1532 годах, подтвердила права местных штатов и парламента, а Кастилия, получив Наварру в 1512–1515 годах, сохранила за ней её фуэрос. Гарантия местных прав в обмен на лояльность была обычным инструментом раннего государства.</w:t>
      </w:r>
    </w:p>
    <w:p>
      <w:pPr>
        <w:pStyle w:val="Heading2"/>
      </w:pPr>
      <w:r>
        <w:t>Вопрос второй. Внешняя политика первой трети века</w:t>
      </w:r>
    </w:p>
    <w:p>
      <w:pPr>
        <w:pStyle w:val="Слайд"/>
      </w:pPr>
      <w:r>
        <w:t>[слайд 11 — Вопрос второй]</w:t>
      </w:r>
    </w:p>
    <w:p>
      <w:pPr>
        <w:pStyle w:val="BodyText"/>
      </w:pPr>
      <w:r>
        <w:t>Второй вопрос рассматривает три направления внешней политики, каждое из которых требовало особых средств: договоров на западе, сложной дипломатии и обороны на юге и востоке.</w:t>
      </w:r>
    </w:p>
    <w:p>
      <w:pPr>
        <w:pStyle w:val="BodyText"/>
      </w:pPr>
      <w:r>
        <w:t>Специфика каждого направления определялась характером противника. Литва была христианским государством с развитой дипломатией, и споры с ней решались договорами, где каждое слово взвешивалось. Наследники Орды жили по иным правилам: отношения строились на личных договорённостях с ханами и мирзами, обмене подарками и заложниками, и договор, заключённый с одним ханом, мог ничего не значить для его преемника.</w:t>
      </w:r>
    </w:p>
    <w:p>
      <w:pPr>
        <w:pStyle w:val="Слайд"/>
      </w:pPr>
      <w:r>
        <w:t>[слайд 12 — Западное направление]</w:t>
      </w:r>
    </w:p>
    <w:p>
      <w:pPr>
        <w:pStyle w:val="BodyText"/>
      </w:pPr>
      <w:r>
        <w:t>Битва на Ведроши 14 июля 1500 года стала первым крупным полевым успехом московского войска в войнах с Литвой. Руководил войском князь Даниил Щеня, тот самый, что брал Вятку. Помимо Острожского, в плен попали многие литовские паны, и это дало Москве сильную позицию на переговорах.</w:t>
      </w:r>
    </w:p>
    <w:p>
      <w:pPr>
        <w:pStyle w:val="BodyText"/>
      </w:pPr>
      <w:r>
        <w:t>Мятеж Михаила Глинского 1508 года показывает, насколько подвижными были политические связи знати пограничья. Глинский, чей род по родословной легенде вёл происхождение от ордынской знати, долго жил в Германии и Италии, служил императору Максимилиану и саксонскому герцогу Альбрехту, а в Литве стал одним из самых влиятельных магнатов. После смерти Александра Ягеллончика он обвинил в отравлении короля своих противников, поднял восстание и, потерпев неудачу, перешёл к Василию III. Племянница Глинского Елена в 1526 году станет женой великого князя и матерью Ивана IV.</w:t>
      </w:r>
    </w:p>
    <w:p>
      <w:pPr>
        <w:pStyle w:val="BodyText"/>
      </w:pPr>
      <w:r>
        <w:t>Внешняя политика на западе велась одновременно с поиском союзников за пределами Литвы. В 1514 году был заключён договор с императором Максимилианом I, направленный против Сигизмунда, а в 1517 году — соглашение с великим магистром Тевтонского ордена Альбрехтом Бранденбургским, которому Москва обязалась выплачивать субсидии на войну с Польшей. Первая миссия Герберштейна в 1517 году имела обратную цель: император пытался примирить Москву и Литву, чтобы объединить их против османов. Посредничество не удалось, и война продолжалась до 1522 года.</w:t>
      </w:r>
    </w:p>
    <w:p>
      <w:pPr>
        <w:pStyle w:val="Слайд"/>
      </w:pPr>
      <w:r>
        <w:t>[слайд 13 — Наследники Орды]</w:t>
      </w:r>
    </w:p>
    <w:p>
      <w:pPr>
        <w:pStyle w:val="BodyText"/>
      </w:pPr>
      <w:r>
        <w:t>Крымское ханство при Менгли-Гирее, умершем в 1515 году, оставалось союзником Москвы. Перелом произошёл при его сыне Мехмед-Гирее, когда интересы Москвы и Крыма столкнулись в Казани. После смерти казанского хана Мухаммед-Амина в 1518 году Москва посадила на казанский престол своего ставленника Шах-Али, а в 1521 году казанцы свергли его и пригласили крымского царевича Сахиб-Гирея. С этого момента Казань становится главным предметом спора двух держав.</w:t>
      </w:r>
    </w:p>
    <w:p>
      <w:pPr>
        <w:pStyle w:val="BodyText"/>
      </w:pPr>
      <w:r>
        <w:t>Ногайская Орда сложилась вокруг потомков эмира Едигея. Её центром был Сарайчик на реке Яик (Урале), а кочевья простирались от Волги до Иртыша. Ногайские мирзы регулярно пригоняли в Москву на продажу табуны коней, в отдельные годы XVI века исчислявшиеся десятками тысяч голов, и этот торговый интерес обеспечивал отношениям относительную устойчивость. Сибирское ханство, сложившееся вокруг Тюмени и затем Искера, в начале XVI века было занято собственными усобицами и в московской политике играло второстепенную роль.</w:t>
      </w:r>
    </w:p>
    <w:p>
      <w:pPr>
        <w:pStyle w:val="BodyText"/>
      </w:pPr>
      <w:r>
        <w:t>Казанский вопрос обострился с самого начала княжения. В 1505 году по приказу хана Мухаммед-Амина на ярмарке в Казани были перебиты и ограблены русские купцы, а поход 1506 года на Казань закончился тяжёлым поражением московского войска. В ответ Москва постепенно переходила к экономическому давлению. В 1523 году в устье Суры был построен Васильсурск, а ярмарку, прежде собиравшуюся под Казанью, перевели на русскую территорию, к Макарьеву монастырю на Волге. Из неё со временем выросла Макарьевская, а затем Нижегородская ярмарка.</w:t>
      </w:r>
    </w:p>
    <w:p>
      <w:pPr>
        <w:pStyle w:val="Слайд"/>
      </w:pPr>
      <w:r>
        <w:t>[слайд 14 — 1521 год]</w:t>
      </w:r>
    </w:p>
    <w:p>
      <w:pPr>
        <w:pStyle w:val="BodyText"/>
      </w:pPr>
      <w:r>
        <w:t>Сведения о набеге 1521 года сохранились в летописях и в записках Герберштейна, который прибыл в Москву вскоре после этих событий. По его рассказу, Василий III укрылся под стогом сена, а хан отступил, получив грамоту, по которой великий князь обязался платить дань. На обратном пути крымцы осадили Переяславль-Рязанский, где окольничий Иван Хабар Симский сумел хитростью вернуть эту грамоту. Рассказ о стоге сена исходит от недоброжелателей великого князя и проверке не поддаётся; цифра в восемьсот тысяч уведённых пленных, приведённая Герберштейном, относится к явным преувеличениям, хотя сам масштаб полона был, бесспорно, огромным.</w:t>
      </w:r>
    </w:p>
    <w:p>
      <w:pPr>
        <w:pStyle w:val="BodyText"/>
      </w:pPr>
      <w:r>
        <w:t>Набег стал поводом для перестройки обороны. С 1520-х годов вдоль Оки ежегодно выставлялись полки «на береге», а на дальних подступах появилась сторожевая служба. Этот порядок через несколько десятилетий, в середине XVI века, разовьётся в систему засечных черт.</w:t>
      </w:r>
    </w:p>
    <w:p>
      <w:pPr>
        <w:pStyle w:val="BodyText"/>
      </w:pPr>
      <w:r>
        <w:t>Строительство каменных крепостей на южном направлении развернулось именно в эти годы. Тульский кремль был возведён в 1514–1520 годах, Коломенский — в 1525–1531, кремль в Зарайске — в 1528–1531 годах. По крайней мере часть из них строилась с участием итальянских мастеров и по общему образцу с московским Кремлём. Их сооружение стоило казне огромных средств и показывает, насколько серьёзно в Москве относились к угрозе со стороны степи.</w:t>
      </w:r>
    </w:p>
    <w:p>
      <w:pPr>
        <w:pStyle w:val="Слайд"/>
      </w:pPr>
      <w:r>
        <w:t>[слайд 15 — Региональный сюжет]</w:t>
      </w:r>
    </w:p>
    <w:p>
      <w:pPr>
        <w:pStyle w:val="BodyText"/>
      </w:pPr>
      <w:r>
        <w:t>Пермь Великую в 1505 году передали под управление наместника Василия Андреевича Ковера. Через этот край шли пути на Югру и в Зауралье, по которым двигались экспедиции 1483 и 1499–1500 годов. Соль Камская, или Усолье, на средней Каме обеспечивала солью обширные территории Приуралья. Позднее, в 1558 году, здесь начнётся история владений Строгановых, а затем отсюда пойдёт поход Ермака.</w:t>
      </w:r>
    </w:p>
    <w:p>
      <w:pPr>
        <w:pStyle w:val="BodyText"/>
      </w:pPr>
      <w:r>
        <w:t>Южный Урал оставался в начале XVI века областью кочевий, где башкирские родовые объединения находились в зависимости от Ногайской Орды и Сибирского ханства и платили им ясак. Добровольное вхождение башкир в состав Русского государства произойдёт лишь после взятия Казани, в 1550-х годах. В этом смысле история территории нынешней Челябинской области в рассматриваемое время относится к истории ногайского и башкирского мира, а московский фактор здесь пока не проявляется.</w:t>
      </w:r>
    </w:p>
    <w:p>
      <w:pPr>
        <w:pStyle w:val="BodyText"/>
      </w:pPr>
      <w:r>
        <w:t>Представления самих москвичей о землях за Уралом хорошо видны в записках Герберштейна. Он поместил в книгу маршрут от Устюга к Печоре, Югре и Оби, записанный со слов русских проводников, и сообщил о почитаемом у обских народов идоле «Золотой бабе». Сведения эти смешивали наблюдение с легендой, однако впервые дали европейскому читателю описание пути через Урал.</w:t>
      </w:r>
    </w:p>
    <w:p>
      <w:pPr>
        <w:pStyle w:val="Heading2"/>
      </w:pPr>
      <w:r>
        <w:t>Вопрос третий. Власть государя и её аппарат</w:t>
      </w:r>
    </w:p>
    <w:p>
      <w:pPr>
        <w:pStyle w:val="Слайд"/>
      </w:pPr>
      <w:r>
        <w:t>[слайд 16 — Вопрос третий]</w:t>
      </w:r>
    </w:p>
    <w:p>
      <w:pPr>
        <w:pStyle w:val="BodyText"/>
      </w:pPr>
      <w:r>
        <w:t>Третий вопрос рассматривает устройство власти: как был решён вопрос о наследовании, кто входил в ближайшее окружение государя и какие службы обеспечивали управление.</w:t>
      </w:r>
    </w:p>
    <w:p>
      <w:pPr>
        <w:pStyle w:val="BodyText"/>
      </w:pPr>
      <w:r>
        <w:t>Вопрос об устройстве власти при Василии III исследуется по скудным источникам. Делопроизводственных документов этого времени сохранилось немного: значительная часть московских архивов погибла в пожарах 1547 и 1571 годов и в Смуту. Поэтому историки вынуждены опираться на летописи, разрядные записи, жалованные грамоты и свидетельства иностранцев, каждый из которых освещает лишь часть картины.</w:t>
      </w:r>
    </w:p>
    <w:p>
      <w:pPr>
        <w:pStyle w:val="Слайд"/>
      </w:pPr>
      <w:r>
        <w:t>[слайд 17 — Ликвидация уделов]</w:t>
      </w:r>
    </w:p>
    <w:p>
      <w:pPr>
        <w:pStyle w:val="BodyText"/>
      </w:pPr>
      <w:r>
        <w:t>Основой нового порядка стало завещание Ивана III 1504 года. Василий получил шестьдесят шесть городов, остальные четверо сыновей вместе — около тридцати. Право чеканить монету и вести сношения с иностранными государями было закреплено за одним великим князем. Если удельный князь умирал бездетным, его удел переходил к старшему брату. Тем самым завещание заранее устанавливало механизм исчезновения уделов.</w:t>
      </w:r>
    </w:p>
    <w:p>
      <w:pPr>
        <w:pStyle w:val="BodyText"/>
      </w:pPr>
      <w:r>
        <w:t>Судьбы братьев подтверждают действенность правила. Семён Калужский умер в 1518 году, Дмитрий Углицкий в 1521-м, оба бездетными. Юрий Дмитровский пережил Василия, но в 1533 году был арестован и в 1536-м умер в заключении. Андрей Старицкий получил разрешение жениться только в 1533 году, после рождения у великого князя двух сыновей; в 1537 году он поднял мятеж и погиб в тюрьме, а его сын Владимир Андреевич станет одной из ключевых фигур опричной эпохи.</w:t>
      </w:r>
    </w:p>
    <w:p>
      <w:pPr>
        <w:pStyle w:val="BodyText"/>
      </w:pPr>
      <w:r>
        <w:t>Сопоставление с Францией полезно для понимания общего смысла перемены. Французские короли с XIII века выделяли младшим сыновьям апанажи, владения, которые возвращались короне в случае пресечения мужского потомства. Тот же принцип выморочного возврата заложен в завещании Ивана III. Различие в том, что во Франции апанажи оставались наследственными в мужском потомстве и дали несколько мощных княжеских домов, Бургундский, Анжуйский, Орлеанский, тогда как в Москве запрет на браки фактически исключал появление новых ветвей.</w:t>
      </w:r>
    </w:p>
    <w:p>
      <w:pPr>
        <w:pStyle w:val="Слайд"/>
      </w:pPr>
      <w:r>
        <w:t>[слайд 18 — Дума, Казна, Дворец]</w:t>
      </w:r>
    </w:p>
    <w:p>
      <w:pPr>
        <w:pStyle w:val="BodyText"/>
      </w:pPr>
      <w:r>
        <w:t>Состав Думы при Василии III был узким. Ядро составляли старомосковские боярские роды, Кошкины-Захарьины, Морозовы, Челяднины, к которым присоединялись потомки служилых князей: Шуйские, Бельские, Оболенские. В 1520-х годах число бояр колебалось около десяти-двенадцати, и большинство из них были связаны между собой браками.</w:t>
      </w:r>
    </w:p>
    <w:p>
      <w:pPr>
        <w:pStyle w:val="BodyText"/>
      </w:pPr>
      <w:r>
        <w:t>Особую роль приобрели дворецкие областных дворцов. Самым известным из них был Иван Юрьевич Шигона Поджогин, тверской дворецкий, выходец из небольшого рода. Он участвовал в важнейших делах, в том числе в разводе великого князя, и был среди немногих лиц, допущенных к составлению завещания в 1533 году. Пример Шигоны показывает, что близость к государю могла перевешивать знатность.</w:t>
      </w:r>
    </w:p>
    <w:p>
      <w:pPr>
        <w:pStyle w:val="BodyText"/>
      </w:pPr>
      <w:r>
        <w:t>Дьяки выполняли работу, которую в Европе вели канцлеры и секретари. Из их рядов вышли дипломаты, книжники, составители летописных сводов. Делопроизводство велось на длинных склеенных столбцах бумаги, и техника столбцов сохранится в московском управлении до конца XVII века.</w:t>
      </w:r>
    </w:p>
    <w:p>
      <w:pPr>
        <w:pStyle w:val="BodyText"/>
      </w:pPr>
      <w:r>
        <w:t>Казной в начале века ведали люди, связанные с греческим окружением Софьи Палеолог. Юрий Дмитриевич Траханиот, прибывший в Москву в свите царевны, при Василии III был казначеем и печатником, то есть хранителем государственной печати. Он же участвовал в посольских делах, что показывает, насколько слабо ещё были разграничены функции. С 1475 года велись разрядные записи о назначениях воевод, и сводные разрядные книги, составленные позднее на их основе, стали главным источником по истории службы этого времени.</w:t>
      </w:r>
    </w:p>
    <w:p>
      <w:pPr>
        <w:pStyle w:val="Слайд"/>
      </w:pPr>
      <w:r>
        <w:t>[слайд 19 — Механика службы]</w:t>
      </w:r>
    </w:p>
    <w:p>
      <w:pPr>
        <w:pStyle w:val="BodyText"/>
      </w:pPr>
      <w:r>
        <w:t>Формула «конно, людно и оружно» означала, что помещик являлся на смотр на коне, с определённым числом вооружённых холопов в зависимости от размера поместья и с собственным снаряжением. Точная норма будет установлена позже, Уложением о службе 1555–1556 годов: один конный воин со ста четвертей доброй земли. Однако сам принцип зависимости службы от величины поместья действовал уже при Василии III.</w:t>
      </w:r>
    </w:p>
    <w:p>
      <w:pPr>
        <w:pStyle w:val="BodyText"/>
      </w:pPr>
      <w:r>
        <w:t>Злоупотребления кормленщиков были постоянной темой жалоб. Уставные грамоты, выдававшиеся отдельным волостям, перечисляли, сколько наместник и его люди могут брать при въезде, по праздникам, с суда. Таких грамот сохранилось немного, и большая часть населения жила без письменного ограничения сборов. Именно поэтому отмена кормлений станет одной из главных реформ середины века.</w:t>
      </w:r>
    </w:p>
    <w:p>
      <w:pPr>
        <w:pStyle w:val="BodyText"/>
      </w:pPr>
      <w:r>
        <w:t>Местнические споры занимали огромное место в жизни двора. Знатный человек мог отказаться служить под началом того, чей предок занимал более низкое положение, чем его собственный, и такой отказ рассматривался как защита чести всего рода. Решения по спорам записывались, и прецеденты, так называемые «случаи», хранились для будущих разбирательств. Во время походов местнические споры не раз приводили к промедлению и поражениям, однако государи долго не решались отменить систему, служившую основанием для притязаний самой знати.</w:t>
      </w:r>
    </w:p>
    <w:p>
      <w:pPr>
        <w:pStyle w:val="Слайд"/>
      </w:pPr>
      <w:r>
        <w:t>[слайд 20 — Источник крупным планом]</w:t>
      </w:r>
    </w:p>
    <w:p>
      <w:pPr>
        <w:pStyle w:val="BodyText"/>
      </w:pPr>
      <w:r>
        <w:t>Сигизмунд Герберштейн родился в 1486 году в Випаве, на территории нынешней Словении, и с детства знал словенский язык, что позволяло ему понимать русскую речь без переводчика. Это обстоятельство отличает его от большинства иностранных авторов о Московии. Книга вышла в Вене на латыни под названием «Rerum Moscoviticarum Commentarii», в 1557 году появилась в немецкой версии, и до конца столетия многократно переиздавалась на разных языках.</w:t>
      </w:r>
    </w:p>
    <w:p>
      <w:pPr>
        <w:pStyle w:val="BodyText"/>
      </w:pPr>
      <w:r>
        <w:t>К тексту полезно приложить ещё одно известное суждение автора. Герберштейн писал, что не может решить, такая ли грубость народа требует тирана-государя или от тирании государя народ стал таким грубым и жестоким. Высказывание показывает, что посол сознательно строил образ Московии как противоположности христианской монархии Запада. Его книга писалась для императорского двора, где решались вопросы союза с Москвой против Османской империи, и задача автора состояла в том, чтобы показать, с какой силой и какими обычаями придётся иметь дело.</w:t>
      </w:r>
    </w:p>
    <w:p>
      <w:pPr>
        <w:pStyle w:val="BodyText"/>
      </w:pPr>
      <w:r>
        <w:t>Наблюдения Герберштейна охватывают и повседневную жизнь. Он описал придворный церемониал, порядок приёма послов, кушанья на пирах, охоту великого князя, способы езды по зимним дорогам. По его сообщению, ссылающемуся на опись, произведённую по приказу государя, в Москве насчитывалось около 41,5 тысячи домов. Эту цифру историки принимают с осторожностью, но она даёт представление о Москве как об одном из крупнейших городов Европы того времени.</w:t>
      </w:r>
    </w:p>
    <w:p>
      <w:pPr>
        <w:pStyle w:val="Слайд"/>
      </w:pPr>
      <w:r>
        <w:t>[слайд 21 — Спорят историки]</w:t>
      </w:r>
    </w:p>
    <w:p>
      <w:pPr>
        <w:pStyle w:val="BodyText"/>
      </w:pPr>
      <w:r>
        <w:t>Первая позиция имеет и русский источник. В 1525 году был казнён Иван Берсень-Беклемишев, обвинённый в «непригожих речах». В материалах следствия сохранились его слова, сказанные Максиму Греку: государь упрям, возражений против себя не любит и, по выражению Берсеня, «запершыся сам-третей у постели всякие дела делает». Берсень противопоставлял это порядку Ивана III, который, по его словам, «встречю любил». Для сторонников концепции складывающегося самодержавия этот текст служит ключевым доказательством.</w:t>
      </w:r>
    </w:p>
    <w:p>
      <w:pPr>
        <w:pStyle w:val="BodyText"/>
      </w:pPr>
      <w:r>
        <w:t>Вторая позиция наиболее последовательно изложена в книге американского историка Н. Ш. Коллманн «Соединённые узами родства: политика в России, 1345–1547» (англ. изд. 1987). На основании родословных и разрядных материалов Коллманн показала, что состав Думы определялся прежде всего родственными связями с великокняжеским домом и между боярскими родами, а государь выступал своего рода арбитром внутри этого круга. Против такого подхода выдвигается довод, что он недооценивает реальные случаи опал и казней, а формулы согласия в документах могли прикрывать единоличные решения.</w:t>
      </w:r>
    </w:p>
    <w:p>
      <w:pPr>
        <w:pStyle w:val="BodyText"/>
      </w:pPr>
      <w:r>
        <w:t>Третья позиция, представленная, в частности, в работах М. М. Крома, предупреждает против применения к XVI веку понятий «абсолютизм» или «ограниченная монархия», сложившихся на материале более поздних эпох.</w:t>
      </w:r>
    </w:p>
    <w:p>
      <w:pPr>
        <w:pStyle w:val="BodyText"/>
      </w:pPr>
      <w:r>
        <w:t>Для обоснования первой позиции привлекается и другой текст, сохранённый князем А. М. Курбским. Согласно его «Истории о великом князе Московском», коломенский епископ Вассиан Топорков советовал Василию III не держать при себе советников мудрее себя самого. Курбский писал в эмиграции, через полвека, и с явной целью объяснить истоки тирании Ивана IV, поэтому достоверность рассказа сомнительна; однако он показывает, как поколение Курбского представляло себе стиль правления Василия.</w:t>
      </w:r>
    </w:p>
    <w:p>
      <w:pPr>
        <w:pStyle w:val="Слайд"/>
      </w:pPr>
      <w:r>
        <w:t>[слайд 22 — Итог вопросов 1–3]</w:t>
      </w:r>
    </w:p>
    <w:p>
      <w:pPr>
        <w:pStyle w:val="BodyText"/>
      </w:pPr>
      <w:r>
        <w:t>Итог фиксирует противоречие, которое станет движущей силой следующей эпохи. Территория завершена, удельная система исчерпана, и государь не имеет соперников в собственном роду. Однако управлять страной приходится через узкий круг родственных между собой бояр, дьяков и дворецких, и ни один из этих инструментов не создавался для пространства такого размера.</w:t>
      </w:r>
    </w:p>
    <w:p>
      <w:pPr>
        <w:pStyle w:val="BodyText"/>
      </w:pPr>
      <w:r>
        <w:t>Противоречие хорошо видно на примере южной границы. Для отражения набега 1521 года требовалось собрать войско за несколько недель, однако служилые люди жили в своих поместьях, разбросанных по десяткам уездов, и сведения о сборе передавались гонцами. Ни постоянного войска, ни учреждения, ведающего обороной в целом, ещё не существовало. Отсюда и решения следующих десятилетий: регулярная береговая служба, сторожевые станицы и, наконец, Разрядный приказ, ведавший всеми назначениями.</w:t>
      </w:r>
    </w:p>
    <w:p>
      <w:pPr>
        <w:pStyle w:val="Heading2"/>
      </w:pPr>
      <w:r>
        <w:t>Вопрос четвёртый. Церковь, землевладение и книжность</w:t>
      </w:r>
    </w:p>
    <w:p>
      <w:pPr>
        <w:pStyle w:val="Слайд"/>
      </w:pPr>
      <w:r>
        <w:t>[слайд 23 — Вопрос четвёртый]</w:t>
      </w:r>
    </w:p>
    <w:p>
      <w:pPr>
        <w:pStyle w:val="BodyText"/>
      </w:pPr>
      <w:r>
        <w:t>Четвёртый вопрос посвящён спору о монастырском землевладении, который при Василии III получил развязку, и людям, ставшим его жертвами.</w:t>
      </w:r>
    </w:p>
    <w:p>
      <w:pPr>
        <w:pStyle w:val="BodyText"/>
      </w:pPr>
      <w:r>
        <w:t>Спор о монастырских землях к началу XVI века имел длительную предысторию. Земельные богатства крупнейших обителей быстро росли за счёт вкладов: знатные и рядовые землевладельцы отдавали сёла «на помин души», рассчитывая на вечное поминовение рода. Монастыри становились, таким образом, хранителями памяти семей, и всякое посягательство на их земли затрагивало и интересы дарителей.</w:t>
      </w:r>
    </w:p>
    <w:p>
      <w:pPr>
        <w:pStyle w:val="Слайд"/>
      </w:pPr>
      <w:r>
        <w:t>[слайд 24 — Две позиции]</w:t>
      </w:r>
    </w:p>
    <w:p>
      <w:pPr>
        <w:pStyle w:val="BodyText"/>
      </w:pPr>
      <w:r>
        <w:t>Сведения о соборе 1503 года дошли в нескольких поздних и тенденциозных рассказах, составленных обеими сторонами. А. И. Плигузов в книге «Полемика в русской церкви первой трети XVI столетия» (2002) подверг эти тексты подробному разбору и показал, что ряд хрестоматийных эпизодов, в том числе выступление Нила Сорского против монастырских сёл на соборе, известен лишь из позднейших сочинений и вызывает сомнения. Сходные выводы ещё в 1980-х годах формулировал американский историк Д. Островски. По их мнению, острота спора могла быть преувеличена полемистами 1520–1550-х годов, которые проецировали свою борьбу на поколение основателей. Оппоненты этой точки зрения указывают, что поздний характер источников ещё не доказывает вымышленности событий.</w:t>
      </w:r>
    </w:p>
    <w:p>
      <w:pPr>
        <w:pStyle w:val="BodyText"/>
      </w:pPr>
      <w:r>
        <w:t>Позицию заволжских старцев в первой трети XVI века наиболее ярко выражал Вассиан Патрикеев, в миру князь Василий Иванович Патрикеев, принадлежавший к одной из знатнейших семей. В 1499 году он вместе с отцом был насильно пострижен в монахи по обвинению в измене, позднее стал учеником Нила Сорского и составил сборник церковных правил, где доказывал, что монастырям канонически запрещено владеть сёлами.</w:t>
      </w:r>
    </w:p>
    <w:p>
      <w:pPr>
        <w:pStyle w:val="BodyText"/>
      </w:pPr>
      <w:r>
        <w:t>Иосиф Волоцкий развил и учение о власти государя. Повторяя слова византийского писателя VI века Агапита, он писал, что царь естеством подобен всем людям, властью же подобен вышнему Богу. Однако у Иосифа есть и обратная сторона: государь, который подчиняется страстям и нечестию, по его словам, является слугой дьявола, и такому царю повиноваться не следует. Учение, таким образом, возвышало власть и одновременно ставило её под суд церкви.</w:t>
      </w:r>
    </w:p>
    <w:p>
      <w:pPr>
        <w:pStyle w:val="Слайд"/>
      </w:pPr>
      <w:r>
        <w:t>[слайд 25 — Развязка]</w:t>
      </w:r>
    </w:p>
    <w:p>
      <w:pPr>
        <w:pStyle w:val="BodyText"/>
      </w:pPr>
      <w:r>
        <w:t>Развод 1525 года был беспрецедентным для московского двора. Соломония Сабурова прожила с Василием двадцать лет, не родив детей. Её постриг в московском Рождественском монастыре сопровождался, по рассказу Герберштейна, сопротивлением: она будто бы растоптала монашеский куколь. Затем Соломонию отправили в Покровский монастырь в Суздале. Позднее возникла легенда о рождении ею в монастыре сына Георгия; в 1934 году при вскрытии небольшого захоронения рядом с её гробницей в Покровском соборе обнаружили детскую рубашку, обёрнутую вокруг деревянной куклы. Находка до сих пор истолковывается по-разному и не доказывает ни одну из версий.</w:t>
      </w:r>
    </w:p>
    <w:p>
      <w:pPr>
        <w:pStyle w:val="BodyText"/>
      </w:pPr>
      <w:r>
        <w:t>Максим Грек, в миру Михаил Триволис, родился около 1470 года в Арте, учился в Италии, сотрудничал в Венеции с издателем Альдом Мануцием, слушал проповеди Савонаролы во Флоренции и затем принял монашество на Афоне. В 1518 году он прибыл в Москву по приглашению Василия III для перевода Толковой Псалтыри. Осуждение 1525 года было связано с его критикой развода, с кругом собеседников, к которому принадлежал Берсень, и с ошибками в переводах, допущенными, по мнению обвинителей, сознательно. Максим провёл в заточении более двадцати лет и умер в Троице-Сергиевом монастыре в 1556 году; в 1988 году канонизирован.</w:t>
      </w:r>
    </w:p>
    <w:p>
      <w:pPr>
        <w:pStyle w:val="BodyText"/>
      </w:pPr>
      <w:r>
        <w:t>Митрополит Даниил, иосифлянин и бывший игумен Волоколамского монастыря, был в высшей степени послушным исполнителем воли государя. В 1523 году он вместе с великим князем дал Василию Шемячичу письменную гарантию безопасности, после чего тот, прибыв в Москву, был арестован. Этот эпизод современники ставили Даниилу в вину; после смерти Василия III, в 1539 году, боярская группировка Шуйских свела его с кафедры.</w:t>
      </w:r>
    </w:p>
    <w:p>
      <w:pPr>
        <w:pStyle w:val="Слайд"/>
      </w:pPr>
      <w:r>
        <w:t>[слайд 26 — Формула Филофея]</w:t>
      </w:r>
    </w:p>
    <w:p>
      <w:pPr>
        <w:pStyle w:val="BodyText"/>
      </w:pPr>
      <w:r>
        <w:t>Применительно к теме 4.1 существенно, что формула о третьем Риме возникла в тот же период и в той же среде, где решался спор о церковных землях. В одной из редакций послания Филофей прямо просит государя не посягать на имущество церкви. Таким образом, формула, позднее прочитанная как обоснование державного величия, в своём контексте служила аргументом в пользу неприкосновенности церковных имений.</w:t>
      </w:r>
    </w:p>
    <w:p>
      <w:pPr>
        <w:pStyle w:val="BodyText"/>
      </w:pPr>
      <w:r>
        <w:t>Такое прочтение позволяет объяснить, почему мысль Филофея была востребована при учреждении патриаршества в 1589 году и затем в старообрядческой полемике: в обоих случаях она защищала права церкви перед лицом светской власти и чистоту веры.</w:t>
      </w:r>
    </w:p>
    <w:p>
      <w:pPr>
        <w:pStyle w:val="BodyText"/>
      </w:pPr>
      <w:r>
        <w:t>Показательно, что сам Филофей в послании Мисюрю Мунехину обращается к жителю Пскова, недавно лишённого вечевых вольностей, и толкует происшедшее как часть провиденциального порядка. Формула, утешавшая подчинённый город, одновременно возлагала на нового государя обязанности, исполнение которых становилось условием законности его власти.</w:t>
      </w:r>
    </w:p>
    <w:p>
      <w:pPr>
        <w:pStyle w:val="Слайд"/>
      </w:pPr>
      <w:r>
        <w:t>[слайд 27 — Мостик к профилю]</w:t>
      </w:r>
    </w:p>
    <w:p>
      <w:pPr>
        <w:pStyle w:val="BodyText"/>
      </w:pPr>
      <w:r>
        <w:t>Грамота Максимилиана I 1514 года получила неожиданную вторую жизнь через два столетия. В 1718 году, обосновывая право Петра I на императорский титул, вице-канцлер П. П. Шафиров предъявил её иностранным дипломатам и опубликовал: в ней московский государь был назван словом Kayser. Документ, выданный в расчёте на союз против Польши, стал прецедентом для титула, принятого в 1721 году.</w:t>
      </w:r>
    </w:p>
    <w:p>
      <w:pPr>
        <w:pStyle w:val="BodyText"/>
      </w:pPr>
      <w:r>
        <w:t>Ряд значений, отражённых в переводах, полезно представить конкретно. Русское «государь» восходит к «господарь», то есть хозяин, и передавалось латинским dominus, немецким Herr; «царь», происходящее от латинского caesar, соответствовало Kayser и Imperator; «самодержец» представлял кальку с греческого autokrator. Каждый эквивалент добавлял к русскому слову смыслы, которых в нём не было, и стороны использовали это в своих интересах.</w:t>
      </w:r>
    </w:p>
    <w:p>
      <w:pPr>
        <w:pStyle w:val="BodyText"/>
      </w:pPr>
      <w:r>
        <w:t>Само слово «толмач» показывает, через какие языки шло посредничество. Оно восходит к тюркскому tılmaç и вошло в русский язык через контакты с Ордой, а в немецком через венгерское и славянское посредство дало Dolmetscher. В Москве XVI века толмачи с татарского были многочисленнее переводчиков с латыни, и это соотношение точно отражает направления внешних связей. Различались также «переводчики», работавшие с письменными текстами, и «толмачи», переводившие устную речь на приёмах и переговорах.</w:t>
      </w:r>
    </w:p>
    <w:p>
      <w:pPr>
        <w:pStyle w:val="BodyText"/>
      </w:pPr>
      <w:r>
        <w:t>В истории посольского перевода этого времени заметна фигура Дмитрия Герасимова, толмача и книжника, знавшего латынь и немецкий. В 1525 году он ездил в Рим к папе Клименту VII, и по его рассказам итальянский гуманист Паоло Джовио составил книгу о Московии, вышедшую в том же году. Это одно из первых европейских описаний России, основанных на сведениях русского информатора.</w:t>
      </w:r>
    </w:p>
    <w:p>
      <w:pPr>
        <w:pStyle w:val="Heading2"/>
      </w:pPr>
      <w:r>
        <w:t>Вопрос пятый. Европа в те же десятилетия</w:t>
      </w:r>
    </w:p>
    <w:p>
      <w:pPr>
        <w:pStyle w:val="Слайд"/>
      </w:pPr>
      <w:r>
        <w:t>[слайд 28 — Вопрос пятый]</w:t>
      </w:r>
    </w:p>
    <w:p>
      <w:pPr>
        <w:pStyle w:val="BodyText"/>
      </w:pPr>
      <w:r>
        <w:t>Пятый вопрос помещает московские события в европейский контекст и показывает, какие процессы были общими, а в чём пути расходились.</w:t>
      </w:r>
    </w:p>
    <w:p>
      <w:pPr>
        <w:pStyle w:val="BodyText"/>
      </w:pPr>
      <w:r>
        <w:t>Сравнение необходимо для того, чтобы не принимать особенности за отсталость и общие черты за заимствования. Многое из того, что происходило в Москве, имело европейские аналоги, однако решения принимались в иных условиях и приводили к иным результатам.</w:t>
      </w:r>
    </w:p>
    <w:p>
      <w:pPr>
        <w:pStyle w:val="Слайд"/>
      </w:pPr>
      <w:r>
        <w:t>[слайд 29 — Европа в те же годы]</w:t>
      </w:r>
    </w:p>
    <w:p>
      <w:pPr>
        <w:pStyle w:val="BodyText"/>
      </w:pPr>
      <w:r>
        <w:t>Сопоставление удобно вести по датам. В 1515 году на французский престол вступил Франциск I, в 1519 году Карл V был избран императором и объединил под своей властью Испанию, Нидерланды, австрийские земли и владения в Италии и Америке. В 1517 году Мартин Лютер обнародовал свои тезисы, в 1521 году на рейхстаге в Вормсе отказался от них отречься. В том же 1521 году, когда Мехмед-Гирей стоял под Москвой, султан Сулейман I взял Белград, а в 1526 году, при Мохаче, войска венгерского короля были разгромлены османами.</w:t>
      </w:r>
    </w:p>
    <w:p>
      <w:pPr>
        <w:pStyle w:val="BodyText"/>
      </w:pPr>
      <w:r>
        <w:t>Перераспределение церковных земель в протестантских странах шло быстро. В Швеции Густав Ваза на риксдаге в Вестеросе в 1527 году обратил церковное имущество в пользу короны; в Англии Генрих VIII в 1536–1541 годах закрыл все монастыри и передал их земли казне, откуда они быстро перешли к дворянству. В Москве решение было обратным: церковные вотчины сохранились, хотя государство нуждалось в земле для поместий не меньше. Отчасти это объясняется отсутствием в православном мире учения, которое оправдывало бы изъятие церковных имений; заволжская традиция требовала добровольного отказа монахов от сёл, без передачи их государю.</w:t>
      </w:r>
    </w:p>
    <w:p>
      <w:pPr>
        <w:pStyle w:val="BodyText"/>
      </w:pPr>
      <w:r>
        <w:t>Экспедиция Магеллана 1519–1522 годов завершила первое кругосветное плавание, и в те же годы Москва впервые получила сведения о новых землях: Максим Грек в одном из сочинений упоминал о плаваниях испанцев и португальцев к новооткрытым землям. Ценовая революция, вызванная притоком американского серебра, проявится на Руси позднее и в ослабленной форме, однако рост цен во второй половине XVI века отмечают и московские источники.</w:t>
      </w:r>
    </w:p>
    <w:p>
      <w:pPr>
        <w:pStyle w:val="BodyText"/>
      </w:pPr>
      <w:r>
        <w:t>Европейская мысль о власти в те же годы породила два текста, ставшие классическими. Никколо Макиавелли в 1513 году написал «Государя», где отделил политический расчёт от моральных оценок, а Томас Мор в 1516 году издал «Утопию» с образом государства, основанного на разуме и общей собственности. Московские сочинения того же времени, послания Филофея, «Просветитель» Иосифа, полемика Вассиана и Максима Грека, решают сходный вопрос о пределах власти, но средствами богословия, в рамках которого политика остаётся частью спасения души.</w:t>
      </w:r>
    </w:p>
    <w:p>
      <w:pPr>
        <w:pStyle w:val="Слайд"/>
      </w:pPr>
      <w:r>
        <w:t>[слайд 30 — Цена выбора]</w:t>
      </w:r>
    </w:p>
    <w:p>
      <w:pPr>
        <w:pStyle w:val="BodyText"/>
      </w:pPr>
      <w:r>
        <w:t>Оценки княжения Василия III в историографии различаются в той же мере, что и оценки его отца. В. О. Ключевский видел в нём продолжателя, завершавшего дело отца. А. А. Зимин в книге «Россия на пороге нового времени» (1972) показал, что именно в эти годы сложились предпосылки реформ середины века: служилое сословие, первые зачатки ведомств, практика соборного обсуждения церковных дел. Работы последних десятилетий, прежде всего М. М. Крома, обращают внимание на то, как механизм власти, выстроенный вокруг одной фигуры, повёл себя после смерти государя, когда правителем оказался трёхлетний ребёнок.</w:t>
      </w:r>
    </w:p>
    <w:p>
      <w:pPr>
        <w:pStyle w:val="BodyText"/>
      </w:pPr>
      <w:r>
        <w:t>Сопоставление двух столбцов полезно дополнить вопросом о масштабе. В начале XVI века население государства, по разным оценкам демографов, составляло от пяти до девяти миллионов человек, тогда как во Франции жило около пятнадцати миллионов, в Англии — около трёх. Территория при этом превосходила любое европейское государство. Отсюда характерная черта московского развития: ресурсы приходилось собирать с огромного, редко населённого пространства, что требовало иных средств, чем в густонаселённой Европе.</w:t>
      </w:r>
    </w:p>
    <w:p>
      <w:pPr>
        <w:pStyle w:val="Heading2"/>
      </w:pPr>
      <w:r>
        <w:t>Заключение</w:t>
      </w:r>
    </w:p>
    <w:p>
      <w:pPr>
        <w:pStyle w:val="Слайд"/>
      </w:pPr>
      <w:r>
        <w:t>[слайд 31 — Основные выводы]</w:t>
      </w:r>
    </w:p>
    <w:p>
      <w:pPr>
        <w:pStyle w:val="BodyText"/>
      </w:pPr>
      <w:r>
        <w:t>Выводы темы складываются в картину переходной эпохи. Территориальное объединение завершилось, однако средства управления оставались в основном прежними: личные поручения, родственный круг Думы, кормления. Церковь сохранила земли и приобрела новую роль идеологической опоры власти. Внешние угрозы с запада и юга требовали постоянной армии, а её содержание требовало новых налогов и новых учреждений. Разрешение этих противоречий станет содержанием реформ Избранной рады и затем опричнины.</w:t>
      </w:r>
    </w:p>
    <w:p>
      <w:pPr>
        <w:pStyle w:val="BodyText"/>
      </w:pPr>
      <w:r>
        <w:t>Для самостоятельной работы полезно соотнести выводы темы с выводами предыдущей. Направления, начатые при Иване III, при Василии III доведены до конца: последние независимые земли присоединены, уделы исчезают, поместная система распространяется на новые территории. Новыми оказываются переход к постоянной обороне южной границы, развязка церковного спора и появление в Москве иностранных описателей, взгляд которых определит европейский образ России на столетие вперёд.</w:t>
      </w:r>
    </w:p>
    <w:p>
      <w:pPr>
        <w:pStyle w:val="Слайд"/>
      </w:pPr>
      <w:r>
        <w:t>[слайд 32 — Вопросы и задания]</w:t>
      </w:r>
    </w:p>
    <w:p>
      <w:pPr>
        <w:pStyle w:val="BodyText"/>
      </w:pPr>
      <w:r>
        <w:t>При разборе Герберштейна удобно разделить текст на три слоя: личные наблюдения в Москве и по пути, рассказы собеседников и сведения, заимствованные из предшествующих сочинений, прежде всего у Паоло Джовио и Матвея Меховского. Для регионального задания полезны сведения разрядных книг и летописей о наместниках Перми Великой, а также указания Герберштейна о пути на Печору и Югру.</w:t>
      </w:r>
    </w:p>
    <w:p>
      <w:pPr>
        <w:pStyle w:val="BodyText"/>
      </w:pPr>
      <w:r>
        <w:t>Задание о двух способах присоединения полезно выполнить в виде таблицы: в строках — Псков, Смоленск, Рязань, северские земли, в столбцах — повод, способ, участники, судьба местной знати и прав. Такая таблица наглядно показывает, что под общей формулой «присоединение» скрываются четыре разных механизма.</w:t>
      </w:r>
    </w:p>
    <w:p>
      <w:pPr>
        <w:pStyle w:val="Слайд"/>
      </w:pPr>
      <w:r>
        <w:t>[слайд 33 — Литература]</w:t>
      </w:r>
    </w:p>
    <w:p>
      <w:pPr>
        <w:pStyle w:val="BodyText"/>
      </w:pPr>
      <w:r>
        <w:t>Из дополнительной литературы для первого знакомства удобнее всего книга А. А. Зимина: она даёт связное изложение всего княжения. Работы М. М. Крома посвящены следующему десятилетию, однако в них подробно разобраны механизмы власти, сложившиеся при Василии III. Книга Н. Ш. Коллманн доступна в русском переводе и даёт образец просопографического исследования.</w:t>
      </w:r>
    </w:p>
    <w:p>
      <w:pPr>
        <w:pStyle w:val="BodyText"/>
      </w:pPr>
      <w:r>
        <w:t>Для сюжета о Филофее, помимо книги Н. В. Синицыной, полезно обратиться к самим посланиям: их тексты невелики и в издании с переводом читаются за час, что позволяет самостоятельно проверить, что именно сказано старцем и что приписано ему позднейшей традицией.</w:t>
      </w:r>
    </w:p>
    <w:sectPr>
      <w:footerReference w:type="default" r:id="rId9"/>
      <w:pgSz w:w="11906" w:h="16838"/>
      <w:pgMar w:top="1134" w:bottom="1134" w:left="1701"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71315dca"/>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60" w:lineRule="auto" w:before="0" w:after="0"/>
      <w:ind w:firstLine="709"/>
      <w:jc w:val="both"/>
    </w:pPr>
    <w:rPr>
      <w:rFonts w:ascii="Times New Roman" w:hAnsi="Times New Roman" w:cs="Times New Roman" w:eastAsia="Times New Roman"/>
      <w:color w:val="000000"/>
      <w:sz w:val="28"/>
    </w:rPr>
  </w:style>
  <w:style w:type="paragraph" w:styleId="BodyText">
    <w:name w:val="Body Text"/>
    <w:basedOn w:val="Normal"/>
    <w:link w:val="BodyTextChar"/>
    <w:pPr>
      <w:spacing w:before="0" w:after="0" w:line="360" w:lineRule="auto"/>
      <w:ind w:firstLine="709"/>
      <w:jc w:val="both"/>
    </w:pPr>
    <w:qFormat/>
    <w:rPr>
      <w:rFonts w:ascii="Times New Roman" w:hAnsi="Times New Roman" w:cs="Times New Roman" w:eastAsia="Times New Roman"/>
      <w:color w:val="000000"/>
      <w:sz w:val="28"/>
    </w:rPr>
  </w:style>
  <w:style w:type="paragraph" w:customStyle="1" w:styleId="FirstParagraph">
    <w:name w:val="First Paragraph"/>
    <w:basedOn w:val="BodyText"/>
    <w:next w:val="BodyText"/>
    <w:qFormat/>
    <w:pPr>
      <w:spacing w:line="360" w:lineRule="auto" w:before="0" w:after="0"/>
      <w:ind w:firstLine="709"/>
      <w:jc w:val="both"/>
    </w:pPr>
    <w:rPr>
      <w:rFonts w:ascii="Times New Roman" w:hAnsi="Times New Roman" w:cs="Times New Roman" w:eastAsia="Times New Roman"/>
      <w:color w:val="000000"/>
      <w:sz w:val="28"/>
    </w:rPr>
  </w:style>
  <w:style w:type="paragraph" w:customStyle="1" w:styleId="Compact">
    <w:name w:val="Compact"/>
    <w:basedOn w:val="BodyText"/>
    <w:qFormat/>
    <w:pPr>
      <w:spacing w:before="36" w:after="36" w:line="276" w:lineRule="auto"/>
      <w:ind w:firstLine="0"/>
    </w:pPr>
    <w:rPr>
      <w:rFonts w:ascii="Times New Roman" w:hAnsi="Times New Roman" w:cs="Times New Roman" w:eastAsia="Times New Roman"/>
      <w:color w:val="000000"/>
      <w:sz w:val="28"/>
    </w:rPr>
  </w:style>
  <w:style w:type="paragraph" w:styleId="Title">
    <w:name w:val="Title"/>
    <w:basedOn w:val="Normal"/>
    <w:next w:val="BodyText"/>
    <w:qFormat/>
    <w:pPr>
      <w:keepNext/>
      <w:keepLines/>
      <w:spacing w:before="0" w:after="240"/>
      <w:ind w:firstLine="0"/>
      <w:jc w:val="center"/>
    </w:pPr>
    <w:rPr>
      <w:rFonts w:ascii="Times New Roman" w:hAnsi="Times New Roman" w:cs="Times New Roman" w:eastAsia="Times New Roman"/>
      <w:b/>
      <w:bCs/>
      <w:i w:val="0"/>
      <w:color w:val="000000"/>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240"/>
      <w:ind w:firstLine="0"/>
      <w:jc w:val="center"/>
      <w:outlineLvl w:val="0"/>
    </w:pPr>
    <w:rPr>
      <w:rFonts w:ascii="Times New Roman" w:hAnsi="Times New Roman" w:cs="Times New Roman" w:eastAsia="Times New Roman"/>
      <w:b/>
      <w:bCs/>
      <w:i w:val="0"/>
      <w:color w:val="000000"/>
      <w:sz w:val="32"/>
      <w:szCs w:val="32"/>
    </w:rPr>
  </w:style>
  <w:style w:type="paragraph" w:styleId="Heading2">
    <w:name w:val="Heading 2"/>
    <w:basedOn w:val="Normal"/>
    <w:next w:val="BodyText"/>
    <w:uiPriority w:val="9"/>
    <w:unhideWhenUsed/>
    <w:qFormat/>
    <w:pPr>
      <w:keepNext/>
      <w:keepLines/>
      <w:spacing w:before="320" w:after="160"/>
      <w:ind w:firstLine="0"/>
      <w:jc w:val="left"/>
      <w:outlineLvl w:val="1"/>
    </w:pPr>
    <w:rPr>
      <w:rFonts w:ascii="Times New Roman" w:hAnsi="Times New Roman" w:cs="Times New Roman" w:eastAsia="Times New Roman"/>
      <w:b/>
      <w:bCs/>
      <w:i w:val="0"/>
      <w:color w:val="000000"/>
      <w:sz w:val="30"/>
      <w:szCs w:val="28"/>
    </w:rPr>
  </w:style>
  <w:style w:type="paragraph" w:styleId="Heading3">
    <w:name w:val="Heading 3"/>
    <w:basedOn w:val="Normal"/>
    <w:next w:val="BodyText"/>
    <w:uiPriority w:val="9"/>
    <w:unhideWhenUsed/>
    <w:qFormat/>
    <w:pPr>
      <w:keepNext/>
      <w:keepLines/>
      <w:spacing w:before="240" w:after="120"/>
      <w:ind w:firstLine="0"/>
      <w:jc w:val="left"/>
      <w:outlineLvl w:val="2"/>
    </w:pPr>
    <w:rPr>
      <w:rFonts w:ascii="Times New Roman" w:hAnsi="Times New Roman" w:cs="Times New Roman" w:eastAsia="Times New Roman"/>
      <w:b/>
      <w:bCs/>
      <w:i w:val="0"/>
      <w:color w:val="000000"/>
      <w:sz w:val="28"/>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Слайд">
    <w:name w:val="Слайд"/>
    <w:basedOn w:val="Normal"/>
    <w:pPr>
      <w:keepNext/>
      <w:spacing w:before="200" w:after="40" w:line="240" w:lineRule="auto"/>
      <w:ind w:firstLine="0"/>
      <w:jc w:val="left"/>
    </w:pPr>
    <w:rPr>
      <w:rFonts w:ascii="Times New Roman" w:hAnsi="Times New Roman" w:cs="Times New Roman" w:eastAsia="Times New Roman"/>
      <w:b w:val="0"/>
      <w:i/>
      <w:color w:val="801F1F"/>
      <w:sz w:val="22"/>
    </w:rPr>
  </w:style>
  <w:style w:type="paragraph" w:customStyle="1" w:styleId="Шапка">
    <w:name w:val="Шапка"/>
    <w:basedOn w:val="Normal"/>
    <w:pPr>
      <w:spacing w:line="276" w:lineRule="auto"/>
      <w:ind w:firstLine="0"/>
      <w:jc w:val="center"/>
    </w:pPr>
    <w:rPr>
      <w:rFonts w:ascii="Times New Roman" w:hAnsi="Times New Roman" w:cs="Times New Roman" w:eastAsia="Times New Roman"/>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 5.1. Россия в эпоху преобразований Петра I</dc:title>
  <dc:creator>Колесников Михаил Алексеевич</dc:creator>
  <cp:keywords/>
  <dcterms:created xsi:type="dcterms:W3CDTF">2026-09-30T07:50:03Z</dcterms:created>
  <dcterms:modified xsi:type="dcterms:W3CDTF">2026-09-30T07:50:03Z</dcterms:modified>
</cp:coreProperties>
</file>

<file path=docProps/custom.xml><?xml version="1.0" encoding="utf-8"?>
<Properties xmlns="http://schemas.openxmlformats.org/officeDocument/2006/custom-properties" xmlns:vt="http://schemas.openxmlformats.org/officeDocument/2006/docPropsVTypes"/>
</file>