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4.2. Эпоха Ивана IV Грозного</w:t>
      </w:r>
    </w:p>
    <w:p>
      <w:pPr>
        <w:pStyle w:val="Шапка"/>
      </w:pPr>
      <w:r>
        <w:t>Раздел 4. Россия в XVI–XVII вв.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Иван IV считался государем более пятидесяти лет, с декабря 1533 по март 1584 года, дольше любого другого правителя в истории России. Он застал на тронах Европы Генриха VIII и Карла V, вёл переговоры с Елизаветой I, Сигизмундом II Августом и Стефаном Баторием. Самостоятельное правление начинается с 1547 года, и именно его итоги подводятся в теме: огромный прирост территории на востоке и тяжёлое хозяйственное истощение центра, достигнутые одним и тем же поколением служилых людей.</w:t>
      </w:r>
    </w:p>
    <w:p>
      <w:pPr>
        <w:pStyle w:val="Слайд"/>
      </w:pPr>
      <w:r>
        <w:t>[слайд 2 — Постановка проблемы]</w:t>
      </w:r>
    </w:p>
    <w:p>
      <w:pPr>
        <w:pStyle w:val="BodyText"/>
      </w:pPr>
      <w:r>
        <w:t>Резкость споров объясняется отчасти состоянием источников. Значительная часть приказного архива XVI века погибла в московских пожарах, прежде всего в 1626 году, а в описи Царского архива сохранились лишь названия многих ящиков с делами. Историк вынужден опираться на летописи, редактировавшиеся при дворе, на сочинения эмигрантов и иностранцев, писавших с определённой целью, и на поздние пересказы. Каждая группа источников подсказывает свою картину царствования.</w:t>
      </w:r>
    </w:p>
    <w:p>
      <w:pPr>
        <w:pStyle w:val="BodyText"/>
      </w:pPr>
      <w:r>
        <w:t>Схема «двух половин» восходит к Н. М. Карамзину, который противопоставил «доброго» молодого царя, окружённого мудрыми советниками, и тирана после 1560 года, когда умерла первая жена Анастасия Романовна. Эту схему сразу же оспорили: С. М. Соловьёв и К. Д. Кавелин видели в царствовании единую линию борьбы государственного начала с родовым, где опричнина продолжает реформы другими средствами. Парсуна, помещённая на слайде, сама служит маленьким уроком источниковедения: прижизненных изображений Ивана IV, сделанных русскими мастерами, не сохранилось, и известные портреты созданы позднее или иностранцами.</w:t>
      </w:r>
    </w:p>
    <w:p>
      <w:pPr>
        <w:pStyle w:val="Слайд"/>
      </w:pPr>
      <w:r>
        <w:t>[слайд 3 — План лекции · час первый]</w:t>
      </w:r>
    </w:p>
    <w:p>
      <w:pPr>
        <w:pStyle w:val="BodyText"/>
      </w:pPr>
      <w:r>
        <w:t>Порядок вопросов следует хронологии, но с одним отступлением: споры об опричнине вынесены в отдельный вопрос. Причина в том, что опричнина остаётся самым дискуссионным сюжетом допетровской истории, и изложение фактов полезно отделить от их объяснения. Первые три вопроса показывают, каким инструментом располагало государство к 1560 году; вторые три — что произошло с этим инструментом под нагрузкой длительной войны.</w:t>
      </w:r>
    </w:p>
    <w:p>
      <w:pPr>
        <w:pStyle w:val="Слайд"/>
      </w:pPr>
      <w:r>
        <w:t>[слайд 4 — Координаты темы]</w:t>
      </w:r>
    </w:p>
    <w:p>
      <w:pPr>
        <w:pStyle w:val="BodyText"/>
      </w:pPr>
      <w:r>
        <w:t>Хронология позволяет увидеть совпадения, которые при изложении по отдельным сюжетам теряются. Ливонская война перекрывает и опричнину, и крымские нашествия, и начало освоения Сибири; страна ведёт четверть века войну на западе, одновременно обороняя юг и продвигаясь на восток. Для сравнения: Испания Филиппа II в те же десятилетия воевала в Нидерландах, на Средиземном море с Османами и против Англии и к концу века неоднократно объявляла государственное банкротство, в том числе в 1557, 1575 и 1596 годах. Напряжение, превышающее ресурсы, было общей чертой крупных монархий эпохи.</w:t>
      </w:r>
    </w:p>
    <w:p>
      <w:pPr>
        <w:pStyle w:val="BodyText"/>
      </w:pPr>
      <w:r>
        <w:t>Дата смерти царя также требует пояснения. Иван IV умер 18 марта 1584 года; по рассказу англичанина Джерома Горсея, находившегося тогда в Москве, это произошло во время приготовлений к игре в шахматы. Подробность известна только из одного источника и принимается с осторожностью.</w:t>
      </w:r>
    </w:p>
    <w:p>
      <w:pPr>
        <w:pStyle w:val="Heading2"/>
      </w:pPr>
      <w:r>
        <w:t>Вопрос первый. Реформы середины века</w:t>
      </w:r>
    </w:p>
    <w:p>
      <w:pPr>
        <w:pStyle w:val="Слайд"/>
      </w:pPr>
      <w:r>
        <w:t>[слайд 5 — Вопрос первый]</w:t>
      </w:r>
    </w:p>
    <w:p>
      <w:pPr>
        <w:pStyle w:val="BodyText"/>
      </w:pPr>
      <w:r>
        <w:t>Первый вопрос охватывает около десяти лет, в течение которых были заложены основы государственного устройства, просуществовавшего с изменениями до Петра I: приказная система, поместное войско, выборное местное управление и единое судопроизводство.</w:t>
      </w:r>
    </w:p>
    <w:p>
      <w:pPr>
        <w:pStyle w:val="Слайд"/>
      </w:pPr>
      <w:r>
        <w:t>[слайд 6 — 1547 год]</w:t>
      </w:r>
    </w:p>
    <w:p>
      <w:pPr>
        <w:pStyle w:val="BodyText"/>
      </w:pPr>
      <w:r>
        <w:t>Чин венчания 1547 года составлял митрополит Макарий, взяв за основу коронацию Дмитрия Внука 1498 года и дополнив её. Возложение шапки Мономаха связывалось с легендой «Сказания о князьях Владимирских» о дарах византийского императора Константина Мономаха киевскому князю Владимиру. Легенда хронологически невозможна: Константин Мономах умер в 1055 году, когда Владимиру было около двух лет. Однако в XVI веке её функция состояла в обосновании наследственных прав на царский сан, и с этой задачей она справлялась.</w:t>
      </w:r>
    </w:p>
    <w:p>
      <w:pPr>
        <w:pStyle w:val="BodyText"/>
      </w:pPr>
      <w:r>
        <w:t>Признание титула растянулось на десятилетия. Грамота константинопольского патриарха Иоасафа, подтверждавшая царское достоинство, была получена лишь в 1561 году, и исследователи обнаружили, что часть подписей иерархов на ней сомнительна. Англия в переписке легко принимала титул и даже переводила его как emperor. Польско-литовская сторона долго отказывалась его признавать, видя в нём притязание на земли бывшей Киевской Руси, входившие в Великое княжество Литовское.</w:t>
      </w:r>
    </w:p>
    <w:p>
      <w:pPr>
        <w:pStyle w:val="BodyText"/>
      </w:pPr>
      <w:r>
        <w:t>Пожар 21 июня 1547 года уничтожил, по летописным известиям, большую часть посада; число погибших летописец определяет в 1700 человек. Слух о колдовстве княгини Анны Глинской, бабки царя, которая будто бы кропила дома водой с вынутыми сердцами, вывел толпу на улицы. Дядя царя Юрий Глинский был убит в Успенском соборе. Позднее, выступая перед Стоглавым собором, Иван IV говорил, что после этих событий в его душу вошёл страх. Связь потрясения 1547 года с началом реформ признаётся большинством историков, хотя степень её дискуссионна.</w:t>
      </w:r>
    </w:p>
    <w:p>
      <w:pPr>
        <w:pStyle w:val="Слайд"/>
      </w:pPr>
      <w:r>
        <w:t>[слайд 7 — Избранная рада]</w:t>
      </w:r>
    </w:p>
    <w:p>
      <w:pPr>
        <w:pStyle w:val="BodyText"/>
      </w:pPr>
      <w:r>
        <w:t>Алексей Фёдорович Адашев вошёл в историю как образец «нового человека»: он не принадлежал ни к боярству, ни к княжатам, и его возвышение стало возможным через Челобитный приказ, куда стекались жалобы со всей страны. Тот, кто разбирал челобитные, знал о положении в уездах больше Боярской думы. Сильвестру традиция приписывает окончательную редакцию «Домостроя», свода наставлений о ведении дома и семьи; его собственное послание сыну Анфиму завершает текст. Макарий за двадцать лет собрал Великие Минеи Четьи — двенадцать огромных томов чтений на каждый день года, включивших, по замыслу, «все святые книги, чтомые на Руси».</w:t>
      </w:r>
    </w:p>
    <w:p>
      <w:pPr>
        <w:pStyle w:val="BodyText"/>
      </w:pPr>
      <w:r>
        <w:t>Сомнение в существовании Избранной рады как учреждения принадлежит к числу заметных историографических сюжетов. Американский историк А. Гробовский в книге «The Chosen Council of Ivan IV: A Reinterpretation» (1969), а затем петербургский исследователь А. И. Филюшкин в монографии «История одной мистификации: Иван Грозный и "Избранная рада"» (1998) показали, что термин принадлежит Курбскому и создан им в полемических целях: эмигрант противопоставлял «хорошее» правление при советниках «плохому» самовластию. Противники этой позиции, в том числе Р. Г. Скрынников, указывают, что независимо от названия влияние узкого круга лиц на решения 1549–1560 годов подтверждается документами: Адашев вёл посольские переговоры, его имя стоит в разрядах и в царском архиве. Спор, таким образом, ведётся о форме этого влияния; его наличие под сомнение почти никем не ставится.</w:t>
      </w:r>
    </w:p>
    <w:p>
      <w:pPr>
        <w:pStyle w:val="Слайд"/>
      </w:pPr>
      <w:r>
        <w:t>[слайд 8 — Земский собор 1549]</w:t>
      </w:r>
    </w:p>
    <w:p>
      <w:pPr>
        <w:pStyle w:val="BodyText"/>
      </w:pPr>
      <w:r>
        <w:t>Собрание февраля 1549 года в литературе называют «Собором примирения»: царь объявил о прощении обид, нанесённых боярами в годы его малолетства, и одновременно запретил наместникам судить детей боярских, кроме дел о душегубстве и разбое. Речь царя «с Лобного места», которую часто цитируют в популярной литературе, известна по позднему сборнику, и её подлинность вызывает сомнения.</w:t>
      </w:r>
    </w:p>
    <w:p>
      <w:pPr>
        <w:pStyle w:val="BodyText"/>
      </w:pPr>
      <w:r>
        <w:t>Сравнение с европейскими собраниями того же времени показывает и сходство, и различие. Генеральные штаты Франции, кортесы Кастилии, английский парламент и шведский риксдаг к XVI веку имели давнюю традицию и, главное, право утверждать налоги. Собор 1566 года, решавший вопрос о войне, включал около 370 человек, и его участники поставили подписи под приговором. Показательно, что вскоре после него около трёхсот служилых людей подали царю челобитную против опричнины; по сообщениям иностранцев, часть челобитчиков была казнена. Право выразить мнение, таким образом, существовало, а гарантии безопасности для несогласных — нет.</w:t>
      </w:r>
    </w:p>
    <w:p>
      <w:pPr>
        <w:pStyle w:val="Слайд"/>
      </w:pPr>
      <w:r>
        <w:t>[слайд 9 — Судебник 1550]</w:t>
      </w:r>
    </w:p>
    <w:p>
      <w:pPr>
        <w:pStyle w:val="BodyText"/>
      </w:pPr>
      <w:r>
        <w:t>Царский Судебник насчитывал сто статей против шестидесяти восьми в Судебнике 1497 года. Наибольший интерес у историков права вызывает статья 98, по которой новые дела, не предусмотренные Судебником, решаются «с государева докладу и со всех бояр приговору», и такие решения приписываются к тексту. М. Ф. Владимирский-Буданов и ряд его последователей видели в ней ограничение законодательной власти царя Боярской думой; другие исследователи считают статью описанием обычной процедуры без самостоятельного политического смысла.</w:t>
      </w:r>
    </w:p>
    <w:p>
      <w:pPr>
        <w:pStyle w:val="BodyText"/>
      </w:pPr>
      <w:r>
        <w:t>В статье о крестьянском выходе сохранена прежняя основа пожилого — рубль за двор в полевых местах и полтина в лесных, с полной суммой после четырёх лет жизни на месте, — однако к ней прибавлено по два алтына. Кроме того, введена отдельная плата «за повоз» для тех крестьян, кто не вывозил хлеб владельцу. Каждое из этих положений делает уход дороже, и для бедного двора порой непосильным.</w:t>
      </w:r>
    </w:p>
    <w:p>
      <w:pPr>
        <w:pStyle w:val="BodyText"/>
      </w:pPr>
      <w:r>
        <w:t>В Европе те же десятилетия отмечены кодификацией уголовного права: в 1532 году в Священной Римской империи принята «Каролина» — уголовно-судебное уложение Карла V. Сходная задача — свести обычаи к единому писаному тексту и подчинить местный суд общим правилам — решалась в разных частях Европы почти одновременно.</w:t>
      </w:r>
    </w:p>
    <w:p>
      <w:pPr>
        <w:pStyle w:val="Слайд"/>
      </w:pPr>
      <w:r>
        <w:t>[слайд 10 — Стоглав 1551]</w:t>
      </w:r>
    </w:p>
    <w:p>
      <w:pPr>
        <w:pStyle w:val="BodyText"/>
      </w:pPr>
      <w:r>
        <w:t>Собор начал работу в январе 1551 года, и итоговый текст оформлялся, по-видимому, до мая. Среди обрядовых решений стоит выделить два: подтверждение двуперстного крестного знамения и «сугубой» аллилуйи, то есть двукратного её пения. Через сто лет именно эти нормы станут опорой старообрядцев, которые будут ссылаться на Стоглав как на авторитетный собор, тогда как Большой Московский собор 1666–1667 годов его постановления в этом отношении отменит. Собор также осудил бритьё бороды и усов, что получит неожиданное продолжение при Петре I.</w:t>
      </w:r>
    </w:p>
    <w:p>
      <w:pPr>
        <w:pStyle w:val="BodyText"/>
      </w:pPr>
      <w:r>
        <w:t>Параллель с Тридентским собором католической церкви (1545–1563) напрашивается сама собой. Обе церкви одновременно стремились устранить разнобой в обряде, поднять образованность клира и усилить надзор над ним. Различие касалось отношения к светской власти: в Москве вопросы собору ставил царь, а в Тренто решения принимались без участия государей, хотя их послы и влияли на ход обсуждения.</w:t>
      </w:r>
    </w:p>
    <w:p>
      <w:pPr>
        <w:pStyle w:val="BodyText"/>
      </w:pPr>
      <w:r>
        <w:t>Вопрос о монастырском землевладении был острым. Иностранные наблюдатели XVI века писали, что монастырям принадлежит около трети земли; цифра, вероятно, преувеличена, но масштаб церковных владений действительно был значителен. Приговор мая 1551 года ограничил новые приобретения и вернул часть земель, полученных в годы боярского правления.</w:t>
      </w:r>
    </w:p>
    <w:p>
      <w:pPr>
        <w:pStyle w:val="Слайд"/>
      </w:pPr>
      <w:r>
        <w:t>[слайд 11 — Войско]</w:t>
      </w:r>
    </w:p>
    <w:p>
      <w:pPr>
        <w:pStyle w:val="BodyText"/>
      </w:pPr>
      <w:r>
        <w:t>Сто четвертей в одном поле означали при трёхпольном севообороте около полутораста десятин пашни. Норма позволяла разрядному приказу заранее подсчитать, сколько всадников выставит уезд. С середины XVI века на смотрах составлялись десятни — списки служилых людей уезда с указанием окладов, вооружения и числа боевых холопов. Десятни сохранились в значительном числе и служат одним из главных источников по истории поместного войска.</w:t>
      </w:r>
    </w:p>
    <w:p>
      <w:pPr>
        <w:pStyle w:val="BodyText"/>
      </w:pPr>
      <w:r>
        <w:t>Первые стрельцы были набраны в 1550 году в числе трёх тысяч «выборных» и поселены в Воробьёвской слободе. По устройству они напоминают янычарский корпус Османской империи и испанские терции, созданные в 1530-х годах: постоянная пехота, вооружённая огнестрельным оружием и связанная с государем жалованьем. Пищаль стрельца стреляла медленно, и в поле стрельцы действовали из-за укрытий: деревянных щитов, обозов, позднее гуляй-города. В том же 1550 году приговор об «избранной тысяче» должен был поселить около тысячи лучших служилых людей вблизи Москвы, чтобы иметь под рукой готовый к службе резерв; сохранившаяся «Тысячная книга» позволяет судить о составе этого слоя.</w:t>
      </w:r>
    </w:p>
    <w:p>
      <w:pPr>
        <w:pStyle w:val="BodyText"/>
      </w:pPr>
      <w:r>
        <w:t>Местничество в походе ограничивалось приговором 1550 года. Счёт мест был полностью отменён лишь в 1682 году, когда разрядные книги сожгли, и это показывает, насколько устойчивой оказалась система, задевавшая честь знатных родов.</w:t>
      </w:r>
    </w:p>
    <w:p>
      <w:pPr>
        <w:pStyle w:val="Слайд"/>
      </w:pPr>
      <w:r>
        <w:t>[слайд 12 — Отмена кормлений]</w:t>
      </w:r>
    </w:p>
    <w:p>
      <w:pPr>
        <w:pStyle w:val="BodyText"/>
      </w:pPr>
      <w:r>
        <w:t>Кормление в средневековой Руси было формой вознаграждения: наместник или волостель получал город или волость на год-два и жил за счёт поборов и судебных пошлин. Для служилого человека кормление было наградой после похода, для населения — тяжёлым и непредсказуемым бременем. Губная реформа началась с грамот 1539 года, и сохранились губные грамоты Белозерскому и Каргопольскому уездам; губной староста избирался из детей боярских, а помогали ему целовальники из крестьян и посадских.</w:t>
      </w:r>
    </w:p>
    <w:p>
      <w:pPr>
        <w:pStyle w:val="BodyText"/>
      </w:pPr>
      <w:r>
        <w:t>Приговор об отмене кормлений относится к 1555–1556 годам, и земская реформа вводилась по уездам постепенно. На Русском Севере, где служилого землевладения почти не было, выборное управление укоренилось прочнее всего: земские избы Поморья продолжали действовать и в XVII веке. На юге и в центре, где сидели помещики, местное самоуправление со временем было вытеснено воеводами, назначаемыми из Москвы.</w:t>
      </w:r>
    </w:p>
    <w:p>
      <w:pPr>
        <w:pStyle w:val="Слайд"/>
      </w:pPr>
      <w:r>
        <w:t>[слайд 13 — Механика реформ]</w:t>
      </w:r>
    </w:p>
    <w:p>
      <w:pPr>
        <w:pStyle w:val="BodyText"/>
      </w:pPr>
      <w:r>
        <w:t>Таблица обмена показывает, что реформы середины века держались на взаимной выгоде, и в этом их отличие от последующих мер. Служилый человек получил защиту от наместника и денежное жалованье, посад — избавление от кормленщика, казна — предсказуемые доходы. Однако жалованье выдавалось нерегулярно и далеко не всем: по десятням видно, что многие дети боярские годами не получали положенных денег.</w:t>
      </w:r>
    </w:p>
    <w:p>
      <w:pPr>
        <w:pStyle w:val="BodyText"/>
      </w:pPr>
      <w:r>
        <w:t>Условие устойчивости, сформулированное в нижней строке, подтверждается всей последующей историей. Конструкция, рассчитанная на короткие кампании с ясной целью, начала распадаться, как только война затянулась на десятилетия. Сходным образом в Европе денежные системы содержания армий ломались при затяжных войнах, и сокращение доходов вело к мятежам наёмников; самый известный пример — разграбление Антверпена испанскими солдатами, не получившими жалованья, в 1576 году.</w:t>
      </w:r>
    </w:p>
    <w:p>
      <w:pPr>
        <w:pStyle w:val="Слайд"/>
      </w:pPr>
      <w:r>
        <w:t>[слайд 14 — Спорят историки]</w:t>
      </w:r>
    </w:p>
    <w:p>
      <w:pPr>
        <w:pStyle w:val="BodyText"/>
      </w:pPr>
      <w:r>
        <w:t>Понятие сословно-представительной монархии в отношении России XVI–XVII веков активнее всего развивал Л. В. Черепнин в монографии «Земские соборы Русского государства в XVI–XVII вв.» (1978). Он насчитал несколько десятков соборов и доказывал, что по составу и функциям они сопоставимы с европейскими представительными учреждениями. Скептическая позиция восходит к В. О. Ключевскому, который видел в соборе 1566 года совещание правительства с его собственными агентами, то есть с теми, кто и без того исполнял распоряжения власти.</w:t>
      </w:r>
    </w:p>
    <w:p>
      <w:pPr>
        <w:pStyle w:val="BodyText"/>
      </w:pPr>
      <w:r>
        <w:t>Третья позиция настаивает на отказе от европейского термина, поскольку он несёт с собой ожидание определённого развития — к парламенту. Русский собор вырос из совместных заседаний Думы и освящённого собора, и сравнивать его с парламентом допустимо только по функциям. Европейская история даёт контрольный пример: Генеральные штаты Франции не созывались с 1614 по 1789 год, и французская монархия обходилась без них почти два столетия. Наличие учреждения само по себе ещё не говорит о его роли.</w:t>
      </w:r>
    </w:p>
    <w:p>
      <w:pPr>
        <w:pStyle w:val="Слайд"/>
      </w:pPr>
      <w:r>
        <w:t>[слайд 15 — Итог вопроса 1]</w:t>
      </w:r>
    </w:p>
    <w:p>
      <w:pPr>
        <w:pStyle w:val="BodyText"/>
      </w:pPr>
      <w:r>
        <w:t>К началу 1560-х годов государство располагало инструментами, которых не имело в начале века: единым судом, исчислимой службой, постоянной пехотой и собственными деньгами. Проверкой этой системы стали войны, к которым она изначально и готовилась. Первым направлением, где реформы дали результат, оказалось восточное.</w:t>
      </w:r>
    </w:p>
    <w:p>
      <w:pPr>
        <w:pStyle w:val="Heading2"/>
      </w:pPr>
      <w:r>
        <w:t>Вопрос второй. Восточное направление</w:t>
      </w:r>
    </w:p>
    <w:p>
      <w:pPr>
        <w:pStyle w:val="Слайд"/>
      </w:pPr>
      <w:r>
        <w:t>[слайд 16 — Вопрос второй]</w:t>
      </w:r>
    </w:p>
    <w:p>
      <w:pPr>
        <w:pStyle w:val="BodyText"/>
      </w:pPr>
      <w:r>
        <w:t>Второй вопрос посвящён продвижению на восток, итогом которого стало вхождение в состав Московского государства всего Поволжья, части Приуралья и начало присоединения Сибири. Для истории нашего края этот вопрос имеет прямое значение: именно тогда земли Южного Урала впервые оказались в сфере московской политики.</w:t>
      </w:r>
    </w:p>
    <w:p>
      <w:pPr>
        <w:pStyle w:val="Слайд"/>
      </w:pPr>
      <w:r>
        <w:t>[слайд 17 — Казань 1552]</w:t>
      </w:r>
    </w:p>
    <w:p>
      <w:pPr>
        <w:pStyle w:val="BodyText"/>
      </w:pPr>
      <w:r>
        <w:t>Казанское ханство, образовавшееся в 1430–1440-х годах, было торговым государством на пересечении волжского и камского путей. Москва трижды сажала там ставленников со времён Ивана III, взявшего Казань ещё в 1487 году. Слабость политики посредничества объяснялась противодействием Крыма: крымские Гиреи, опираясь на казанскую знать, раз за разом возвращали себе влияние, и в 1520-х–1540-х годах в Казани правили представители крымской династии, в том числе Сафа-Гирей.</w:t>
      </w:r>
    </w:p>
    <w:p>
      <w:pPr>
        <w:pStyle w:val="BodyText"/>
      </w:pPr>
      <w:r>
        <w:t>Свияжск собрали из срубов, заготовленных в верховьях Волги, в Угличском уезде, под руководством дьяка Ивана Выродкова; материал сплавили вниз по реке. Крепость выросла за четыре недели в мае–июне 1551 года. Осада 1552 года началась 23 августа. Подкопы вели «розмыслы» — так в летописи названы инженеры, среди которых упоминается иноземный мастер. Взрывы под стенами 2 октября открыли путь штурму. Хан Ядыгар-Мухаммед попал в плен, позднее крестился и под именем Симеона Касаевича служил в Москве.</w:t>
      </w:r>
    </w:p>
    <w:p>
      <w:pPr>
        <w:pStyle w:val="BodyText"/>
      </w:pPr>
      <w:r>
        <w:t>В память о взятии Казани в 1555–1561 годах возведён собор Покрова на Рву, известный как храм Василия Блаженного. Его восемь приделов посвящены святым, на дни памяти которых пришлись главные события кампании.</w:t>
      </w:r>
    </w:p>
    <w:p>
      <w:pPr>
        <w:pStyle w:val="Слайд"/>
      </w:pPr>
      <w:r>
        <w:t>[слайд 18 — Астрахань и Волга]</w:t>
      </w:r>
    </w:p>
    <w:p>
      <w:pPr>
        <w:pStyle w:val="BodyText"/>
      </w:pPr>
      <w:r>
        <w:t>Ногайская Орда кочевала в степях между Волгой и Уралом, а её ставка Сарайчик находилась на реке Яик, нынешнем Урале. Раскол ногаев в середине 1550-х годов был связан с борьбой братьев: Исмаил-бий, сторонник союза с Москвой, одолел Юсуфа, ориентировавшегося на Казань. Сторонники Юсуфа откочевали на запад и образовали Малую Ногайскую Орду, ставшую союзницей Крыма.</w:t>
      </w:r>
    </w:p>
    <w:p>
      <w:pPr>
        <w:pStyle w:val="BodyText"/>
      </w:pPr>
      <w:r>
        <w:t>Для Южного Урала главным следствием стало принятие русского подданства башкирскими родами в 1554–1557 годах. Башкиры, прежде платившие ясак казанским и ногайским правителям, получили подтверждение вотчинных прав на земли в обмен на уплату ясака и военную службу. Жалованные грамоты этого времени не сохранились, но на них ссылаются позднейшие челобитные; сами условия присоединения станут предметом споров и восстаний XVII–XVIII веков. Город Уфа как опорный пункт был поставлен в 1574 или 1586 году — даты различаются в зависимости от того, что считать основанием: острог или учреждение воеводства.</w:t>
      </w:r>
    </w:p>
    <w:p>
      <w:pPr>
        <w:pStyle w:val="BodyText"/>
      </w:pPr>
      <w:r>
        <w:t>Мария Темрюковна, на которой царь женился в 1561 году, была дочерью кабардинского князя; её брат Михаил Темрюкович стал одним из руководителей опричнины. В 1558 году по волжскому пути английский купец Антони Дженкинсон прошёл из Москвы в Бухару, а затем в Персию; его карта России, изданная в 1562 году, стала одной из самых подробных карт страны, известных тогда в Европе.</w:t>
      </w:r>
    </w:p>
    <w:p>
      <w:pPr>
        <w:pStyle w:val="Слайд"/>
      </w:pPr>
      <w:r>
        <w:t>[слайд 19 — Механика присоединения]</w:t>
      </w:r>
    </w:p>
    <w:p>
      <w:pPr>
        <w:pStyle w:val="BodyText"/>
      </w:pPr>
      <w:r>
        <w:t>Принцип «служба за землю», распространённый на татарскую знать, имел в Московском государстве давнюю историю. С 1450-х годов существовало Касимовское царство — удел служилых татарских царевичей на Оке, где сохранялись мусульманская знать и мечеть. Опыт сосуществования с мусульманской элитой у Москвы, таким образом, к середине XVI века уже был.</w:t>
      </w:r>
    </w:p>
    <w:p>
      <w:pPr>
        <w:pStyle w:val="BodyText"/>
      </w:pPr>
      <w:r>
        <w:t>Крещение в первые годы после взятия Казани проводилось с умеренностью, которая для эпохи заметна. Первым казанским архиепископом в 1555 году стал Гурий, получивший наказ привлекать к крещению лаской и избегать принуждения. Массовое насильственное обращение начнётся в XVIII веке, при создании Конторы новокрещенских дел. Восстания в Среднем Поволжье 1552–1557 годов, которые русские источники называют «казанской войной», шли с участием марийцев, удмуртов и чувашей, и марийская «черемисская» война затронула и последующие десятилетия.</w:t>
      </w:r>
    </w:p>
    <w:p>
      <w:pPr>
        <w:pStyle w:val="Слайд"/>
      </w:pPr>
      <w:r>
        <w:t>[слайд 20 — Урал и Сибирь]</w:t>
      </w:r>
    </w:p>
    <w:p>
      <w:pPr>
        <w:pStyle w:val="BodyText"/>
      </w:pPr>
      <w:r>
        <w:t>Жалованная грамота Григорию Аникиевичу Строганову от 4 апреля 1558 года передавала ему пустые земли по Каме ниже устья Лысьвы до Чусовой на 88 вёрст с освобождением от податей на двадцать лет. В 1574 году Строгановы получили новую грамоту — на земли за Уралом по Туре и Тоболу, ещё не принадлежавшие Москве. Документ фактически приглашал частных владельцев к завоеванию.</w:t>
      </w:r>
    </w:p>
    <w:p>
      <w:pPr>
        <w:pStyle w:val="BodyText"/>
      </w:pPr>
      <w:r>
        <w:t>Происхождение и даже точные даты похода Ермака остаются спорными. Строгановская летопись датирует выступление 1579 годом, Есиповская называет иные сроки. Р. Г. Скрынников в книге «Ермак» (1986) привлёк документ из польского архива: в донесении литовского командования 1581 года упоминается казачий атаман Ермак Тимофеевич в войсках, действовавших под Могилёвом. Отсюда гипотеза, что Ермак прошёл Ливонскую войну и лишь затем был нанят Строгановыми; поход тогда сдвигается на 1582 год. Оппоненты указывают на возможность совпадения имён, однако датировка взятия Кашлыка 26 октября 1582 года сейчас принимается большинством.</w:t>
      </w:r>
    </w:p>
    <w:p>
      <w:pPr>
        <w:pStyle w:val="BodyText"/>
      </w:pPr>
      <w:r>
        <w:t>Одна подробность хорошо показывает рискованность частного предприятия. В ноябре 1582 года царь прислал Строгановым опальную грамоту: казаки ушли за Урал как раз тогда, когда на Чердынь напал пелымский князь, и Строгановы обвинялись в том, что оставили край без защиты. Только известие о взятии Кашлыка изменило отношение Москвы. Путь отряда по Чусовой, Серебрянке и через перевал к Тагилу проходил по территории нынешних Пермского края и Свердловской области.</w:t>
      </w:r>
    </w:p>
    <w:p>
      <w:pPr>
        <w:pStyle w:val="Heading2"/>
      </w:pPr>
      <w:r>
        <w:t>Вопрос третий. Ливонская война и Крым</w:t>
      </w:r>
    </w:p>
    <w:p>
      <w:pPr>
        <w:pStyle w:val="Слайд"/>
      </w:pPr>
      <w:r>
        <w:t>[слайд 21 — Вопрос третий]</w:t>
      </w:r>
    </w:p>
    <w:p>
      <w:pPr>
        <w:pStyle w:val="BodyText"/>
      </w:pPr>
      <w:r>
        <w:t>Третий вопрос охватывает войну, ставшую самым продолжительным военным предприятием Московского государства до Северной войны Петра I, и связанную с ней оборону южной границы.</w:t>
      </w:r>
    </w:p>
    <w:p>
      <w:pPr>
        <w:pStyle w:val="Слайд"/>
      </w:pPr>
      <w:r>
        <w:t>[слайд 22 — Задачи войны]</w:t>
      </w:r>
    </w:p>
    <w:p>
      <w:pPr>
        <w:pStyle w:val="BodyText"/>
      </w:pPr>
      <w:r>
        <w:t>Ливонская конфедерация к 1550-м годам состояла из владений Ливонского ордена, пяти епископств и вольных городов, прежде всего Риги, Ревеля и Дерпта. Реформация разделила её изнутри: города перешли к лютеранству, епископы оставались католиками. Таким образом, в Ливонии общебалтийская религиозная распря наложилась на слабость средневековой политической конструкции.</w:t>
      </w:r>
    </w:p>
    <w:p>
      <w:pPr>
        <w:pStyle w:val="BodyText"/>
      </w:pPr>
      <w:r>
        <w:t>Юрьевская дань упоминается в договорах XV века и была подтверждена в соглашении 1554 года, по которому Дерпт обязался заплатить её и недоимки за прошлые годы. Ливонские послы, по-видимому, рассчитывали, что требование останется на бумаге. В январе 1558 года армия под началом касимовского царя Шах-Али вошла в Ливонию; Нарва была взята в мае, Дерпт — в июле.</w:t>
      </w:r>
    </w:p>
    <w:p>
      <w:pPr>
        <w:pStyle w:val="BodyText"/>
      </w:pPr>
      <w:r>
        <w:t>Названия войны современники не знали. А. И. Филюшкин в книге «Изобретая первую войну России и Европы» (2013) показал, что термин «Ливонская война» закреплён историографией XIX века, а в действительности речь идёт о цепи нескольких войн с разными противниками и целями. Его вывод: единого замысла «прорубить окно в Европу» в источниках середины XVI века обнаружить нельзя, и такая трактовка проецирует на Ивана IV задачи Петра I. Критики возражают, что стремление к прямой балтийской торговле зафиксировано в переговорах с Ганзой и в «нарвском плавании», и спор в итоге сводится к тому, насколько последовательной была эта линия.</w:t>
      </w:r>
    </w:p>
    <w:p>
      <w:pPr>
        <w:pStyle w:val="Слайд"/>
      </w:pPr>
      <w:r>
        <w:t>[слайд 23 — Ход войны]</w:t>
      </w:r>
    </w:p>
    <w:p>
      <w:pPr>
        <w:pStyle w:val="BodyText"/>
      </w:pPr>
      <w:r>
        <w:t>После распада Ордена последний магистр Готхард Кетлер стал герцогом Курляндским в вассальной зависимости от польского короля. Ревель с Эстляндией перешёл под власть Швеции, остров Эзель — к датскому герцогу Магнусу, брату короля Фредерика II. Позднее Иван IV сделал Магнуса «королём Ливонским», рассчитывая создать зависимое государство, но этот замысел рухнул.</w:t>
      </w:r>
    </w:p>
    <w:p>
      <w:pPr>
        <w:pStyle w:val="BodyText"/>
      </w:pPr>
      <w:r>
        <w:t>Полоцк был взят в феврале 1563 года после короткой осады. Годом позже, в январе 1564 года, армия Петра Шуйского была разбита на реке Уле, а в апреле того же года бежал Курбский. Решение собора 1566 года продолжить войну было принято в ответ на литовское предложение разделить Ливонию по линии фронта.</w:t>
      </w:r>
    </w:p>
    <w:p>
      <w:pPr>
        <w:pStyle w:val="BodyText"/>
      </w:pPr>
      <w:r>
        <w:t>«Нарвское плавание» 1558–1581 годов показывает экономическую ставку войны. Английские, голландские, французские и немецкие корабли заходили в Нарву в обход Ревеля и Риги; Сигизмунд II Август отвечал каперской войной на Балтике и письмами Елизавете I, где предупреждал об опасности снабжать «московита» оружием. Оборона Пскова 1581–1582 годов под началом князя Ивана Петровича Шуйского выдержала тридцать один приступ и стала одним из героических эпизодов войны. Мирные переговоры в Яме Запольском проходили при посредничестве папского легата Антонио Поссевино.</w:t>
      </w:r>
    </w:p>
    <w:p>
      <w:pPr>
        <w:pStyle w:val="Слайд"/>
      </w:pPr>
      <w:r>
        <w:t>[слайд 24 — Причины поражения]</w:t>
      </w:r>
    </w:p>
    <w:p>
      <w:pPr>
        <w:pStyle w:val="BodyText"/>
      </w:pPr>
      <w:r>
        <w:t>Стефан Баторий, трансильванский князь, избранный на польский престол в 1576 году, провёл военную реформу: создал постоянную наёмную пехоту из венгров и немцев, привлёк инженеров и артиллерию. Его походы 1579–1581 годов были тщательно подготовлены, а сейм выделил на них чрезвычайные налоги. В Москве подобного механизма согласования новых налогов с представителями служилого и тяглого населения не существовало, и сборы просто увеличивались указами.</w:t>
      </w:r>
    </w:p>
    <w:p>
      <w:pPr>
        <w:pStyle w:val="BodyText"/>
      </w:pPr>
      <w:r>
        <w:t>Контраст с успехом под Казанью поучителен. Под Казанью действовала армия с инженерами и подготовленной базой против противника без внешней поддержки. В Ливонии московское войско само оказалось в положении казанцев: против него действовала коалиция с современной осадной техникой и неисчерпаемыми, по сравнению с Москвой, финансовыми возможностями. Шведский полководец Понтус Делагарди в 1581 году взял Нарву и Ивангород; по сообщениям, при взятии Нарвы погибли тысячи жителей.</w:t>
      </w:r>
    </w:p>
    <w:p>
      <w:pPr>
        <w:pStyle w:val="Слайд"/>
      </w:pPr>
      <w:r>
        <w:t>[слайд 25 — Крым и Молоди]</w:t>
      </w:r>
    </w:p>
    <w:p>
      <w:pPr>
        <w:pStyle w:val="BodyText"/>
      </w:pPr>
      <w:r>
        <w:t>Сожжение Москвы 24 мая 1571 года стало одной из крупнейших катастроф в истории города. Немецкий опричник Генрих Штаден, оставивший записки, и другие иностранцы называли число погибших в десятки тысяч; эти цифры невозможно проверить, однако масштаб бедствия не вызывает сомнения. Девлет-Гирей получил в Крыму прозвище «Тахт алган» — «взявший трон», то есть столицу.</w:t>
      </w:r>
    </w:p>
    <w:p>
      <w:pPr>
        <w:pStyle w:val="BodyText"/>
      </w:pPr>
      <w:r>
        <w:t>Битва при Молодях продолжалась с 29 июля по 2 августа 1572 года. Решающую роль сыграл гуляй-город — передвижная крепость из деревянных щитов на телегах, из-за которых вели огонь стрельцы и пушкари. Ключевым эпизодом стало пленение одного из главных крымских военачальников, Дивей-мурзы, которого взял суздальский сын боярский Тёмир Алалыкин. В завершающий день отряд князя Дмитрия Хворостинина обошёл крымцев по лощине и ударил им в тыл. Сам Михаил Воротынский был через год обвинён в измене и умер после пыток.</w:t>
      </w:r>
    </w:p>
    <w:p>
      <w:pPr>
        <w:pStyle w:val="BodyText"/>
      </w:pPr>
      <w:r>
        <w:t>Битву иногда сравнивают с Лепанто, морским сражением октября 1571 года, где Священная лига разбила османский флот. В обоих случаях было остановлено наступление, которое могло изменить политическую карту: Крымское ханство было вассалом Османской империи, и замыслы 1572 года предусматривали возвращение Поволжья под власть Гиреев. Сравнение условно, но оно показывает, что противостояние с Османами шло тогда на всём протяжении европейского пограничья.</w:t>
      </w:r>
    </w:p>
    <w:p>
      <w:pPr>
        <w:pStyle w:val="Слайд"/>
      </w:pPr>
      <w:r>
        <w:t>[слайд 26 — Северная торговля]</w:t>
      </w:r>
    </w:p>
    <w:p>
      <w:pPr>
        <w:pStyle w:val="BodyText"/>
      </w:pPr>
      <w:r>
        <w:t>Экспедиция 1553 года была снаряжена лондонскими купцами для поиска северо-восточного прохода в Китай. Из трёх кораблей флагман сэра Хью Уиллоуби и ещё одно судно зимовали на Кольском полуострове, и их экипажи погибли, по-видимому, от холода и угара. Корабль «Эдуард Бонавентура» под командой Ричарда Ченслера вошёл в Двинский залив, к Никольскому монастырю близ Холмогор. Грамота, которую Ченслер получил в Москве, адресовалась Эдуарду VI, хотя английский король к тому времени уже умер.</w:t>
      </w:r>
    </w:p>
    <w:p>
      <w:pPr>
        <w:pStyle w:val="BodyText"/>
      </w:pPr>
      <w:r>
        <w:t>Московская компания, учреждённая в 1555 году, стала одним из первых в Англии акционерных обществ с постоянным капиталом, и предшествовала знаменитой Ост-Индской компании, учреждённой в 1600 году. Ченслер погиб в 1556 году при крушении у берегов Шотландии; первый русский посол в Англии Осип Непея спасся и добрался до Лондона. Корабельный канат и пенька из Холмогор оставались для английского флота важным стратегическим товаром.</w:t>
      </w:r>
    </w:p>
    <w:p>
      <w:pPr>
        <w:pStyle w:val="Слайд"/>
      </w:pPr>
      <w:r>
        <w:t>[слайд 27 — Итог вопросов 2–3]</w:t>
      </w:r>
    </w:p>
    <w:p>
      <w:pPr>
        <w:pStyle w:val="BodyText"/>
      </w:pPr>
      <w:r>
        <w:t>Сопоставление трёх направлений показывает, что внешняя политика определялась соотношением ресурсов и противников. На востоке Москва имела дело с ослабленными и разобщёнными ханствами, на юге — с подвижной, но не способной к осадам крымской конницей, на западе — с государствами, располагавшими современной армией и денежными системами. Исход на каждом направлении соответствовал этой расстановке сил.</w:t>
      </w:r>
    </w:p>
    <w:p>
      <w:pPr>
        <w:pStyle w:val="Heading1"/>
      </w:pPr>
      <w:r>
        <w:t>Час второй</w:t>
      </w:r>
    </w:p>
    <w:p>
      <w:pPr>
        <w:pStyle w:val="Слайд"/>
      </w:pPr>
      <w:r>
        <w:t>[слайд 28 — Час второй]</w:t>
      </w:r>
    </w:p>
    <w:p>
      <w:pPr>
        <w:pStyle w:val="BodyText"/>
      </w:pPr>
      <w:r>
        <w:t>Второй час посвящён тому, что произошло с государством, созданным реформами, в условиях затяжной войны. Центральным сюжетом становится опричнина: сначала её устройство и ход, затем объяснения, предложенные историками, и, наконец, итоги царствования, которые сложились к 1584 году.</w:t>
      </w:r>
    </w:p>
    <w:p>
      <w:pPr>
        <w:pStyle w:val="Heading2"/>
      </w:pPr>
      <w:r>
        <w:t>Вопрос четвёртый. Опричнина</w:t>
      </w:r>
    </w:p>
    <w:p>
      <w:pPr>
        <w:pStyle w:val="Слайд"/>
      </w:pPr>
      <w:r>
        <w:t>[слайд 29 — Вопрос четвёртый]</w:t>
      </w:r>
    </w:p>
    <w:p>
      <w:pPr>
        <w:pStyle w:val="BodyText"/>
      </w:pPr>
      <w:r>
        <w:t>Четвёртый вопрос касается семи лет, которые в народной памяти и в историографии стали символом всего царствования. Факты опричнины в основных чертах установлены; их последовательность и составляет предмет вопроса.</w:t>
      </w:r>
    </w:p>
    <w:p>
      <w:pPr>
        <w:pStyle w:val="Слайд"/>
      </w:pPr>
      <w:r>
        <w:t>[слайд 30 — Учреждение опричнины]</w:t>
      </w:r>
    </w:p>
    <w:p>
      <w:pPr>
        <w:pStyle w:val="BodyText"/>
      </w:pPr>
      <w:r>
        <w:t>Отъезд царя 3 декабря 1564 года был обставлен необычно: из кремлёвских церквей забрали иконы и кресты, из казны — деньги и драгоценности, а с царём выехали избранные дворяне с семьями. Около месяца местонахождение двора было неизвестно, и столица жила в ожидании. Грамоты из Александровой слободы пришли 3 января 1565 года. Делегация во главе с новгородским архиепископом Пименом отправилась уговаривать царя вернуться; по горькой иронии, через пять лет Пимен будет низложен и сослан после новгородского погрома.</w:t>
      </w:r>
    </w:p>
    <w:p>
      <w:pPr>
        <w:pStyle w:val="BodyText"/>
      </w:pPr>
      <w:r>
        <w:t>Положение 1564 года определялось военной неудачей на Уле и бегством Курбского. Ситуация, когда видный воевода переходит на сторону противника, воспринималась при дворе как свидетельство заговора. Курбский был лишь самым знаменитым из отъехавших: в 1560-х годах на литовскую сторону бежали ещё несколько служилых людей, что для царя служило доказательством измены в целом сословии.</w:t>
      </w:r>
    </w:p>
    <w:p>
      <w:pPr>
        <w:pStyle w:val="BodyText"/>
      </w:pPr>
      <w:r>
        <w:t>Само слово «опричнина» происходит от древнерусского «опричь» — «кроме», «особо». В праве удельного времени им обозначали часть владений, которую князь выделял вдове сверх общего раздела. Курбский в своих сочинениях называет опричников «кромешниками», соединяя слово «кроме» с «кромешной тьмой» ада.</w:t>
      </w:r>
    </w:p>
    <w:p>
      <w:pPr>
        <w:pStyle w:val="Слайд"/>
      </w:pPr>
      <w:r>
        <w:t>[слайд 31 — Устройство]</w:t>
      </w:r>
    </w:p>
    <w:p>
      <w:pPr>
        <w:pStyle w:val="BodyText"/>
      </w:pPr>
      <w:r>
        <w:t>Первоначально в опричный корпус набрали около тысячи человек; позднее его численность, по оценкам, выросла до нескольких тысяч. Опричнику предписывалось носить чёрное платье. По свидетельству ливонских дворян Иоганна Таубе и Элерта Крузе, служивших в опричнине и бежавших в 1571 году в Литву, к седлу привязывались собачья голова и метла; смысл символов истолковывается как готовность «грызть» изменников и выметать их из страны. Подробность известна по иностранным сочинениям и, возможно, относилась только к особым случаям.</w:t>
      </w:r>
    </w:p>
    <w:p>
      <w:pPr>
        <w:pStyle w:val="BodyText"/>
      </w:pPr>
      <w:r>
        <w:t>В опричнину взяли богатые северные уезды с солеварнями, торговыми путями к Белому морю и Вологдой, где развернулось строительство крупной крепости, по-видимому задуманной как новая резиденция. География опричных уездов позволила ряду исследователей, в том числе А. А. Зимину, сделать вывод о сознательном выборе наиболее доходных районов.</w:t>
      </w:r>
    </w:p>
    <w:p>
      <w:pPr>
        <w:pStyle w:val="BodyText"/>
      </w:pPr>
      <w:r>
        <w:t>Весной 1565 года из Ярославского, Ростовского и Стародубского княжеских гнёзд в Казанский край были выселены десятки княжеских семей, получивших поместья на новых землях. Эта так называемая «казанская ссылка» служит главным доводом сторонников антикняжеской направленности опричнины. Однако уже через год большинство выселенных было прощено, и часть земель им вернули, что указывает на неустойчивость и противоречивость политики.</w:t>
      </w:r>
    </w:p>
    <w:p>
      <w:pPr>
        <w:pStyle w:val="Слайд"/>
      </w:pPr>
      <w:r>
        <w:t>[слайд 32 — Механика опричнины]</w:t>
      </w:r>
    </w:p>
    <w:p>
      <w:pPr>
        <w:pStyle w:val="BodyText"/>
      </w:pPr>
      <w:r>
        <w:t>Отмена печалования — заступничества церкви за осуждённого — разрушала механизм, существовавший с древнейших времён. Митрополит традиционно мог просить государя о милости, и эта просьба считалась частью нормального порядка. Лишение церкви этого права означало, что между государем и обвиняемым не остаётся посредников.</w:t>
      </w:r>
    </w:p>
    <w:p>
      <w:pPr>
        <w:pStyle w:val="BodyText"/>
      </w:pPr>
      <w:r>
        <w:t>Стирание различия между вотчиной и поместьем, указанное в таблице, имело долгосрочное значение. Вотчинник, чьё имение в любой момент могло быть отписано, оказывался в том же положении, что и помещик, и тем самым подготавливалось слияние двух видов владения, которое законодательно завершится только в 1714 году указом Петра I о единонаследии.</w:t>
      </w:r>
    </w:p>
    <w:p>
      <w:pPr>
        <w:pStyle w:val="BodyText"/>
      </w:pPr>
      <w:r>
        <w:t>Судьба самих опричников показательна. Первые руководители опричного двора — боярин Алексей Басманов, его сын Фёдор, князь Афанасий Вяземский — погибли в 1570–1571 годах. На смену им пришёл Малюта Скуратов-Бельский, погибший при осаде ливонской крепости Пайде (Вейсенштейна) в 1573 году. Система, построенная на подозрении, не делала исключений и для собственных исполнителей.</w:t>
      </w:r>
    </w:p>
    <w:p>
      <w:pPr>
        <w:pStyle w:val="Слайд"/>
      </w:pPr>
      <w:r>
        <w:t>[слайд 33 — Опричный террор]</w:t>
      </w:r>
    </w:p>
    <w:p>
      <w:pPr>
        <w:pStyle w:val="BodyText"/>
      </w:pPr>
      <w:r>
        <w:t>Митрополит Филипп, в миру Фёдор Колычев, до избрания был игуменом Соловецкого монастыря и прославился хозяйственным устройством обители: при нём там построили каменные соборы, систему каналов между озёрами и мельницы. Его выступление в Успенском соборе в марте 1568 года, когда он отказал царю в благословении, стало беспрецедентным для русской церкви. По житию, в декабре 1569 года Малюта Скуратов задушил низложенного митрополита в тверском Отроче монастыре. Церковь причислила Филиппа к лику святых в XVII веке.</w:t>
      </w:r>
    </w:p>
    <w:p>
      <w:pPr>
        <w:pStyle w:val="BodyText"/>
      </w:pPr>
      <w:r>
        <w:t>Синодик опальных был составлен около 1582–1583 года, когда царь разослал по монастырям списки казнённых с вкладами на поминовение. Р. Г. Скрынников реконструировал его текст по нескольким спискам и выявил записи, которые оказываются выписками из следственного дела: в одном месте названо общее число погибших при походе на Новгород, где сначала указаны казнённые поимённо, затем — общее число убитых без имён. Иностранцы называли цифры от двадцати семи до шестидесяти тысяч, однако такие числа сопоставимы с численностью всего населения тогдашнего Новгорода и потому вызывают сомнение.</w:t>
      </w:r>
    </w:p>
    <w:p>
      <w:pPr>
        <w:pStyle w:val="BodyText"/>
      </w:pPr>
      <w:r>
        <w:t>Европейский фон помогает оценить масштаб. В Нидерландах «Кровавый совет» герцога Альбы в 1567–1573 годах вынес тысячи смертных приговоров. Варфоломеевская ночь 24 августа 1572 года унесла в Париже около трёх тысяч жизней, а по всей Франции, по разным оценкам, от пяти до десяти тысяч и более. Известно, что Иван IV в письме императору Максимилиану II осудил это избиение. Террор XVI века был общеевропейским явлением; русский случай выделяется тем, что он был направлен властью против подданных без религиозного разделения.</w:t>
      </w:r>
    </w:p>
    <w:p>
      <w:pPr>
        <w:pStyle w:val="Слайд"/>
      </w:pPr>
      <w:r>
        <w:t>[слайд 34 — Отмена опричнины]</w:t>
      </w:r>
    </w:p>
    <w:p>
      <w:pPr>
        <w:pStyle w:val="BodyText"/>
      </w:pPr>
      <w:r>
        <w:t>По датировке ряда исследователей, летом 1572 года, ещё до победы при Молодях, царь составил духовную грамоту — завещание, в котором упоминал опричнину как своё установление, передаваемое сыновьям. Через несколько месяцев опричнина была ликвидирована. Генрих Штаден сообщает, что после отмены упоминание опричнины каралось торговой казнью; это сообщение подтверждается тем, что в документах после 1572 года вместо «опричнины» говорится о «государевом дворе».</w:t>
      </w:r>
    </w:p>
    <w:p>
      <w:pPr>
        <w:pStyle w:val="BodyText"/>
      </w:pPr>
      <w:r>
        <w:t>В 1575 году часть опричных порядков была восстановлена в форме «двора» при Симеоне Бекбулатовиче, и это позволяет некоторым исследователям говорить о продолжении опричной политики до конца царствования. Ряд исследователей предлагает видеть в 1572 годе смену формы при сохранении существа, поскольку казни продолжались и в 1573–1575 годах.</w:t>
      </w:r>
    </w:p>
    <w:p>
      <w:pPr>
        <w:pStyle w:val="Heading2"/>
      </w:pPr>
      <w:r>
        <w:t>Вопрос пятый. Споры о природе опричнины</w:t>
      </w:r>
    </w:p>
    <w:p>
      <w:pPr>
        <w:pStyle w:val="Слайд"/>
      </w:pPr>
      <w:r>
        <w:t>[слайд 35 — Вопрос пятый]</w:t>
      </w:r>
    </w:p>
    <w:p>
      <w:pPr>
        <w:pStyle w:val="BodyText"/>
      </w:pPr>
      <w:r>
        <w:t>Пятый вопрос рассматривает опричнину как предмет историографического спора. Здесь ярче всего видно, как один и тот же круг источников позволяет строить разные объяснения и как на эти объяснения влияла эпоха, в которую работал историк.</w:t>
      </w:r>
    </w:p>
    <w:p>
      <w:pPr>
        <w:pStyle w:val="Слайд"/>
      </w:pPr>
      <w:r>
        <w:t>[слайд 36 — Спорят историки]</w:t>
      </w:r>
    </w:p>
    <w:p>
      <w:pPr>
        <w:pStyle w:val="BodyText"/>
      </w:pPr>
      <w:r>
        <w:t>Первая позиция наиболее полно изложена С. Ф. Платоновым в начале XX века: опричнина была ударом по потомкам удельных князей, сохранявшим крупные вотчины и политические притязания. В 1940-х годах эту схему усилили до апологии: И. И. Смирнов и другие авторы представили опричнину как прогрессивную меру централизации. Известна и беседа И. В. Сталина с С. М. Эйзенштейном и Н. К. Черкасовым в феврале 1947 года, где фильм «Иван Грозный» обсуждался именно с этой точки зрения; вторая серия фильма была запрещена и вышла на экран лишь в 1958 году.</w:t>
      </w:r>
    </w:p>
    <w:p>
      <w:pPr>
        <w:pStyle w:val="BodyText"/>
      </w:pPr>
      <w:r>
        <w:t>Вторую позицию первым обосновал С. Б. Веселовский в книге «Исследования по истории опричнины» (1963). По подсчётам, основанным на синодике и других документах, среди погибших преобладали рядовые служилые люди, приказные, монахи, посадские и крестьяне. Веселовский считал, что вывод о направленности опричнины против аристократии не выдерживает проверки. В. Б. Кобрин в книге «Власть и собственность в средневековой России» (1985) показал, что значительная часть княжеских вотчин пережила опричнину.</w:t>
      </w:r>
    </w:p>
    <w:p>
      <w:pPr>
        <w:pStyle w:val="BodyText"/>
      </w:pPr>
      <w:r>
        <w:t>Третья позиция связана с работами А. Л. Юрганова. Опираясь на послания царя и обрядовую сторону опричного двора, он предположил, что Иван IV видел себя исполнителем божественного суда перед ожидавшимся концом света. Опричный двор в Александровой слободе имел монастырский устав: царь был игуменом, опричники — братией, служба начиналась до рассвета. Противники этой позиции указывают, что подобное религиозное обоснование не исключает вполне земных целей и что ряд обрядовых подробностей известен лишь по иностранным свидетельствам.</w:t>
      </w:r>
    </w:p>
    <w:p>
      <w:pPr>
        <w:pStyle w:val="BodyText"/>
      </w:pPr>
      <w:r>
        <w:t>Существует и медицинское объяснение. В 1893 году психиатр П. И. Ковалевский в работе «Иоанн Грозный и его душевное состояние» объявил царя параноиком. Вскрытие гробниц в Архангельском соборе Кремля в 1963 году дало новые данные: у царя выявлены отложения на позвоночнике, вызывавшие, по-видимому, сильные боли, а в останках обнаружено повышенное содержание ртути. Ртуть входила в состав распространённых тогда мазей, и прямой вывод о психическом состоянии из этого не следует. Большинство историков относится к медицинским объяснениям сдержанно, поскольку они переносят на прошлое диагнозы, требующие наблюдения живого человека.</w:t>
      </w:r>
    </w:p>
    <w:p>
      <w:pPr>
        <w:pStyle w:val="Слайд"/>
      </w:pPr>
      <w:r>
        <w:t>[слайд 37 — Источник крупным планом]</w:t>
      </w:r>
    </w:p>
    <w:p>
      <w:pPr>
        <w:pStyle w:val="BodyText"/>
      </w:pPr>
      <w:r>
        <w:t>Курбский бежал в ночь на 30 апреля 1564 года из Юрьева Ливонского в Вольмар, на литовскую сторону. Его первое послание начинается словами «Царю, от Бога препрославленному, паче же во православии пресветлу явившуся, ныне же грех ради наших сопротивну обретеся». Позднейшее предание, воспроизведённое в балладе А. К. Толстого «Василий Шибанов», приписывает доставку письма слуге Курбского, который был замучен, но не отрёкся от господина; источником предания служит поздний летописный рассказ, и его достоверность невелика.</w:t>
      </w:r>
    </w:p>
    <w:p>
      <w:pPr>
        <w:pStyle w:val="BodyText"/>
      </w:pPr>
      <w:r>
        <w:t>Ответ царя во много раз длиннее послания Курбского. Он насыщен цитатами из Библии, отцов церкви и хронографов, а также примерами из истории Византии и Рима. Ключевая мысль царя — единство власти: государство, где правят многие, обречено на распад. В качестве примера Иван IV приводит Византию, погибшую, по его мысли, из-за своеволия вельмож. Курбский отвечает с позиции, восходящей к идее «мудрых советников», и обвиняет царя в нарушении христианского закона.</w:t>
      </w:r>
    </w:p>
    <w:p>
      <w:pPr>
        <w:pStyle w:val="BodyText"/>
      </w:pPr>
      <w:r>
        <w:t>Первые русские историки читали переписку прежде всего как источник по характеру царя. Сегодня её чаще изучают как памятник политической мысли, в котором впервые в русской словесности ясно сформулированы две модели власти. Аналогичную проблему одновременно обсуждали европейские мыслители: «Государь» Н. Макиавелли написан в 1513 году, а «Шесть книг о государстве» Ж. Бодена, вводящие понятие суверенитета, изданы в 1576 году.</w:t>
      </w:r>
    </w:p>
    <w:p>
      <w:pPr>
        <w:pStyle w:val="Слайд"/>
      </w:pPr>
      <w:r>
        <w:t>[слайд 38 — Мостик к профилю]</w:t>
      </w:r>
    </w:p>
    <w:p>
      <w:pPr>
        <w:pStyle w:val="BodyText"/>
      </w:pPr>
      <w:r>
        <w:t>Переписка служит удобным примером того, как лексика выдаёт автора. Иван IV легко переходит от церковнославянского периода с причастными оборотами к просторечию: упрекает оппонента в «собацком изменном обычае», вставляет пословицы и насмешки. Д. С. Лихачёв, подготовивший вместе с Я. С. Лурье издание посланий в серии «Литературные памятники» (1951), видел в Иване IV одного из самых своеобразных писателей своего века. Курбский, напротив, пишет ровнее, и в его поздних сочинениях видны следы латинской учёности, полученной в эмиграции, в том числе кальки латинских оборотов.</w:t>
      </w:r>
    </w:p>
    <w:p>
      <w:pPr>
        <w:pStyle w:val="BodyText"/>
      </w:pPr>
      <w:r>
        <w:t>Гипотезу о позднем происхождении переписки выдвинул американский историк Эдуард Кинан в книге «The Kurbskii–Groznyi Apocrypha» (1971). Он утверждал, что первое послание Курбского содержит заимствования из сочинения XVII века князя Семёна Шаховского, и, следовательно, весь корпус создан в 1620-х годах. Ответ дал Р. Г. Скрынников в работе «Переписка Грозного и Курбского. Парадоксы Эдварда Кинана» (1973): совпадения объясняются обратным направлением заимствования, а также общим источником — переводами Максима Грека. Последующие текстологические исследования, в том числе работы Я. С. Лурье, укрепили большинство специалистов во мнении, что переписка относится к XVI веку.</w:t>
      </w:r>
    </w:p>
    <w:p>
      <w:pPr>
        <w:pStyle w:val="BodyText"/>
      </w:pPr>
      <w:r>
        <w:t>Вопрос об авторстве касается и самого царя. Кинан позднее высказал предположение, что Иван IV мог быть неграмотен и послания за него писали дьяки. Против этого говорит совпадение стилистических примет в посланиях, написанных в разные годы и разным адресатам — от Курбского до игумена Кирилло-Белозерского монастыря и опричника Василия Грязного. Довод основан на анализе самого текста и потому не зависит от оценки свидетельств современников.</w:t>
      </w:r>
    </w:p>
    <w:p>
      <w:pPr>
        <w:pStyle w:val="Heading2"/>
      </w:pPr>
      <w:r>
        <w:t>Вопрос шестой. Последние годы царствования</w:t>
      </w:r>
    </w:p>
    <w:p>
      <w:pPr>
        <w:pStyle w:val="Слайд"/>
      </w:pPr>
      <w:r>
        <w:t>[слайд 39 — Вопрос шестой]</w:t>
      </w:r>
    </w:p>
    <w:p>
      <w:pPr>
        <w:pStyle w:val="BodyText"/>
      </w:pPr>
      <w:r>
        <w:t>Шестой вопрос охватывает последнее десятилетие царствования. В эти годы военные поражения, хозяйственное истощение и династический кризис соединились, и было предопределено многое из того, что произойдёт в конце XVI — начале XVII века.</w:t>
      </w:r>
    </w:p>
    <w:p>
      <w:pPr>
        <w:pStyle w:val="Слайд"/>
      </w:pPr>
      <w:r>
        <w:t>[слайд 40 — Симеон Бекбулатович]</w:t>
      </w:r>
    </w:p>
    <w:p>
      <w:pPr>
        <w:pStyle w:val="BodyText"/>
      </w:pPr>
      <w:r>
        <w:t>Симеон Бекбулатович, до крещения Саин-Булат, был касимовским ханом и потомком Ахмата, последнего хана Большой Орды. Челобитная, поданная ему от имени царя, начинается словами «Государю великому князю Семиону Бекбулатовичу всеа Русии Иванец Васильев с своими детишками, с Ивашком и с Федком, челом бьют». Самоуничижительная форма челобитной подчёркивала мнимое возвращение Ивана IV в положение частного лица.</w:t>
      </w:r>
    </w:p>
    <w:p>
      <w:pPr>
        <w:pStyle w:val="BodyText"/>
      </w:pPr>
      <w:r>
        <w:t>Объяснение через предсказание основано на сообщении Пискарёвского летописца о волхвах, предрекших смерть московского царя в 1575 году. Необычную культурологическую трактовку предложил Б. А. Успенский в статье «Царь и самозванец: самозванчество в России как культурно-исторический феномен» (1982). По его мнению, эпизод связан с традицией «ряжения» — ритуального переворачивания иерархии, известного по святочным обрядам. Царь, сажая на трон «шуточного» государя, демонстрировал, что истинная власть даётся свыше и не зависит от места на престоле. Противники этой трактовки, в том числе Р. Г. Скрынников, указывают на практический результат: при Симеоне прошла новая волна казней и пересмотр земельных пожалований, что делает эпизод прежде всего политическим.</w:t>
      </w:r>
    </w:p>
    <w:p>
      <w:pPr>
        <w:pStyle w:val="BodyText"/>
      </w:pPr>
      <w:r>
        <w:t>Судьба Симеона после 1576 года драматична. Он получил Тверское княжество, при Борисе Годунове был лишён его, по некоторым известиям, ослеп и в 1606 году был пострижен в монахи под именем Стефана. Умер он в 1616 году, пережив Фёдора Ивановича, Бориса Годунова, Лжедмитрия I и Василия Шуйского.</w:t>
      </w:r>
    </w:p>
    <w:p>
      <w:pPr>
        <w:pStyle w:val="Слайд"/>
      </w:pPr>
      <w:r>
        <w:t>[слайд 41 — Разорение]</w:t>
      </w:r>
    </w:p>
    <w:p>
      <w:pPr>
        <w:pStyle w:val="BodyText"/>
      </w:pPr>
      <w:r>
        <w:t>Писцовые книги новгородских пятин, опубликованные и изученные в многотомной «Аграрной истории Северо-Запада России» под редакцией А. Л. Шапиро, дают показательные цифры. В Деревской пятине к началу 1580-х годов пустовало около девяти десятых обрабатываемой земли, в Шелонской — сопоставимая доля. Сходная картина наблюдается в уездах Замосковного края: в Московском уезде, по подсчётам исследователей, распахана была лишь небольшая часть пашни, учтённой ранее.</w:t>
      </w:r>
    </w:p>
    <w:p>
      <w:pPr>
        <w:pStyle w:val="BodyText"/>
      </w:pPr>
      <w:r>
        <w:t>Эпидемия чумы 1570–1571 годов, по-видимому, пришла из Ливонии и Польши, где она бушевала в те же годы. Неурожаи начала 1570-х годов совпали с ней. Западная Европа переживала в эти десятилетия «революцию цен», вызванную притоком американского серебра, и рост стоимости хлеба; в России этот процесс проявлялся через рост денежных повинностей.</w:t>
      </w:r>
    </w:p>
    <w:p>
      <w:pPr>
        <w:pStyle w:val="BodyText"/>
      </w:pPr>
      <w:r>
        <w:t>Первые упоминания о заповедных летах обнаружил В. И. Корецкий в документах конца 1570-х — начала 1580-х годов. Сам указ 1581 года не сохранился, и о нём известно по ссылкам в позднейших актах. Подробнее об этих мерах и их продолжении при сыне Ивана IV говорится в следующей теме.</w:t>
      </w:r>
    </w:p>
    <w:p>
      <w:pPr>
        <w:pStyle w:val="Слайд"/>
      </w:pPr>
      <w:r>
        <w:t>[слайд 42 — Династический тупик]</w:t>
      </w:r>
    </w:p>
    <w:p>
      <w:pPr>
        <w:pStyle w:val="BodyText"/>
      </w:pPr>
      <w:r>
        <w:t>Об обстоятельствах гибели царевича Ивана существует несколько версий. Папский легат Антонио Поссевино, находившийся тогда в России, передаёт рассказ о ссоре: царь ударил беременную невестку, Елену Шереметеву, за неподобающий наряд, а сын вступился за жену. Другие источники связывают ссору с политическими разногласиями, в частности с желанием царевича возглавить войско под Псковом. Картина И. Е. Репина «Иван Грозный и сын его Иван 16 ноября 1581 года» (1885) закрепила одну из версий в массовом сознании; в 1913 году картина была повреждена ножом посетителем Третьяковской галереи.</w:t>
      </w:r>
    </w:p>
    <w:p>
      <w:pPr>
        <w:pStyle w:val="BodyText"/>
      </w:pPr>
      <w:r>
        <w:t>При вскрытии гробниц в 1963 году в останках царевича также было выявлено повышенное содержание ртути и ряда других веществ. Отдельные авторы на этом основании выдвигали гипотезу об отравлении. Научная среда эту гипотезу не приняла: ртуть содержалась в лекарствах и косметике XVI века, а распространение веществ в останках за четыре столетия трудно оценить. Пример показывает, как естественнонаучные данные требуют той же критики, что и письменные источники.</w:t>
      </w:r>
    </w:p>
    <w:p>
      <w:pPr>
        <w:pStyle w:val="BodyText"/>
      </w:pPr>
      <w:r>
        <w:t>Брак с Марией Нагой был, по разным подсчётам, пятым или седьмым браком царя, тогда как церковь допускала не более трёх. Именно поэтому царевич Дмитрий Угличский мог считаться незаконнорождённым, и это обстоятельство приобретёт значение в последующих событиях.</w:t>
      </w:r>
    </w:p>
    <w:p>
      <w:pPr>
        <w:pStyle w:val="Слайд"/>
      </w:pPr>
      <w:r>
        <w:t>[слайд 43 — Цена выбора]</w:t>
      </w:r>
    </w:p>
    <w:p>
      <w:pPr>
        <w:pStyle w:val="BodyText"/>
      </w:pPr>
      <w:r>
        <w:t>Прирост территории за царствование обычно оценивают в пределах от полутора до двух раз, в зависимости от того, как учитываются присоединённые, но не освоенные пространства Поволжья и Приуралья. Население страны к концу века историки оценивают в шесть–семь миллионов человек, но любые цифры такого рода опираются на косвенные подсчёты, поскольку переписей населения ещё не проводилось.</w:t>
      </w:r>
    </w:p>
    <w:p>
      <w:pPr>
        <w:pStyle w:val="BodyText"/>
      </w:pPr>
      <w:r>
        <w:t>Различие оценок царствования в историографии во многом зависит от того, какой столбец таблицы считается определяющим. Для государственной школы XIX века важнее был первый, для С. Б. Веселовского и его последователей — второй. Современные исследователи, в частности Б. Н. Флоря в биографии «Иван Грозный» (1999), стремятся показать оба ряда как результат одной политики, избегая и прославления, и обличения.</w:t>
      </w:r>
    </w:p>
    <w:p>
      <w:pPr>
        <w:pStyle w:val="Heading2"/>
      </w:pPr>
      <w:r>
        <w:t>Заключение</w:t>
      </w:r>
    </w:p>
    <w:p>
      <w:pPr>
        <w:pStyle w:val="Слайд"/>
      </w:pPr>
      <w:r>
        <w:t>[слайд 44 — Основные выводы]</w:t>
      </w:r>
    </w:p>
    <w:p>
      <w:pPr>
        <w:pStyle w:val="BodyText"/>
      </w:pPr>
      <w:r>
        <w:t>Выводы темы образуют логическую цепь. Реформы середины века создали поместно-приказное государство, способное к дальним кампаниям. Восточные завоевания расширили земельный фонд и открыли путь в Сибирь. Длительная война на западе, наложившись на опричнину и стихийные бедствия, исчерпала ресурсы. Закрепощение крестьян оказалось ответом на кризис службы, и в этом виде проблема перешла к следующему царствованию.</w:t>
      </w:r>
    </w:p>
    <w:p>
      <w:pPr>
        <w:pStyle w:val="BodyText"/>
      </w:pPr>
      <w:r>
        <w:t>Значение темы для последующего курса состоит в том, что почти все институты, о которых пойдёт речь при изучении XVII века, — приказы, земские соборы, поместное войско, крепостное право — либо возникли, либо получили законченную форму в эти полвека.</w:t>
      </w:r>
    </w:p>
    <w:p>
      <w:pPr>
        <w:pStyle w:val="Слайд"/>
      </w:pPr>
      <w:r>
        <w:t>[слайд 45 — Вопросы и задания]</w:t>
      </w:r>
    </w:p>
    <w:p>
      <w:pPr>
        <w:pStyle w:val="BodyText"/>
      </w:pPr>
      <w:r>
        <w:t>При подготовке к обсуждению вопросов о реформах полезно опираться на тексты Судебника 1550 года и Стоглава: многие ответы прямо следуют из формулировок статей. Для вопроса о причинах взятия Казани достаточно сопоставить походы 1547–1550 годов с кампанией 1552 года по материалам разрядных книг и летописей.</w:t>
      </w:r>
    </w:p>
    <w:p>
      <w:pPr>
        <w:pStyle w:val="BodyText"/>
      </w:pPr>
      <w:r>
        <w:t>Для работы с перепиской рекомендуется издание Д. С. Лихачёва и Я. С. Лурье или последующие переиздания. При разборе жалованных грамот Строгановым полезно обратить внимание на перечень разрешённых промыслов и на условия о податях: из них видно, какой расчёт строило правительство на освоение Прикамья.</w:t>
      </w:r>
    </w:p>
    <w:p>
      <w:pPr>
        <w:pStyle w:val="Слайд"/>
      </w:pPr>
      <w:r>
        <w:t>[слайд 46 — Литература]</w:t>
      </w:r>
    </w:p>
    <w:p>
      <w:pPr>
        <w:pStyle w:val="BodyText"/>
      </w:pPr>
      <w:r>
        <w:t>Монографии А. А. Зимина «Реформы Ивана Грозного» (1960) и «Опричнина Ивана Грозного» (1964) остаются основой фактической истории царствования. Книги Р. Г. Скрынникова популярны и написаны живо, хотя некоторые его реконструкции оспариваются. Биография В. Б. Кобрина «Иван Грозный» (1989) удобна для первого знакомства. Монография А. И. Филюшкина даёт современный взгляд на балтийские войны с привлечением польских, шведских и ливонских источников.</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