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Тема 4.3. Россия на рубеже XVI–XVII вв.</w:t>
      </w:r>
    </w:p>
    <w:p>
      <w:pPr>
        <w:pStyle w:val="Шапка"/>
      </w:pPr>
      <w:r>
        <w:t>Раздел 4. Россия в XVI–XVII вв. · 1 академический час · УК-5.1, УК-5.2, УК-5.3</w:t>
      </w:r>
    </w:p>
    <w:p>
      <w:pPr>
        <w:pStyle w:val="Шапка"/>
      </w:pPr>
      <w:r>
        <w:t>Дисциплина Б1.О.03 «История России» · 45.03.02 Лингвистика · заочная форма</w:t>
      </w:r>
    </w:p>
    <w:p>
      <w:pPr>
        <w:pStyle w:val="Шапка"/>
      </w:pPr>
      <w:r>
        <w:t>Колесников Михаил Алексеевич</w:t>
      </w:r>
    </w:p>
    <w:p>
      <w:pPr>
        <w:pStyle w:val="Heading2"/>
      </w:pPr>
      <w:r>
        <w:t>Вводная часть</w:t>
      </w:r>
    </w:p>
    <w:p>
      <w:pPr>
        <w:pStyle w:val="Слайд"/>
      </w:pPr>
      <w:r>
        <w:t>[слайд 1 — Титул]</w:t>
      </w:r>
    </w:p>
    <w:p>
      <w:pPr>
        <w:pStyle w:val="BodyText"/>
      </w:pPr>
      <w:r>
        <w:t>Тема занимает короткий промежуток между смертью Ивана IV в марте 1584 года и избранием Бориса Годунова в феврале 1598 года. В учебной традиции эти годы нередко сводятся к предисловию Смуты. Между тем именно тогда были приняты решения, определившие социальный строй страны на два с половиной столетия, и именно тогда впервые в русской истории встал вопрос о том, на каком основании человек может стать государем, не будучи сыном государя.</w:t>
      </w:r>
    </w:p>
    <w:p>
      <w:pPr>
        <w:pStyle w:val="BodyText"/>
      </w:pPr>
      <w:r>
        <w:t>Ещё С. Ф. Платонов, открывая «Очерки по истории Смуты в Московском государстве XVI–XVII вв.» (1899), начал изложение с обзора общественного строя страны в последней четверти XVI века. Он исходил из того, что потрясения начала XVII века невозможно объяснить событиями 1604 года, и потому искал их истоки в устройстве землевладения, службы и двора. Этот порядок изложения сохраняется и в курсе: тема 4.3 служит мостом между царствованием Ивана IV и Смутой.</w:t>
      </w:r>
    </w:p>
    <w:p>
      <w:pPr>
        <w:pStyle w:val="Слайд"/>
      </w:pPr>
      <w:r>
        <w:t>[слайд 2 — Постановка проблемы]</w:t>
      </w:r>
    </w:p>
    <w:p>
      <w:pPr>
        <w:pStyle w:val="BodyText"/>
      </w:pPr>
      <w:r>
        <w:t>Внешне царствование Фёдора Ивановича выглядит спокойным: войн мало, страна восстанавливается, строятся крепости. Современники оценивали его по-разному. Автор «Нового летописца», составленного уже при Романовых, вспоминал эти годы как время тишины и благополучия. Английский посол Джайлс Флетчер, побывавший в Москве в 1588–1589 годах, в книге «О государстве Русском» (1591) описывал, напротив, тяжесть податей и всеобщий страх перед произволом. Книга оказалась настолько резкой, что Московская компания, опасаясь за свою торговлю, добилась ограничения её распространения в Англии.</w:t>
      </w:r>
    </w:p>
    <w:p>
      <w:pPr>
        <w:pStyle w:val="BodyText"/>
      </w:pPr>
      <w:r>
        <w:t>Реконструкция облика царя Фёдора, выполненная М. М. Герасимовым по черепу после вскрытия гробниц Архангельского собора в 1963 году, сама по себе служит источником: она позволила проверить сообщения современников о его внешности и состоянии здоровья.</w:t>
      </w:r>
    </w:p>
    <w:p>
      <w:pPr>
        <w:pStyle w:val="BodyText"/>
      </w:pPr>
      <w:r>
        <w:t>Писатели Смутного времени — дьяк Иван Тимофеев, автор «Временника», келарь Авраамий Палицын, князь Иван Катырев-Ростовский — оглядывались на эти годы, пытаясь понять, откуда пришла катастрофа. Тимофеев, служивший при Годунове, видел корень бедствий в молчаливом попустительстве подданных, терпевших беззакония правителей. Эти сочинения написаны уже после 1613 года и несут на себе отпечаток новой династии, заинтересованной в осуждении Годунова. Их свидетельства о 1580–1590-х годах требуют поэтому особой осторожности.</w:t>
      </w:r>
    </w:p>
    <w:p>
      <w:pPr>
        <w:pStyle w:val="Слайд"/>
      </w:pPr>
      <w:r>
        <w:t>[слайд 3 — План лекции]</w:t>
      </w:r>
    </w:p>
    <w:p>
      <w:pPr>
        <w:pStyle w:val="BodyText"/>
      </w:pPr>
      <w:r>
        <w:t>Пять вопросов выстроены в порядке от хозяйственной основы к политической надстройке. Сначала описывается состояние земли и людей, затем — правовые меры, которыми власть ответила на кризис, затем — двор, внутри которого эти меры принимались, и наконец — событие 1598 года, ставшее следствием всего предшествующего.</w:t>
      </w:r>
    </w:p>
    <w:p>
      <w:pPr>
        <w:pStyle w:val="BodyText"/>
      </w:pPr>
      <w:r>
        <w:t>Тема рассчитана на один час, и потому каждый вопрос раскрывается через один-два ключевых сюжета. Подробности хозяйственной истории и спора о закрепощении студент найдёт в литературе к теме, а в лекции на первый план выходит связь между хозяйственными, правовыми и политическими событиями.</w:t>
      </w:r>
    </w:p>
    <w:p>
      <w:pPr>
        <w:pStyle w:val="Слайд"/>
      </w:pPr>
      <w:r>
        <w:t>[слайд 4 — Координаты темы]</w:t>
      </w:r>
    </w:p>
    <w:p>
      <w:pPr>
        <w:pStyle w:val="BodyText"/>
      </w:pPr>
      <w:r>
        <w:t>Хронология показывает, что важнейшие меры в отношении крестьян сосредоточены в начале и в конце периода — 1581 и 1597 годы, тогда как середина занята делами двора, церкви и внешней политики. Европейский фон этих лет насыщен событиями: в 1588 году погибла испанская «Непобедимая армада», в 1589 году во Франции с убийством Генриха III пресеклась династия Валуа, и престол перешёл к Генриху IV Бурбону. Пресечение династии было, таким образом, общеевропейским сюжетом конца века, и во Франции его разрешение сопровождалось религиозной войной.</w:t>
      </w:r>
    </w:p>
    <w:p>
      <w:pPr>
        <w:pStyle w:val="BodyText"/>
      </w:pPr>
      <w:r>
        <w:t>Совпадение событий лета 1591 года породило слухи, которые зафиксированы в источниках. Через несколько недель после гибели царевича в Москве случился большой пожар, и молва приписала поджог людям Годунова, якобы желавшего отвлечь внимание от Углича. Когда в июле к столице подошёл Казы-Гирей, распространился слух, что хана навёл сам правитель. Оба обвинения не имеют документальной опоры, однако показывают, насколько уже тогда имя Годунова связывалось в общественном мнении с любым бедствием.</w:t>
      </w:r>
    </w:p>
    <w:p>
      <w:pPr>
        <w:pStyle w:val="Heading2"/>
      </w:pPr>
      <w:r>
        <w:t>Вопрос первый. Хозяйственный кризис</w:t>
      </w:r>
    </w:p>
    <w:p>
      <w:pPr>
        <w:pStyle w:val="Слайд"/>
      </w:pPr>
      <w:r>
        <w:t>[слайд 5 — Вопрос первый]</w:t>
      </w:r>
    </w:p>
    <w:p>
      <w:pPr>
        <w:pStyle w:val="BodyText"/>
      </w:pPr>
      <w:r>
        <w:t>Первый вопрос посвящён состоянию сельского хозяйства центральных уездов к 1580-м годам. От ответа на него зависит объяснение и закрепощения, и последующих потрясений.</w:t>
      </w:r>
    </w:p>
    <w:p>
      <w:pPr>
        <w:pStyle w:val="BodyText"/>
      </w:pPr>
      <w:r>
        <w:t>В советской литературе за этими явлениями закрепилось название «хозяйственный кризис 70–80-х годов XVI века». Дискуссионным остаётся его масштаб. Ряд исследователей, работавших с материалами Русского Севера и Прикамья, показал, что там в те же годы население росло, а пашня расширялась. Кризис, таким образом, был прежде всего кризисом центра и северо-запада, тогда как окраины в это время переживали подъём, во многом за счёт переселенцев из разорённых уездов.</w:t>
      </w:r>
    </w:p>
    <w:p>
      <w:pPr>
        <w:pStyle w:val="Слайд"/>
      </w:pPr>
      <w:r>
        <w:t>[слайд 6 — Что показывают описания]</w:t>
      </w:r>
    </w:p>
    <w:p>
      <w:pPr>
        <w:pStyle w:val="BodyText"/>
      </w:pPr>
      <w:r>
        <w:t>Единицей учёта в писцовой книге служила соха — условная податная мера, включавшая определённое количество пашни, разное для земель служилых людей, монастырей и черносошных крестьян. Пашня измерялась в четях. Отдельно писцы различали «живущую» пашню, то есть обрабатываемую, и «пустую». Формула «пашни паханые», «перелогом» и «лесом поросло» передаёт стадии заброшенности: земля, брошенная несколько лет назад, ещё может быть распахана, а заросшая лесом требует расчистки заново.</w:t>
      </w:r>
    </w:p>
    <w:p>
      <w:pPr>
        <w:pStyle w:val="BodyText"/>
      </w:pPr>
      <w:r>
        <w:t>Писцовые книги Новгородской земли сохранились особенно полно, и их систематический анализ провели авторы многотомной «Аграрной истории Северо-Запада России» под руководством А. Л. Шапиро. Для центральных уездов основные подсчёты принадлежат Н. А. Рожкову, автору книги «Сельское хозяйство Московской Руси в XVI веке» (1899), и Е. И. Колычевой. Полученные ими цифры по разным уездам различаются, но общее направление одно: в 1580-х годах обрабатывалась лишь меньшая часть пашни, учтённой в описаниях первой половины века.</w:t>
      </w:r>
    </w:p>
    <w:p>
      <w:pPr>
        <w:pStyle w:val="BodyText"/>
      </w:pPr>
      <w:r>
        <w:t>Надёжность источника опирается на интерес составителя. Писец, занизивший запустение, обрекал бы население на налог с несуществующих дворов, и население могло обжаловать описание. Писец, завысивший запустение, лишал казну дохода и рисковал опалой. Взаимная проверка делает податную документацию одним из самых достоверных видов источников по хозяйственной истории, хотя и она не свободна от ошибок и злоупотреблений.</w:t>
      </w:r>
    </w:p>
    <w:p>
      <w:pPr>
        <w:pStyle w:val="BodyText"/>
      </w:pPr>
      <w:r>
        <w:t>Особенно выразительны «обыскные книги» Новгородской земли начала 1580-х годов, составленные для выяснения причин запустения. Писцы опрашивали соседей и записывали, отчего пуст двор: хозяева «от опричнины» разбежались, «от мору» вымерли, «от немецкой войны» побиты или уведены в плен, «от царёва тягла» сбрели безвестно. Подобные формулы позволяют исследователю распределить запустение по причинам, хотя каждая запись отражает мнение опрошенных, а не результат расследования.</w:t>
      </w:r>
    </w:p>
    <w:p>
      <w:pPr>
        <w:pStyle w:val="Слайд"/>
      </w:pPr>
      <w:r>
        <w:t>[слайд 7 — Причины кризиса]</w:t>
      </w:r>
    </w:p>
    <w:p>
      <w:pPr>
        <w:pStyle w:val="BodyText"/>
      </w:pPr>
      <w:r>
        <w:t>Механизм самоусиливающегося бегства, описанный в нижней части схемы, связан с круговой порукой — коллективной ответственностью за уплату податей. Подать раскладывалась на общину в целом, и когда часть дворов пустела, оставшиеся должны были платить за ушедших. Чем больше людей уходило, тем тяжелее становилось оставшимся, и тем сильнее был стимул уйти и для них.</w:t>
      </w:r>
    </w:p>
    <w:p>
      <w:pPr>
        <w:pStyle w:val="BodyText"/>
      </w:pPr>
      <w:r>
        <w:t>Климатический фон также заслуживает внимания. Последние десятилетия XVI века приходятся на одну из холодных фаз так называемого малого ледникового периода. Историки климата связывают с ним неурожаи в разных частях Европы того же времени. Связь с русскими неурожаями 1570-х годов вероятна, но подтверждена слабее, чем для голода 1601–1603 годов, о котором пойдёт речь в следующей теме.</w:t>
      </w:r>
    </w:p>
    <w:p>
      <w:pPr>
        <w:pStyle w:val="BodyText"/>
      </w:pPr>
      <w:r>
        <w:t>Уход населения на окраины имел и обратную сторону. Колонизация Поля, лесостепи южнее Оки, создавала основу для будущего хлебного юга России. По этим же причинам шёл отток в Поволжье и Приуралье, где в конце XVI века начинает формироваться русское земледельческое население среди башкирских и марийских кочевий и селений.</w:t>
      </w:r>
    </w:p>
    <w:p>
      <w:pPr>
        <w:pStyle w:val="BodyText"/>
      </w:pPr>
      <w:r>
        <w:t>Рост податей можно проследить по названиям новых сборов, появившихся во второй половине XVI века. «Пищальные деньги» шли на содержание стрельцов и пушкарей, «ямские» — на почтовую гоньбу, «полоняничные» — на выкуп пленных, уведённых крымцами. По подсчётам историков, общий размер прямых налогов с сохи за полвека вырос в несколько раз, тогда как доходность крестьянского двора оставалась прежней или падала.</w:t>
      </w:r>
    </w:p>
    <w:p>
      <w:pPr>
        <w:pStyle w:val="Слайд"/>
      </w:pPr>
      <w:r>
        <w:t>[слайд 8 — Механика]</w:t>
      </w:r>
    </w:p>
    <w:p>
      <w:pPr>
        <w:pStyle w:val="BodyText"/>
      </w:pPr>
      <w:r>
        <w:t>Положение мелкого служилого человека хорошо видно по десятням. Служилый человек с окладом в сто четей нередко имел в действительности лишь несколько крестьянских дворов. Отправляясь на службу, он должен был взять с собой коня, доспех, запас продовольствия и, если позволял оклад, одного или нескольких вооружённых холопов. При пустом поместье выполнить эти требования было невозможно, и в десятнях появляются пометы «беден», «служить не с чего», «в нетях» — то есть не явился на смотр.</w:t>
      </w:r>
    </w:p>
    <w:p>
      <w:pPr>
        <w:pStyle w:val="BodyText"/>
      </w:pPr>
      <w:r>
        <w:t>Соперничество за крестьянина имело и юридическую форму — вывоз. Крупный землевладелец мог прислать своих людей, уплатить за крестьянина пожилое и долги и вывезти его к себе. Для мелкого помещика это означало потерю работника в результате законной операции, против которой у него не было средств. Челобитные служилых людей 1580–1590-х годов полны жалоб именно на вывоз крестьян «сильными людьми».</w:t>
      </w:r>
    </w:p>
    <w:p>
      <w:pPr>
        <w:pStyle w:val="BodyText"/>
      </w:pPr>
      <w:r>
        <w:t>Американский историк Р. Хелли в книге «Enserfment and Military Change in Muscovy» (1971) предложил объяснение, связывающее закрепощение, и прежде всего его окончательное оформление, с военной историей. По его мнению, поместная конница к концу XVI века устаревала по сравнению с пехотой, вооружённой огнестрельным оружием, однако правительство не имело средств перейти к наёмной армии и поэтому было вынуждено покупать лояльность служилого сословия крестьянами. Позиция Хелли критикуется за прямолинейность связи: переход к пехоте в России широко развернулся лишь в 1630-х годах, тогда как закрепощение шло полувеком раньше.</w:t>
      </w:r>
    </w:p>
    <w:p>
      <w:pPr>
        <w:pStyle w:val="BodyText"/>
      </w:pPr>
      <w:r>
        <w:t>Правительство пыталось ограничить преимущества крупных владельцев и другими средствами. Церковный собор 1580 года запретил монастырям приобретать новые вотчины, а приговор 1584 года отменил тарханы — податные льготы, которыми пользовались монастыри и некоторые светские землевладельцы. Мотивировка приговора прямо указывала на то, что служилые люди «оскудели», а тяглые крестьяне уходят на льготные земли, перекладывая тягло на оставшихся.</w:t>
      </w:r>
    </w:p>
    <w:p>
      <w:pPr>
        <w:pStyle w:val="Heading2"/>
      </w:pPr>
      <w:r>
        <w:t>Вопрос второй. Закрепощение</w:t>
      </w:r>
    </w:p>
    <w:p>
      <w:pPr>
        <w:pStyle w:val="Слайд"/>
      </w:pPr>
      <w:r>
        <w:t>[слайд 9 — Вопрос второй]</w:t>
      </w:r>
    </w:p>
    <w:p>
      <w:pPr>
        <w:pStyle w:val="BodyText"/>
      </w:pPr>
      <w:r>
        <w:t>Второй вопрос описывает последовательность правовых мер, через которые крестьянин утратил возможность менять владельца. Здесь же рассматривается спор, который ведётся в науке почти два столетия.</w:t>
      </w:r>
    </w:p>
    <w:p>
      <w:pPr>
        <w:pStyle w:val="BodyText"/>
      </w:pPr>
      <w:r>
        <w:t>Термин «закрепощение» используется в литературе для обозначения процесса, растянувшегося более чем на полтора столетия, от Судебника 1497 года до Соборного уложения 1649 года. Рубеж XVI–XVII веков занимает в нём центральное место: именно тогда временные меры начинают превращаться в постоянный порядок.</w:t>
      </w:r>
    </w:p>
    <w:p>
      <w:pPr>
        <w:pStyle w:val="Слайд"/>
      </w:pPr>
      <w:r>
        <w:t>[слайд 10 — Шаги закрепощения]</w:t>
      </w:r>
    </w:p>
    <w:p>
      <w:pPr>
        <w:pStyle w:val="BodyText"/>
      </w:pPr>
      <w:r>
        <w:t>Юрьев день осенний, 26 ноября, был выбран как срок, когда полевые работы закончены, урожай собран и подати уплачены. Неделя до и после этого дня давала крестьянину возможность расчёта с владельцем. Поговорка «вот тебе, бабушка, и Юрьев день» сохранила память об утрате этого права в народном языке.</w:t>
      </w:r>
    </w:p>
    <w:p>
      <w:pPr>
        <w:pStyle w:val="BodyText"/>
      </w:pPr>
      <w:r>
        <w:t>Указ 1597 года о сыске беглых, датируемый 24 ноября, устанавливал, что крестьяне, бежавшие в течение пяти лет до указа, подлежат возврату, а бежавшие раньше остаются у новых владельцев. Отсюда исследователи выводят, что какой-то запрет действовал уже около 1592 года, иначе непонятно, почему отсчёт ведётся именно с этого рубежа. Указ о кабальных холопах был издан в том же 1597 году и запрещал холопу освобождаться выплатой долга; кабала прекращалась лишь со смертью господина.</w:t>
      </w:r>
    </w:p>
    <w:p>
      <w:pPr>
        <w:pStyle w:val="BodyText"/>
      </w:pPr>
      <w:r>
        <w:t>Параллель с Восточной Европой здесь прямая. В Польше Торуньский статут 1520 года установил обязательную барщину в один день в неделю, а в последующие десятилетия её размер постоянно рос. Сходные процессы шли в Бранденбурге, Чехии и Венгрии. Историки связывают «второе издание крепостничества», по выражению Ф. Энгельса, с ростом хлебного экспорта на Запад. В России механизм иной: зерно почти не вывозилось, и закрепощение было связано прежде всего с потребностями поместного войска.</w:t>
      </w:r>
    </w:p>
    <w:p>
      <w:pPr>
        <w:pStyle w:val="BodyText"/>
      </w:pPr>
      <w:r>
        <w:t>Срок сыска беглых в XVII веке несколько раз менялся. По Уложению 1607 года он был увеличен до пятнадцати лет, в 1637 году установлен в девять лет, в 1641 году — в десять лет для беглых и пятнадцать для вывезенных. Каждое увеличение было ответом на челобитные служилых людей, требовавших отмены «урочных лет». Соборное уложение 1649 года удовлетворило это требование, сделав сыск бессрочным.</w:t>
      </w:r>
    </w:p>
    <w:p>
      <w:pPr>
        <w:pStyle w:val="Слайд"/>
      </w:pPr>
      <w:r>
        <w:t>[слайд 11 — Спорят историки]</w:t>
      </w:r>
    </w:p>
    <w:p>
      <w:pPr>
        <w:pStyle w:val="BodyText"/>
      </w:pPr>
      <w:r>
        <w:t>Указная теория восходит к В. Н. Татищеву, который в комментарии к Судебнику сообщил об указе 1592 года, запретившем переход. Н. М. Карамзин и С. М. Соловьёв приняли эту версию. В её пользу приводится Уложение 9 марта 1607 года, в котором говорится, что царь Фёдор Иванович по наговору Бориса Годунова, не слушая совета старейших бояр, запретил крестьянам выход. Однако сам текст Уложения 1607 года известен по публикации Татищева, и его подлинность в некоторых частях вызывает сомнения.</w:t>
      </w:r>
    </w:p>
    <w:p>
      <w:pPr>
        <w:pStyle w:val="BodyText"/>
      </w:pPr>
      <w:r>
        <w:t>Безуказную теорию в 1858 году сформулировал М. П. Погодин в статье «Должно ли считать Бориса Годунова основателем крепостного права?». Его поддержал В. О. Ключевский, связывавший прикрепление с задолженностью: крестьянин, взявший ссуду у владельца и не способный вернуть её, фактически не мог уйти. Закон, по Ключевскому, лишь закрепил то, что уже сложилось в практике.</w:t>
      </w:r>
    </w:p>
    <w:p>
      <w:pPr>
        <w:pStyle w:val="BodyText"/>
      </w:pPr>
      <w:r>
        <w:t>Новый поворот спору дали архивные находки В. И. Корецкого в 1950–1960-х годах. Он обнаружил документы, где упоминаются заповедные лета, и на их основе изложил свою позицию в монографии 1970 года: общий указ около 1592–1593 года существовал и был связан с завершением писцового описания. Р. Г. Скрынников предлагал иное объяснение — серию заповедных лет, объявлявшихся из года в год. Спор не решён, и, вероятно, без новых находок решён быть не может.</w:t>
      </w:r>
    </w:p>
    <w:p>
      <w:pPr>
        <w:pStyle w:val="BodyText"/>
      </w:pPr>
      <w:r>
        <w:t>Спор хорошо иллюстрирует общее правило работы с источниками, о котором говорилось в начале курса: отсутствие документа ещё не доказывает отсутствия события; столь же мало доказывает существование документа ссылка на него, сделанная через полвека заинтересованной стороной. Указная теория опирается на поздние ссылки, безуказная — на молчание сохранившихся актов, и обе позиции вынуждены восполнять пробел в источниках рассуждением.</w:t>
      </w:r>
    </w:p>
    <w:p>
      <w:pPr>
        <w:pStyle w:val="Слайд"/>
      </w:pPr>
      <w:r>
        <w:t>[слайд 12 — Мостик к профилю]</w:t>
      </w:r>
    </w:p>
    <w:p>
      <w:pPr>
        <w:pStyle w:val="BodyText"/>
      </w:pPr>
      <w:r>
        <w:t>Слово «крестьянин» первоначально противопоставляло христианина иноверцу. Значение «сельский житель» становится преобладающим в XIV–XV веках, когда основную массу православного населения составляли земледельцы. В других славянских языках этот путь пройден не был: польское chrześcijanin и чешское křesťan сохранили только религиозное значение, а для крестьянина там существуют иные слова, в том числе польское chłop.</w:t>
      </w:r>
    </w:p>
    <w:p>
      <w:pPr>
        <w:pStyle w:val="BodyText"/>
      </w:pPr>
      <w:r>
        <w:t>Здесь возникает показательное расхождение. Польское chłop и русское «холоп» восходят к одному корню, однако в польском слово обозначает свободного крестьянина, а в русском — несвободного человека. Этимология слова остаётся предметом обсуждения, и М. Фасмер в «Этимологическом словаре русского языка» приводит несколько версий. Самоуничижительная формула «холоп твой» в челобитной сохранялась до XVIII века, и рядом с ней существовали уменьшительные формы имён: челобитчик подписывался «Ивашко», «Федька», даже если был боярином.</w:t>
      </w:r>
    </w:p>
    <w:p>
      <w:pPr>
        <w:pStyle w:val="BodyText"/>
      </w:pPr>
      <w:r>
        <w:t>«Кабала» восходит к арабскому qabāla — «поручительство, договор, квитанция», и в русский язык слово пришло через тюркское посредство. В документах XVI века «кабала» обозначает долговую расписку, «служилая кабала» — договор займа, по которому должник отрабатывал проценты службой в доме кредитора. Позднее, уже в общем языке, слово стало обозначать неволю вообще, и в этом значении оно утратило связь с конкретным правовым документом.</w:t>
      </w:r>
    </w:p>
    <w:p>
      <w:pPr>
        <w:pStyle w:val="BodyText"/>
      </w:pPr>
      <w:r>
        <w:t>Название самого срока перехода тоже имеет историю. «Юрьев день» — день памяти святого Георгия, имя которого в русской традиции существовало в формах Георгий, Юрий и Егорий. В народном календаре различались «Егорий вешний» 23 апреля, когда впервые выгоняли скот на пастбище, и «Егорий осенний» 26 ноября, завершавший хозяйственный год. Расхождение форм одного имени — книжной, княжеской и простонародной — само по себе показывает, как церковнославянское слово осваивалось разными слоями общества.</w:t>
      </w:r>
    </w:p>
    <w:p>
      <w:pPr>
        <w:pStyle w:val="Слайд"/>
      </w:pPr>
      <w:r>
        <w:t>[слайд 13 — Итог вопросов 1–2]</w:t>
      </w:r>
    </w:p>
    <w:p>
      <w:pPr>
        <w:pStyle w:val="BodyText"/>
      </w:pPr>
      <w:r>
        <w:t>Три положения итога образуют причинную цепь, и важно видеть её направление. Закрепощение выросло из конфликта интересов внутри землевладельческого сословия: крупный вотчинник выигрывал от свободы перехода, мелкий помещик проигрывал. Государство встало на сторону мелкого помещика, поскольку именно он составлял основу войска. Крестьянин в этом конфликте был предметом спора, а его интересы учитывались меньше всего.</w:t>
      </w:r>
    </w:p>
    <w:p>
      <w:pPr>
        <w:pStyle w:val="BodyText"/>
      </w:pPr>
      <w:r>
        <w:t>Сравнение с Западной Европой показывает, что сходная хозяйственная катастрофа могла вести к противоположному результату. После эпидемии чумы середины XIV века нехватка рабочих рук в Англии и Франции привела, несмотря на попытки властей удержать прежние повинности, к ослаблению личной зависимости крестьян. В России XVI века нехватка рабочих рук вызвала обратное движение. Решающим оказалось то, кто и с помощью каких средств мог навязать свою волю: в Московском государстве такую возможность имела власть, опиравшаяся на служилое сословие.</w:t>
      </w:r>
    </w:p>
    <w:p>
      <w:pPr>
        <w:pStyle w:val="Heading2"/>
      </w:pPr>
      <w:r>
        <w:t>Вопрос третий. Двор после Ивана IV</w:t>
      </w:r>
    </w:p>
    <w:p>
      <w:pPr>
        <w:pStyle w:val="Слайд"/>
      </w:pPr>
      <w:r>
        <w:t>[слайд 14 — Вопрос третий]</w:t>
      </w:r>
    </w:p>
    <w:p>
      <w:pPr>
        <w:pStyle w:val="BodyText"/>
      </w:pPr>
      <w:r>
        <w:t>Третий вопрос обращается к политической жизни двора при Фёдоре Ивановиче. Расстановка сил в эти годы объясняет и избрание 1598 года, и многое в событиях Смуты.</w:t>
      </w:r>
    </w:p>
    <w:p>
      <w:pPr>
        <w:pStyle w:val="BodyText"/>
      </w:pPr>
      <w:r>
        <w:t>Специфика двора Фёдора Ивановича заключалась в том, что политика вершилась вокруг государя, который сам в ней почти не участвовал. Решения принимались от его имени, и борьба шла за то, кто будет говорить от лица царя.</w:t>
      </w:r>
    </w:p>
    <w:p>
      <w:pPr>
        <w:pStyle w:val="Слайд"/>
      </w:pPr>
      <w:r>
        <w:t>[слайд 15 — Фёдор Иванович]</w:t>
      </w:r>
    </w:p>
    <w:p>
      <w:pPr>
        <w:pStyle w:val="BodyText"/>
      </w:pPr>
      <w:r>
        <w:t>Фёдор Иванович родился в 1557 году и к моменту смерти отца уже несколько лет был женат на Ирине Годуновой. Венчание на царство состоялось 31 мая 1584 года. Флетчер описывал царя как человека малого роста, с неуверенной походкой и постоянной улыбкой, а другие современники упоминали его пристрастие к колокольному звону. Русские источники рисуют праведника, чья молитва хранит страну; в агиографической традиции Фёдор стал почитаться как святой.</w:t>
      </w:r>
    </w:p>
    <w:p>
      <w:pPr>
        <w:pStyle w:val="BodyText"/>
      </w:pPr>
      <w:r>
        <w:t>Положение Годунова было закреплено необычным титулом, который в дипломатических документах звучал как «шурин государев, правитель, слуга и конюший боярин, дворовый воевода и наместник царств Казанского и Астраханского». Английские и имперские дипломаты обращались к Годунову напрямую, и в переписке с Елизаветой I он фигурирует как «лорд-протектор». Это выражение точно передаёт его роль: правление от имени неспособного государя знакомо Англии по регентству при Эдуарде VI.</w:t>
      </w:r>
    </w:p>
    <w:p>
      <w:pPr>
        <w:pStyle w:val="BodyText"/>
      </w:pPr>
      <w:r>
        <w:t>Образ царя Фёдора получил в русской культуре особую жизнь благодаря трагедии А. К. Толстого «Царь Фёдор Иоаннович» (1868). Постановка пьесы в 1898 году открыла Московский Художественный театр, и роль Фёдора, сыгранная И. М. Москвиным, стала событием в истории русской сцены.</w:t>
      </w:r>
    </w:p>
    <w:p>
      <w:pPr>
        <w:pStyle w:val="BodyText"/>
      </w:pPr>
      <w:r>
        <w:t>Царь много времени проводил в богомольных поездках по монастырям, и в источниках это его занятие подчёркивается как главное. Современная историография осторожна в характеристиках: А. П. Павлов на основе анализа состава двора показал, что и при Годунове в Боярской думе сохранялось равновесие знатных родов, и власть правителя не была безграничной.</w:t>
      </w:r>
    </w:p>
    <w:p>
      <w:pPr>
        <w:pStyle w:val="Слайд"/>
      </w:pPr>
      <w:r>
        <w:t>[слайд 16 — Борьба при дворе]</w:t>
      </w:r>
    </w:p>
    <w:p>
      <w:pPr>
        <w:pStyle w:val="BodyText"/>
      </w:pPr>
      <w:r>
        <w:t>Первый кризис наступил уже в 1584 году: Богдан Бельский, ближайший к покойному царю человек, был обвинён в намерении захватить власть, и восставшие москвичи потребовали его удаления. Бельского отправили воеводой в Нижний Новгород. В 1586 году Никита Романович Юрьев, дядя царя и глава опекунов, умер, и с ним ушла фигура, примирявшая соперников.</w:t>
      </w:r>
    </w:p>
    <w:p>
      <w:pPr>
        <w:pStyle w:val="BodyText"/>
      </w:pPr>
      <w:r>
        <w:t>Выступление Шуйских 1586–1587 годов имело замысел, наглядно показывающий цену бездетности царицы. Шуйские вместе с митрополитом Дионисием и частью московского посада подали челобитную о разводе царя с Ириной Годуновой и о новом браке «для чадородия». Попытка провалилась: Дионисий был низложен, а князь Иван Петрович Шуйский, прославленный оборонитель Пскова, сослан на Белоозеро и в 1588 году погиб там, по слухам задушенный. Падение Шуйских показывает, что в 1580-х годах даже героические заслуги не защищали от опалы при столкновении с правителем.</w:t>
      </w:r>
    </w:p>
    <w:p>
      <w:pPr>
        <w:pStyle w:val="BodyText"/>
      </w:pPr>
      <w:r>
        <w:t>Происхождение Годуновых окружено легендой, имеющей отношение и к последующей истории династии. Родословие возводило их, как и Сабуровых, к татарскому мурзе Чету, будто бы выехавшему из Орды в XIV веке, крестившемуся и основавшему Ипатьевский монастырь под Костромой. Исследователи считают эту легенду поздним сочинением, созданным для удревнения рода. Любопытно, что именно в Ипатьевском монастыре, усыпальнице Годуновых, в 1613 году посольство земского собора найдёт избранного царя Михаила Романова.</w:t>
      </w:r>
    </w:p>
    <w:p>
      <w:pPr>
        <w:pStyle w:val="Слайд"/>
      </w:pPr>
      <w:r>
        <w:t>[слайд 17 — Углич 1591]</w:t>
      </w:r>
    </w:p>
    <w:p>
      <w:pPr>
        <w:pStyle w:val="BodyText"/>
      </w:pPr>
      <w:r>
        <w:t>Царевич Дмитрий родился в октябре 1582 года и после смерти отца вместе с матерью Марией Нагой и её родственниками был отправлен в Углич. Удел был невелик, и над ним стоял присланный из Москвы дьяк Михаил Битяговский, ведавший хозяйством и державший Нагих под надзором. После гибели царевича именно Битяговский, его сын и несколько других людей были убиты толпой, поднятой набатом.</w:t>
      </w:r>
    </w:p>
    <w:p>
      <w:pPr>
        <w:pStyle w:val="BodyText"/>
      </w:pPr>
      <w:r>
        <w:t>Дальнейшая судьба угличан показывает отношение Москвы к случившемуся. Около двухсот жителей были казнены или наказаны, многих сослали в Сибирь, где они основали поселение в Пелыме. В ссылку отправили и колокол, бивший набат: по преданию, ему вырвали язык, наказали плетьми и отправили в Тобольск. В 1892 году колокол был возвращён в Углич, где хранится и сейчас. Сюжет связан с регионом: путь угличских ссыльных пролегал через Урал, по только что освоенным дорогам в Сибирь.</w:t>
      </w:r>
    </w:p>
    <w:p>
      <w:pPr>
        <w:pStyle w:val="BodyText"/>
      </w:pPr>
      <w:r>
        <w:t>Удел, данный Дмитрию, формально продолжал традицию выделения младшим сыновьям собственных владений. На практике Углич был местом почётной ссылки. Нагие, родственники царицы, оставались в нём под надзором и с ограниченными средствами, а в Москве при этом вопрос о праве Дмитрия на престол не обсуждался открыто. Известно, что поминание царевича на литургии было запрещено, поскольку брак его матери с царём церковь не признавала законным, — так, по крайней мере, сообщает Флетчер.</w:t>
      </w:r>
    </w:p>
    <w:p>
      <w:pPr>
        <w:pStyle w:val="Слайд"/>
      </w:pPr>
      <w:r>
        <w:t>[слайд 18 — Источник крупным планом]</w:t>
      </w:r>
    </w:p>
    <w:p>
      <w:pPr>
        <w:pStyle w:val="BodyText"/>
      </w:pPr>
      <w:r>
        <w:t>Подлинник следственного дела хранится в Российском государственном архиве древних актов. В 1913 году историк В. К. Клейн издал его фототипически, то есть с воспроизведением самих листов, и обнаружил, что в деле нарушен порядок листов, часть показаний отсутствует, а начало утрачено. Эти особенности одни исследователи объясняют небрежным хранением, другие — сознательной правкой.</w:t>
      </w:r>
    </w:p>
    <w:p>
      <w:pPr>
        <w:pStyle w:val="BodyText"/>
      </w:pPr>
      <w:r>
        <w:t>Комиссия, помимо Шуйского, включала окольничего Андрея Клешнина, дьяка Елизария Вылузгина и митрополита Крутицкого Геласия. Клешнин был близок к Годунову, что сторонники версии убийства считают свидетельством предвзятости. Показания мальчиков, игравших с царевичем «в тычку» ножом, и кормилицы описывают припадок, во время которого Дмитрий упал на нож. Мать и её братья настаивали на убийстве, хотя сами, по их собственным показаниям, свидетелями момента гибели не были.</w:t>
      </w:r>
    </w:p>
    <w:p>
      <w:pPr>
        <w:pStyle w:val="BodyText"/>
      </w:pPr>
      <w:r>
        <w:t>Мнения историков разделились с самого начала. Н. М. Карамзин и С. М. Соловьёв считали виновным Годунова; М. П. Погодин, С. Ф. Платонов, а позднее Р. Г. Скрынников склонялись к версии несчастного случая. Медицинские аргументы, связанные с эпилепсией, разбирались в литературе неоднократно: при большом приступе человек может упасть на зажатый в руке предмет, хотя ранение именно в горло вызывает споры. Последующие изменения в позиции Шуйского — в 1605 году он, по ряду известий, признал самозванца спасшимся царевичем, а в 1606-м объявил о его убийстве по приказу Годунова и добился канонизации Дмитрия — делают его поздние высказывания малопригодными для решения вопроса.</w:t>
      </w:r>
    </w:p>
    <w:p>
      <w:pPr>
        <w:pStyle w:val="BodyText"/>
      </w:pPr>
      <w:r>
        <w:t>Существенно и то, чего в деле нет. Отсутствует подробное описание раны, нет показаний самой царицы о том, что она видела, неясно, кто первым позвал к набату. Пропуски такого рода не обязательно означают подделку: розыск XVI века не знал медицинской экспертизы, и главной целью комиссии было найти виновных в самосуде; подробности самого происшествия интересовали её во вторую очередь. Однако для исследователя пропуск есть такой же факт, как и запись, и требует объяснения.</w:t>
      </w:r>
    </w:p>
    <w:p>
      <w:pPr>
        <w:pStyle w:val="Heading2"/>
      </w:pPr>
      <w:r>
        <w:t>Вопрос четвёртый. Правление Бориса Годунова</w:t>
      </w:r>
    </w:p>
    <w:p>
      <w:pPr>
        <w:pStyle w:val="Слайд"/>
      </w:pPr>
      <w:r>
        <w:t>[слайд 19 — Вопрос четвёртый]</w:t>
      </w:r>
    </w:p>
    <w:p>
      <w:pPr>
        <w:pStyle w:val="BodyText"/>
      </w:pPr>
      <w:r>
        <w:t>Четвёртый вопрос посвящён тому, что сделало правительство Годунова за четырнадцать лет фактического правления. Эти годы нередко оцениваются через призму последующей катастрофы, однако их собственные результаты существенны.</w:t>
      </w:r>
    </w:p>
    <w:p>
      <w:pPr>
        <w:pStyle w:val="BodyText"/>
      </w:pPr>
      <w:r>
        <w:t>Оценка этих лет зависит от того, отделяет ли историк деятельность правителя от личности избранного царя. В. О. Ключевский писал о Годунове как об одном из самых способных правителей своего времени, которого погубила неразборчивость в средствах. Р. Г. Скрынников, автор биографии «Борис Годунов» (1978), показывал его прежде всего как осторожного политика, избегавшего войн и стремившегося к восстановлению хозяйства.</w:t>
      </w:r>
    </w:p>
    <w:p>
      <w:pPr>
        <w:pStyle w:val="BodyText"/>
      </w:pPr>
      <w:r>
        <w:t>Отличительной чертой правления была ставка на строительство и дипломатию вместо войны. Правительство, получившее страну разорённой, избегало крупных кампаний, а там, где воевать всё же приходилось, как в 1590 году против Швеции, стремилось быстро закрепить результат перемирием. Такая политика соответствовала ресурсам страны и, по мнению большинства исследователей, позволила центральным уездам частично восстановиться к концу 1590-х годов.</w:t>
      </w:r>
    </w:p>
    <w:p>
      <w:pPr>
        <w:pStyle w:val="Слайд"/>
      </w:pPr>
      <w:r>
        <w:t>[слайд 20 — Патриаршество]</w:t>
      </w:r>
    </w:p>
    <w:p>
      <w:pPr>
        <w:pStyle w:val="BodyText"/>
      </w:pPr>
      <w:r>
        <w:t>Патриарх Иеремия II приехал в Москву в июле 1588 года с намерением собрать милостыню для своей кафедры, сильно пострадавшей под властью Османов. Первоначально ему предложили самому остаться в России и возглавить Русскую церковь с местопребыванием во Владимире. Иеремия отказался, и в январе 1589 года был поставлен Иов. Уложенная грамота 1589 года содержит формулу о Москве как Третьем Риме, впервые включённую в официальный церковный документ.</w:t>
      </w:r>
    </w:p>
    <w:p>
      <w:pPr>
        <w:pStyle w:val="BodyText"/>
      </w:pPr>
      <w:r>
        <w:t>Время учреждения патриаршества выбрано не случайно. В эти же годы в Речи Посполитой готовилась Брестская уния, заключённая в 1596 году: часть православных епископов признала власть папы при сохранении восточного обряда. Москва получила патриарха как раз тогда, когда в Киевской митрополии происходил раскол, и тем самым становилась главным центром православия, независимым от католических государей и от власти султана.</w:t>
      </w:r>
    </w:p>
    <w:p>
      <w:pPr>
        <w:pStyle w:val="BodyText"/>
      </w:pPr>
      <w:r>
        <w:t>Пятое место в ряду патриархов — после Константинополя, Александрии, Антиохии и Иерусалима — было компромиссом. В Москве рассчитывали на третье место, сразу после Константинополя и Александрии, однако восточные иерархи сохранили древний порядок кафедр.</w:t>
      </w:r>
    </w:p>
    <w:p>
      <w:pPr>
        <w:pStyle w:val="BodyText"/>
      </w:pPr>
      <w:r>
        <w:t>Иов был выходцем из посадской семьи города Старицы и начал службу монахом Старицкого Успенского монастыря. Он был обязан своим выдвижением Годунову и до конца оставался его сторонником. В 1605 году Лжедмитрий I низложил Иова и отправил его в Старицу, где патриарх, ослепший к тому времени, умер в 1607 году.</w:t>
      </w:r>
    </w:p>
    <w:p>
      <w:pPr>
        <w:pStyle w:val="Слайд"/>
      </w:pPr>
      <w:r>
        <w:t>[слайд 21 — Внешняя политика]</w:t>
      </w:r>
    </w:p>
    <w:p>
      <w:pPr>
        <w:pStyle w:val="BodyText"/>
      </w:pPr>
      <w:r>
        <w:t>Война со Швецией 1590–1595 годов началась с похода, в котором участвовал сам царь Фёдор. По перемирию 1590 года Москве вернули Ивангород, Ям и Копорье, а Тявзинский мир 1595 года подтвердил эти возвращения и добавил Корелу. Нарву взять не удалось, и выход к морю ограничивался устьем Невы и небольшим участком побережья.</w:t>
      </w:r>
    </w:p>
    <w:p>
      <w:pPr>
        <w:pStyle w:val="BodyText"/>
      </w:pPr>
      <w:r>
        <w:t>Набег Казы-Гирея в июле 1591 года был последним в истории случаем, когда крымское войско подошло к самой Москве. Обороной руководили князь Фёдор Мстиславский и Годунов. Крымцы простояли у города один день и ночью отступили, бросив обоз. На месте гуляй-города, где находилась походная церковь с иконой Донской Божией Матери, был основан Донской монастырь. Годунов получил за эту победу титул «слуги», который в иерархии чинов того времени ставился выше боярского.</w:t>
      </w:r>
    </w:p>
    <w:p>
      <w:pPr>
        <w:pStyle w:val="BodyText"/>
      </w:pPr>
      <w:r>
        <w:t>Годунов вёл активную политику и на Кавказе. В 1587 году кахетинский царь Александр II принял покровительство Москвы, и русское правительство пыталось закрепиться на Северном Кавказе. Поход 1594 года на шамхала Тарковского в Дагестане окончился тяжёлым поражением. Тогда же в 1595 году Москва отправила императору Рудольфу II, воевавшему с турками, крупную партию соболей и других мехов в качестве субсидии: пушнина служила дипломатической валютой, заменяя недостающее серебро.</w:t>
      </w:r>
    </w:p>
    <w:p>
      <w:pPr>
        <w:pStyle w:val="BodyText"/>
      </w:pPr>
      <w:r>
        <w:t>Мирная передышка на западе позволила Москве вести и торговую политику. Английская Московская компания сохранила льготы, однако с 1580-х годов к Архангельску всё чаще приходили голландские корабли, и к началу XVII века голландцы потеснили англичан на северном пути. Правительство Годунова поощряло эту конкуренцию: наличие нескольких торговых партнёров снижало зависимость от одного из них.</w:t>
      </w:r>
    </w:p>
    <w:p>
      <w:pPr>
        <w:pStyle w:val="Слайд"/>
      </w:pPr>
      <w:r>
        <w:t>[слайд 22 — Городовое строительство]</w:t>
      </w:r>
    </w:p>
    <w:p>
      <w:pPr>
        <w:pStyle w:val="BodyText"/>
      </w:pPr>
      <w:r>
        <w:t>Смоленская крепостная стена имела протяжённость около шести с половиной километров и тридцать восемь башен; на её строительство свозили камень, известь и кирпич со всей страны, а работы шли под надзором самого Годунова. Борис называл её «ожерельем всей Руси православной». Из 38 башен до наших дней сохранились восемнадцать, и стена остаётся одним из крупнейших памятников оборонного зодчества Восточной Европы.</w:t>
      </w:r>
    </w:p>
    <w:p>
      <w:pPr>
        <w:pStyle w:val="BodyText"/>
      </w:pPr>
      <w:r>
        <w:t>Южные города ставились на возвышенных местах у переправ через реки, по которым шли татарские дороги — Муравский, Изюмский и Кальмиусский шляхи. Воронеж был основан в 1586 году, Ливны — в том же году, Елец восстановлен в 1592 году, Белгород и Оскол поставлены в 1596 году, Царёв-Борисов — около 1599 года. Эти города стали центрами сторожевой и станичной службы, предшественницы Белгородской черты XVII века.</w:t>
      </w:r>
    </w:p>
    <w:p>
      <w:pPr>
        <w:pStyle w:val="BodyText"/>
      </w:pPr>
      <w:r>
        <w:t>Наряду с южными крепостями строились города в Сибири: Тюмень в 1586 году, Тобольск в 1587 году, затем Пелым, Березов, Сургут, Тара, Нарым. Сибирские остроги ставились по рекам и выполняли функцию сбора ясака, прежде всего пушниной, что быстро сделало сибирскую казну одним из заметных источников государственного дохода.</w:t>
      </w:r>
    </w:p>
    <w:p>
      <w:pPr>
        <w:pStyle w:val="BodyText"/>
      </w:pPr>
      <w:r>
        <w:t>Деревянный Скородом длиной около пятнадцати километров был построен в 1591–1592 годах, сразу после набега Казы-Гирея; название указывает на быстроту возведения. Каменная стена Белого города, выстроенная в 1585–1591 годах, проходила по линии нынешнего Бульварного кольца, а Скородом — по линии Садового кольца. Современная планировка Москвы, таким образом, сохраняет очертания оборонительных поясов, созданных при Годунове.</w:t>
      </w:r>
    </w:p>
    <w:p>
      <w:pPr>
        <w:pStyle w:val="BodyText"/>
      </w:pPr>
      <w:r>
        <w:t>На восточном направлении в 1586 году воевода Иван Нагой поставил Уфимский город — опорный пункт для управления башкирскими землями и сбора ясака. С этого времени русская администрация закрепляется в Южном Приуралье, хотя до освоения степей нынешней Челябинской области пройдёт ещё полтора столетия.</w:t>
      </w:r>
    </w:p>
    <w:p>
      <w:pPr>
        <w:pStyle w:val="Слайд"/>
      </w:pPr>
      <w:r>
        <w:t>[слайд 23 — Урал и Сибирь]</w:t>
      </w:r>
    </w:p>
    <w:p>
      <w:pPr>
        <w:pStyle w:val="BodyText"/>
      </w:pPr>
      <w:r>
        <w:t>Артемий Сафронович Бабинов был жителем Соли Камской, и в его распоряжение для работ выделили около пятидесяти человек из окрестных волостей. Протяжённость дороги составила около двухсот шестидесяти вёрст через хребет. За работу Бабинов получил освобождение от податей и землю у дороги, а также был назначен её «вожем», то есть ответственным за содержание и проводку обозов.</w:t>
      </w:r>
    </w:p>
    <w:p>
      <w:pPr>
        <w:pStyle w:val="BodyText"/>
      </w:pPr>
      <w:r>
        <w:t>Верхотурская таможня, учреждённая в 1600 году, стала главным пунктом контроля над пушной торговлей. Таможенная пошлина составляла десятую часть ценности товара — так называемая «десятина». Заставы на другие дороги через Урал запрещались, и купцы, пойманные на «объездных» путях, лишались товара. Бабиновская дорога сохраняла значение вплоть до 1763 года, когда главный путь в Сибирь перешёл на Сибирский тракт, проходивший через Екатеринбург.</w:t>
      </w:r>
    </w:p>
    <w:p>
      <w:pPr>
        <w:pStyle w:val="BodyText"/>
      </w:pPr>
      <w:r>
        <w:t>Сопоставление с другими регионами показывает, что приём одного разрешённого прохода был хорошо известен в Европе. Зундская пошлина, которую Дания взимала с каждого корабля, проходившего проливом между Северным и Балтийским морями, приносила датской казне значительную часть доходов с XV по XIX век. Природа местности давала датскому королю естественное «горлышко», а в Сибири его пришлось создавать строительством.</w:t>
      </w:r>
    </w:p>
    <w:p>
      <w:pPr>
        <w:pStyle w:val="BodyText"/>
      </w:pPr>
      <w:r>
        <w:t>Верхотурье находится на территории нынешней Свердловской области, и с конца XVI века оно на столетие с лишним стало воротами Сибири. Через верхотурскую таможню проходили купцы, служилые люди, ссыльные, переселенцы. В XVII веке в городе был построен каменный кремль, а Верхотурский Николаевский монастырь, где хранились мощи праведного Симеона Верхотурского, стал крупнейшим паломническим центром Урала.</w:t>
      </w:r>
    </w:p>
    <w:p>
      <w:pPr>
        <w:pStyle w:val="Heading2"/>
      </w:pPr>
      <w:r>
        <w:t>Вопрос пятый. 1598 год</w:t>
      </w:r>
    </w:p>
    <w:p>
      <w:pPr>
        <w:pStyle w:val="Слайд"/>
      </w:pPr>
      <w:r>
        <w:t>[слайд 24 — Вопрос пятый]</w:t>
      </w:r>
    </w:p>
    <w:p>
      <w:pPr>
        <w:pStyle w:val="BodyText"/>
      </w:pPr>
      <w:r>
        <w:t>Пятый вопрос рассматривает избрание Бориса Годунова как правовое событие. Значение его выходит за пределы биографии Годунова: впервые со времён возникновения Московского государства сам принцип занятия престола оказался в руках подданных.</w:t>
      </w:r>
    </w:p>
    <w:p>
      <w:pPr>
        <w:pStyle w:val="BodyText"/>
      </w:pPr>
      <w:r>
        <w:t>Династия, правившая Москвой, вела происхождение от Рюрика и в непрерывной линии от Даниила Александровича, младшего сына Александра Невского. Её пресечение поставило перед подданными вопрос, ответа на который не знало ни право, ни обычай: кто вправе выбирать государя и что делает выбор законным.</w:t>
      </w:r>
    </w:p>
    <w:p>
      <w:pPr>
        <w:pStyle w:val="Слайд"/>
      </w:pPr>
      <w:r>
        <w:t>[слайд 25 — Избрание Бориса]</w:t>
      </w:r>
    </w:p>
    <w:p>
      <w:pPr>
        <w:pStyle w:val="BodyText"/>
      </w:pPr>
      <w:r>
        <w:t>Фёдор Иванович умер 7 января 1598 года. По некоторым известиям, умирающий царь на вопрос о преемнике ответил, что всё в воле Бога и царицы. Ирина приняла присягу от подданных как правящая государыня и лишь затем удалилась в Новодевичий монастырь, где приняла постриг под именем Александры. Короткий период, когда присяга приносилась царице, иногда рассматривают как первый случай правления женщины на московском престоле.</w:t>
      </w:r>
    </w:p>
    <w:p>
      <w:pPr>
        <w:pStyle w:val="BodyText"/>
      </w:pPr>
      <w:r>
        <w:t>Годунов отказывался от престола несколько недель. 20–21 февраля к Новодевичьему монастырю был организован крестный ход, и на мольбы духовенства и народа он ответил согласием. Сама процедура повторяет известную в византийской и средневековой традиции схему «отказа» достойного правителя от власти, которая подчёркивала, что власть приходит к нему помимо его желания. Венчание на царство состоялось 1 сентября 1598 года, в день русского новолетия.</w:t>
      </w:r>
    </w:p>
    <w:p>
      <w:pPr>
        <w:pStyle w:val="BodyText"/>
      </w:pPr>
      <w:r>
        <w:t>Европейский фон позволяет оценить новизну. В Речи Посполитой после смерти Сигизмунда II Августа в 1572 году действовала свободная элекция: королей выбирала шляхта, а каждый избранный король подписывал «Генриковы артикулы» и pacta conventa — условия, на которых он принимал власть. Москва знала этот пример: в 1570-х годах и Иван IV, и позднее Фёдор Иванович рассматривались как кандидаты на польский престол. Однако избрание Годунова не сопровождалось никакими письменными условиями, ограничивающими власть.</w:t>
      </w:r>
    </w:p>
    <w:p>
      <w:pPr>
        <w:pStyle w:val="BodyText"/>
      </w:pPr>
      <w:r>
        <w:t>Вероятными соперниками Годунова считались Фёдор Никитич Романов, двоюродный брат покойного царя, князь Фёдор Мстиславский и Богдан Бельский. Источники, написанные при Романовых, сообщают, что Фёдор Иванович перед смертью будто бы передал скипетр Фёдору Никитичу. Это известие появилось уже после 1613 года, и большинство исследователей видит в нём позднейшую легитимацию новой династии.</w:t>
      </w:r>
    </w:p>
    <w:p>
      <w:pPr>
        <w:pStyle w:val="Слайд"/>
      </w:pPr>
      <w:r>
        <w:t>[слайд 26 — Как обосновывали избрание]</w:t>
      </w:r>
    </w:p>
    <w:p>
      <w:pPr>
        <w:pStyle w:val="BodyText"/>
      </w:pPr>
      <w:r>
        <w:t>Утверждённая грамота сохранилась в двух экземплярах и содержит несколько сотен подписей и печатей. Исследователи установили, что текст грамоты составлялся и подписывался, по-видимому, уже после избрания, летом 1598 года, причём часть участников, указанных в перечне, на соборе не присутствовала. Это обстоятельство дало ряду историков основание видеть в соборе 1598 года заранее подготовленное действо. Другие исследователи замечают, что составление итогового документа после события было обычной практикой.</w:t>
      </w:r>
    </w:p>
    <w:p>
      <w:pPr>
        <w:pStyle w:val="BodyText"/>
      </w:pPr>
      <w:r>
        <w:t>Мотив заслуг в грамоте имеет особое значение. Ссылка на сделанное правителем вводила в обоснование власти элемент оценки: государь, получивший престол за заслуги, может его и лишиться при утрате этих заслуг. Именно этот довод будет использован противниками Годунова в голодные годы, когда бедствия стали восприниматься как знак Божьего неблаговоления к царю, не имеющему законного права на престол.</w:t>
      </w:r>
    </w:p>
    <w:p>
      <w:pPr>
        <w:pStyle w:val="BodyText"/>
      </w:pPr>
      <w:r>
        <w:t>Венчание Бориса на царство сопровождалось торжественной клятвой. По рассказу современников, новый царь, взявшись за ворот рубахи, обещал, что в его царстве не будет ни бедных, ни нищих, и что он разделит со всеми и последнюю рубашку. Щедрые пожалования всем сословиям — единовременные выдачи служилым людям, податные льготы, освобождение заключённых — продолжали эту линию. Царь, правивший по избранию, был вынужден постоянно подтверждать своё право добрыми делами.</w:t>
      </w:r>
    </w:p>
    <w:p>
      <w:pPr>
        <w:pStyle w:val="Слайд"/>
      </w:pPr>
      <w:r>
        <w:t>[слайд 27 — Цена выбора]</w:t>
      </w:r>
    </w:p>
    <w:p>
      <w:pPr>
        <w:pStyle w:val="BodyText"/>
      </w:pPr>
      <w:r>
        <w:t>Таблица на слайде показывает, что оба столбца описывают последствия одних и тех же решений. Сохранение поместного войска потребовало закрепощения, и закрепощение породило массу беглых, которые составят армии самозванцев. Укрепление южной границы привлекло на окраину вольных людей, и именно с юга начнётся поход 1604 года. Избрание на основе заслуг сделало власть уязвимой при первых же неудачах.</w:t>
      </w:r>
    </w:p>
    <w:p>
      <w:pPr>
        <w:pStyle w:val="BodyText"/>
      </w:pPr>
      <w:r>
        <w:t>Такая взаимосвязь мер и их последствий хорошо знакома и по европейской истории. Испанская корона, удерживавшая Нидерланды силой, разорялась на этой войне и одновременно провоцировала её продолжение. Решение, успешное в одной плоскости, создавало проблему в другой, и в обоих случаях развязка наступила спустя десятилетия.</w:t>
      </w:r>
    </w:p>
    <w:p>
      <w:pPr>
        <w:pStyle w:val="BodyText"/>
      </w:pPr>
      <w:r>
        <w:t>Иностранные наблюдатели заметили эту уязвимость ещё до 1604 года. Флетчер в 1591 году писал, что при пресечении царского рода страну ждут великие потрясения, поскольку знать ожесточена против правителя, а народ задавлен податями. Прогноз англичанина оказался точным, хотя и опирался в большей мере на общее понимание устройства власти, чем на конкретные сведения.</w:t>
      </w:r>
    </w:p>
    <w:p>
      <w:pPr>
        <w:pStyle w:val="Heading2"/>
      </w:pPr>
      <w:r>
        <w:t>Заключение</w:t>
      </w:r>
    </w:p>
    <w:p>
      <w:pPr>
        <w:pStyle w:val="Слайд"/>
      </w:pPr>
      <w:r>
        <w:t>[слайд 28 — Основные выводы]</w:t>
      </w:r>
    </w:p>
    <w:p>
      <w:pPr>
        <w:pStyle w:val="BodyText"/>
      </w:pPr>
      <w:r>
        <w:t>Основные выводы темы описывают переход от кризиса к новому равновесию, которое оказалось временным. Закрепощение стабилизировало служилое сословие, правительственные меры укрепили границы и вернули часть балтийского побережья, избрание Годунова решило династический вопрос. Однако каждый из этих результатов содержал противоречие, которое проявилось через несколько лет, когда к ним добавилось стихийное бедствие.</w:t>
      </w:r>
    </w:p>
    <w:p>
      <w:pPr>
        <w:pStyle w:val="BodyText"/>
      </w:pPr>
      <w:r>
        <w:t>Рубеж XVI–XVII веков служит хорошим примером того, как важно различать причины и повод. Голод 1601–1603 годов и появление самозванца станут поводом к Смуте; её причины сложились в годы, рассмотренные в теме.</w:t>
      </w:r>
    </w:p>
    <w:p>
      <w:pPr>
        <w:pStyle w:val="BodyText"/>
      </w:pPr>
      <w:r>
        <w:t>С точки зрения сравнительной истории рубеж веков в России повторяет общий для Европы сюжет: государство, опираясь на служилое сословие, решает свои задачи за счёт крестьянства и одновременно оказывается уязвимым при смене династии. Во Франции кризис престолонаследия 1589 года сопровождался религиозными войнами, в России кризис 1598 года отложился на шесть лет и развернулся с ещё большей силой.</w:t>
      </w:r>
    </w:p>
    <w:p>
      <w:pPr>
        <w:pStyle w:val="Слайд"/>
      </w:pPr>
      <w:r>
        <w:t>[слайд 29 — Вопросы и задания]</w:t>
      </w:r>
    </w:p>
    <w:p>
      <w:pPr>
        <w:pStyle w:val="BodyText"/>
      </w:pPr>
      <w:r>
        <w:t>Для обсуждения вопросов о кризисе и закрепощении полезно опереться на тексты указов 1597 года и на фрагменты писцовых книг, опубликованные в хрестоматиях. Вопрос о выгоде запрета перехода для разных групп землевладельцев удобно решать через конкретный пример: сравнение положения помещика с несколькими дворами и монастыря с сотнями дворов.</w:t>
      </w:r>
    </w:p>
    <w:p>
      <w:pPr>
        <w:pStyle w:val="BodyText"/>
      </w:pPr>
      <w:r>
        <w:t>Материалы угличского дела позволяют провести самостоятельную источниковедческую работу: показания свидетелей кратки и сопоставимы. Для профильного задания основным пособием служат этимологические словари М. Фасмера и П. Я. Черных, а также «Словарь русского языка XI–XVII вв.», где приведены примеры употребления из документов.</w:t>
      </w:r>
    </w:p>
    <w:p>
      <w:pPr>
        <w:pStyle w:val="BodyText"/>
      </w:pPr>
      <w:r>
        <w:t>Задание на региональный материал удобно выполнять по изданиям документов о Верхотурье и по краеведческим работам, посвящённым Бабиновской дороге. Особый интерес представляет вопрос о том, как подряд на строительство дороги был оформлен документально: он показывает, как правительство привлекало частную инициативу и чем её вознаграждало.</w:t>
      </w:r>
    </w:p>
    <w:p>
      <w:pPr>
        <w:pStyle w:val="Слайд"/>
      </w:pPr>
      <w:r>
        <w:t>[слайд 30 — Литература]</w:t>
      </w:r>
    </w:p>
    <w:p>
      <w:pPr>
        <w:pStyle w:val="BodyText"/>
      </w:pPr>
      <w:r>
        <w:t>Монография Р. Г. Скрынникова «Россия накануне Смутного времени» (1981) даёт подробный рассказ о политической борьбе 1580–1590-х годов. Монография А. П. Павлова о государевом дворе 1584–1605 годов (1992) построена на просопографическом анализе — изучении состава и карьер членов двора. Для аграрной истории основными остаются работы Е. И. Колычевой и А. Л. Шапиро.</w:t>
      </w:r>
    </w:p>
    <w:p>
      <w:pPr>
        <w:pStyle w:val="BodyText"/>
      </w:pPr>
      <w:r>
        <w:t>Источники по теме изданы и доступны. Утверждённая грамота 1598 года опубликована ещё в XIX веке и вошла в ряд хрестоматий. Записки Флетчера, Горсея и других иностранцев изданы в русском переводе; при работе с ними полезно учитывать, с какой целью и для какого читателя писал каждый из авторов.</w:t>
      </w:r>
    </w:p>
    <w:sectPr>
      <w:footerReference w:type="default" r:id="rId9"/>
      <w:pgSz w:w="11906" w:h="16838"/>
      <w:pgMar w:top="1134" w:bottom="1134" w:left="1701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  <w:jc w:val="both"/>
    </w:pPr>
    <w:qFormat/>
    <w:rPr>
      <w:rFonts w:ascii="Times New Roman" w:hAnsi="Times New Roman" w:cs="Times New Roman" w:eastAsia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36" w:after="36" w:line="276" w:lineRule="auto"/>
      <w:ind w:firstLine="0"/>
    </w:pPr>
    <w:rPr>
      <w:rFonts w:ascii="Times New Roman" w:hAnsi="Times New Roman" w:cs="Times New Roman" w:eastAsia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0" w:after="240"/>
      <w:ind w:firstLine="0"/>
      <w:jc w:val="center"/>
    </w:pPr>
    <w:rPr>
      <w:rFonts w:ascii="Times New Roman" w:hAnsi="Times New Roman" w:cs="Times New Roman" w:eastAsia="Times New Roman"/>
      <w:b/>
      <w:bCs/>
      <w:i w:val="0"/>
      <w:color w:val="000000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360" w:after="240"/>
      <w:ind w:firstLine="0"/>
      <w:jc w:val="center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320" w:after="160"/>
      <w:ind w:firstLine="0"/>
      <w:jc w:val="left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/>
      <w:ind w:firstLine="0"/>
      <w:jc w:val="left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Слайд">
    <w:name w:val="Слайд"/>
    <w:basedOn w:val="Normal"/>
    <w:pPr>
      <w:keepNext/>
      <w:spacing w:before="200" w:after="40" w:line="240" w:lineRule="auto"/>
      <w:ind w:firstLine="0"/>
      <w:jc w:val="left"/>
    </w:pPr>
    <w:rPr>
      <w:rFonts w:ascii="Times New Roman" w:hAnsi="Times New Roman" w:cs="Times New Roman" w:eastAsia="Times New Roman"/>
      <w:b w:val="0"/>
      <w:i/>
      <w:color w:val="801F1F"/>
      <w:sz w:val="22"/>
    </w:rPr>
  </w:style>
  <w:style w:type="paragraph" w:customStyle="1" w:styleId="Шапка">
    <w:name w:val="Шапка"/>
    <w:basedOn w:val="Normal"/>
    <w:pPr>
      <w:spacing w:line="276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5.1. Россия в эпоху преобразований Петра I</dc:title>
  <dc:creator>Колесников Михаил Алексеевич</dc:creator>
  <cp:keywords/>
  <dcterms:created xsi:type="dcterms:W3CDTF">2026-09-30T07:50:03Z</dcterms:created>
  <dcterms:modified xsi:type="dcterms:W3CDTF">2026-09-30T07:50:03Z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