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r>
        <w:t>Тема 5.4. Русская культура XVIII в.</w:t>
      </w:r>
    </w:p>
    <w:p>
      <w:pPr>
        <w:pStyle w:val="Шапка"/>
      </w:pPr>
      <w:r>
        <w:t>Раздел 5. Россия в XVIII в. · самостоятельная работа · УК-5.1, УК-5.2, УК-5.3</w:t>
      </w:r>
    </w:p>
    <w:p>
      <w:pPr>
        <w:pStyle w:val="Шапка"/>
      </w:pPr>
      <w:r>
        <w:t>Дисциплина Б1.О.03 «История России» · 45.03.02 Лингвистика · заочная форма</w:t>
      </w:r>
    </w:p>
    <w:p>
      <w:pPr>
        <w:pStyle w:val="Шапка"/>
      </w:pPr>
      <w:r>
        <w:t>Колесников Михаил Алексеевич</w:t>
      </w:r>
    </w:p>
    <w:p>
      <w:pPr>
        <w:pStyle w:val="Heading2"/>
      </w:pPr>
      <w:r>
        <w:t>Вводная часть</w:t>
      </w:r>
    </w:p>
    <w:p>
      <w:pPr>
        <w:pStyle w:val="Слайд"/>
      </w:pPr>
      <w:r>
        <w:t>[слайд 1 — Титул]</w:t>
      </w:r>
    </w:p>
    <w:p>
      <w:pPr>
        <w:pStyle w:val="BodyText"/>
      </w:pPr>
      <w:r>
        <w:t>Тема продолжает разговор о XVIII столетии, начатый в темах 5.1–5.3, и смещает его с государственного устройства на культуру. Под культурой здесь понимается вся совокупность способов, которыми общество производит, хранит и передаёт знание: школа, книга, наука, искусство, язык, бытовое поведение. Подзаголовок темы задаёт её главный вопрос — о доступе. Новые учреждения создавались для определённых групп, и история культуры века складывается из того, кто, когда и на каких условиях к ним допускался.</w:t>
      </w:r>
    </w:p>
    <w:p>
      <w:pPr>
        <w:pStyle w:val="BodyText"/>
      </w:pPr>
      <w:r>
        <w:t>Текст предназначен для самостоятельного чтения вместе с презентацией. Его разделы следуют за четырьмя блоками деки, а отметки слайдов позволяют держать перед глазами соответствующий экран.</w:t>
      </w:r>
    </w:p>
    <w:p>
      <w:pPr>
        <w:pStyle w:val="Слайд"/>
      </w:pPr>
      <w:r>
        <w:t>[слайд 2 — Как работать с темой]</w:t>
      </w:r>
    </w:p>
    <w:p>
      <w:pPr>
        <w:pStyle w:val="BodyText"/>
      </w:pPr>
      <w:r>
        <w:t>Четыре часа самостоятельной работы распределены между чтением, анализом документа, письменным заданием и самопроверкой. Последовательность этапов имеет смысл: письменное задание опирается на источник, а источник понятен лишь на фоне общего очерка. Поэтому начинать следует с презентации и настоящего текста, затем переходить к одному из двух законодательных актов — указу 1755 года или уставу 1786 года — и лишь после этого составлять таблицу или эссе.</w:t>
      </w:r>
    </w:p>
    <w:p>
      <w:pPr>
        <w:pStyle w:val="BodyText"/>
      </w:pPr>
      <w:r>
        <w:t>Оба документа доступны в публикациях «Полного собрания законов Российской империи» и в хрестоматиях по истории образования. При работе с ними полезно сразу отмечать три вещи: кто назван учредителем, кому адресовано учебное заведение и какие обязанности и выгоды получает ученик. Эти же три вопроса пригодятся при заполнении таблицы.</w:t>
      </w:r>
    </w:p>
    <w:p>
      <w:pPr>
        <w:pStyle w:val="Слайд"/>
      </w:pPr>
      <w:r>
        <w:t>[слайд 3 — Постановка проблемы]</w:t>
      </w:r>
    </w:p>
    <w:p>
      <w:pPr>
        <w:pStyle w:val="BodyText"/>
      </w:pPr>
      <w:r>
        <w:t>Перечень учреждений, возникших за столетие, впечатляет. При Петре I в Москве начала действовать первая светская школа, при его преемниках появились кадетские корпуса, при Елизавете Петровне — университет, театр и Академия художеств, при Екатерине II — женское образование, переводческое общество, Российская академия и общая сеть училищ. К концу века в Москве и Петербурге работали частные типографии, выходило несколько десятков журналов, сложилась светская литература с собственными жанрами и полемиками.</w:t>
      </w:r>
    </w:p>
    <w:p>
      <w:pPr>
        <w:pStyle w:val="BodyText"/>
      </w:pPr>
      <w:r>
        <w:t>Рядом с этим миром существовал другой, гораздо более многочисленный. Крестьянин XVIII века знал молитвы, песни, сказки, календарь полевых работ и праздников; если он и учился грамоте, то по Часослову и Псалтири у сельского дьячка. Новую литературу он не читал, светского театра не видел, европейского платья не носил. Сопоставление двух миров приводит к вопросу, который историки задают с середины XIX века: была ли культура XVIII века общей для страны или она принадлежала узкому слою, отделённому от большинства.</w:t>
      </w:r>
    </w:p>
    <w:p>
      <w:pPr>
        <w:pStyle w:val="BodyText"/>
      </w:pPr>
      <w:r>
        <w:t>Гравюра 1741 года изображает здание Кунсткамеры на Васильевском острове, где размещались музей, библиотека, анатомический театр и обсерватория Академии наук. Само здание символично: в нём под одной крышей собраны собрание диковин, напоминающее о любопытстве петровского времени, и рабочие помещения науки, которая к середине века становилась профессией.</w:t>
      </w:r>
    </w:p>
    <w:p>
      <w:pPr>
        <w:pStyle w:val="Слайд"/>
      </w:pPr>
      <w:r>
        <w:t>[слайд 4 — Координаты темы]</w:t>
      </w:r>
    </w:p>
    <w:p>
      <w:pPr>
        <w:pStyle w:val="BodyText"/>
      </w:pPr>
      <w:r>
        <w:t>Хронологическая таблица разделена на две колонки по смыслу. Первая охватывает петровское время и середину века, когда каждое новое учреждение отвечало на конкретную потребность государства: флоту нужны штурманы, армии — офицеры, канцеляриям — грамотные подьячие, заводам — мастера. Вторая колонка относится к екатерининскому царствованию. Здесь государство ставит себе более широкую задачу — воспитать подданного, и рядом с ним действуют частные лица: издатели, переводчики, литераторы.</w:t>
      </w:r>
    </w:p>
    <w:p>
      <w:pPr>
        <w:pStyle w:val="BodyText"/>
      </w:pPr>
      <w:r>
        <w:t>Две даты таблицы касаются языка. Гражданский шрифт 1708–1710 годов, утверждённый Петром I с собственноручной правкой азбуки, отделил светскую книгу от церковной уже на уровне начертания букв. «Бедная Лиза» 1792 года показала читателю новый прозаический язык, на котором можно было писать о чувствах обыкновенного человека. Между этими датами лежит история формирования современного русского литературного языка.</w:t>
      </w:r>
    </w:p>
    <w:p>
      <w:pPr>
        <w:pStyle w:val="Heading2"/>
      </w:pPr>
      <w:r>
        <w:t>Блок первый. Идеология Просвещения</w:t>
      </w:r>
    </w:p>
    <w:p>
      <w:pPr>
        <w:pStyle w:val="Слайд"/>
      </w:pPr>
      <w:r>
        <w:t>[слайд 5 — Блок первый]</w:t>
      </w:r>
    </w:p>
    <w:p>
      <w:pPr>
        <w:pStyle w:val="BodyText"/>
      </w:pPr>
      <w:r>
        <w:t>Основные идеи европейского Просвещения — верховенство закона, разделение властей, веротерпимость, соразмерность наказания проступку, знание как общее достояние — разобраны в теме 5.3 в связи с «Наказом» Екатерины II. Первый блок посвящён механизму: через каких людей, учреждения и тексты эти идеи попадали в Россию и в каком виде их получал русский читатель.</w:t>
      </w:r>
    </w:p>
    <w:p>
      <w:pPr>
        <w:pStyle w:val="Слайд"/>
      </w:pPr>
      <w:r>
        <w:t>[слайд 6 — Вольтер и «Энциклопедия»]</w:t>
      </w:r>
    </w:p>
    <w:p>
      <w:pPr>
        <w:pStyle w:val="BodyText"/>
      </w:pPr>
      <w:r>
        <w:t>Отношения Вольтера с Россией начались задолго до Екатерины II. Ещё в «Истории Карла XII» (1731) он описал Петра I как противника шведского короля, а при Елизавете Петровне получил заказ на историю петровского царствования. Материалы для неё собирал и пересылал И. И. Шувалов, а черновики проходили через руки академиков, в том числе Г. Ф. Миллера и М. В. Ломоносова, которые находили в тексте множество ошибок. Вольтер отвечал на замечания с раздражением: его интересовала фигура преобразователя, создающего государство из «варварского» материала, и подробности казались ему второстепенными.</w:t>
      </w:r>
    </w:p>
    <w:p>
      <w:pPr>
        <w:pStyle w:val="BodyText"/>
      </w:pPr>
      <w:r>
        <w:t>Переписка с Екатериной II длилась пятнадцать лет и была рассчитана на публику: письма императрицы читались в салонах, а сам философ превратился в её постоянного защитника перед европейским общественным мнением. Купленная в 1778 году у наследницы Вольтера, его племянницы мадам Дени, библиотека — около семи тысяч томов с пометами владельца на полях — была перевезена в Петербург и хранится ныне в Российской национальной библиотеке. Для исследователей французской мысли она остаётся одним из главных собраний: по пометам можно проследить, как Вольтер читал своих современников.</w:t>
      </w:r>
    </w:p>
    <w:p>
      <w:pPr>
        <w:pStyle w:val="BodyText"/>
      </w:pPr>
      <w:r>
        <w:t>История с библиотекой Дидро ещё показательнее. В 1765 году философ, нуждавшийся в приданом для дочери, решил продать книги. Екатерина II купила собрание, оставила его в пожизненное пользование владельцу и назначила Дидро его хранителем с жалованьем, которое было выплачено на много лет вперёд. Жест обошёлся казне сравнительно недорого и принёс государыне репутацию покровительницы философов. Сам Дидро провёл в Петербурге зиму 1773–1774 годов, ежедневно беседуя с императрицей и подавая ей записки о реформах. Позднее Екатерина отзывалась о его проектах как о годных для бумаги и негодных для управления людьми.</w:t>
      </w:r>
    </w:p>
    <w:p>
      <w:pPr>
        <w:pStyle w:val="BodyText"/>
      </w:pPr>
      <w:r>
        <w:t>Влияние философов на законодательство было наиболее прямым в «Наказе» Уложенной комиссии. В письме Ж. д'Аламберу 1765 года императрица признавалась, что «обобрала» президента Монтескье, не называя его; по подсчётам исследователей, значительная часть статей «Наказа» восходит к «О духе законов» и к трактату Ч. Беккариа «О преступлениях и наказаниях». Этот пример показывает особенность русского Просвещения: его главным читателем и пропагандистом в 1760-е годы выступала сама верховная власть.</w:t>
      </w:r>
    </w:p>
    <w:p>
      <w:pPr>
        <w:pStyle w:val="Слайд"/>
      </w:pPr>
      <w:r>
        <w:t>[слайд 7 — Перевод как канал]</w:t>
      </w:r>
    </w:p>
    <w:p>
      <w:pPr>
        <w:pStyle w:val="BodyText"/>
      </w:pPr>
      <w:r>
        <w:t>Для подавляющего большинства читателей знакомство с европейской мыслью происходило через переводы. Французским и немецким к середине века владел лишь узкий круг, и даже среди дворян многие читали Вольтера по-русски. Переводческая деятельность поощрялась сверху. Во время путешествия по Волге в 1767 году Екатерина II и сопровождавшие её придворные перевели роман Ж.-Ф. Мармонтеля «Велисарий», запрещённый Сорбонной за проповедь веротерпимости; императрица взяла на себя одну из глав. Через год было учреждено переводческое Собрание, получавшее из кабинета государыни ежегодно пять тысяч рублей. Его руководителями были граф В. Г. Орлов и граф А. П. Шувалов, а за полтора десятилетия Собрание выпустило свыше сотни изданий.</w:t>
      </w:r>
    </w:p>
    <w:p>
      <w:pPr>
        <w:pStyle w:val="BodyText"/>
      </w:pPr>
      <w:r>
        <w:t>Работа переводчика в этих условиях была одновременно работой над языком. Когда В. К. Тредиаковский в 1730 году выпустил перевод аллегорического романа П. Тальмана «Езда в остров Любви», он в предисловии извинялся, что пишет «почти самым простым русским словом», избегая церковнославянского: светская любовная проза требовала иного словаря, чем духовная книга. А. Д. Кантемир, переводя «Разговоры о множестве миров» Б. Фонтенеля, снабдил текст примечаниями, где объяснял читателю значение слов «система», «материя», «идея», «планета». Книга, излагавшая учение Коперника, была издана Академией в 1740 году и через полтора десятилетия вызвала протест Синода.</w:t>
      </w:r>
    </w:p>
    <w:p>
      <w:pPr>
        <w:pStyle w:val="BodyText"/>
      </w:pPr>
      <w:r>
        <w:t>Переводчики пользовались тремя основными приёмами. Прямое заимствование давало слова вроде «натура», «фигура», «конституция», «публика». Калька строила слово из русских морфем по иностранному образцу: «впечатление» по французскому impression, «влияние» по influence, «развитие» по développement, «трогательный» по touchant. Третий приём наделял старое слово новым смыслом: «вкус» стал означать способность к эстетическому суждению, «общество» и «свет» — круг людей, связанных общими правилами поведения. В. М. Живов в книге «Язык и культура в России XVIII века» (1996) показал, что споры о языке были спорами о культурной ориентации: решение, на какой основе строить литературную речь, означало выбор между наследием церковной книжности и образцом светской Европы.</w:t>
      </w:r>
    </w:p>
    <w:p>
      <w:pPr>
        <w:pStyle w:val="BodyText"/>
      </w:pPr>
      <w:r>
        <w:t>Ломоносов попытался дать языку устойчивые правила. В «Предисловии о пользе книг церковных в российском языке» (1758) он разделил словарь на три пласта: слова, общие для церковнославянского и русского; церковнославянские, понятные грамотному человеку; собственно русские, отсутствующие в церковных книгах. Из их сочетания выводились три стиля, закреплённые за жанрами: ода и героическая поэма — высокий, драма и стихотворное послание — средний, комедия и песня — низкий. Схема была иерархической и соответствовала представлению о соразмерности слова предмету.</w:t>
      </w:r>
    </w:p>
    <w:p>
      <w:pPr>
        <w:pStyle w:val="BodyText"/>
      </w:pPr>
      <w:r>
        <w:t>Российская академия, открытая в 1783 году под председательством Е. Р. Дашковой, занималась именно языком, в отличие от Академии наук. Её «Словарь» вышел в шести частях и содержал около сорока трёх тысяч слов, расположенных по корням. С деятельностью Дашковой связывают и появление буквы «ё»: в ноябре 1783 года на одном из первых заседаний академии она предложила обозначать звук, который в слове «ёлка» писали сочетанием «io». В печати буква закрепилась позднее, во многом благодаря изданиям Карамзина.</w:t>
      </w:r>
    </w:p>
    <w:p>
      <w:pPr>
        <w:pStyle w:val="BodyText"/>
      </w:pPr>
      <w:r>
        <w:t>Карамзинская реформа 1790-х годов меняла сам принцип: литературный язык должен был звучать так, как говорит образованное общество, и избегать тяжеловесных церковнославянских оборотов. Карамзин и его последователи ввели в употребление множество новых слов; сам он с гордостью считал себя автором слова «промышленность». Противник карамзинистов адмирал А. С. Шишков в «Рассуждении о старом и новом слоге российского языка» (1803) обвинил их в порче языка галлицизмами. Этот спор, о котором подробнее говорится в теме 6.8, начался на исходе XVIII века и стал одним из первых общественных споров, где сторонники разных взглядов выступали в печати от собственного имени.</w:t>
      </w:r>
    </w:p>
    <w:p>
      <w:pPr>
        <w:pStyle w:val="BodyText"/>
      </w:pPr>
      <w:r>
        <w:t>Лингвистическое значение слайда трудно переоценить: значительная часть научной, философской и правовой лексики современного русского языка сформировалась в переводческой практике XVIII века. Задание с учётом профиля (слайд 23) предлагает проследить этот путь на пяти конкретных словах.</w:t>
      </w:r>
    </w:p>
    <w:p>
      <w:pPr>
        <w:pStyle w:val="Heading2"/>
      </w:pPr>
      <w:r>
        <w:t>Блок второй. Школа и образование</w:t>
      </w:r>
    </w:p>
    <w:p>
      <w:pPr>
        <w:pStyle w:val="Слайд"/>
      </w:pPr>
      <w:r>
        <w:t>[слайд 8 — Блок второй]</w:t>
      </w:r>
    </w:p>
    <w:p>
      <w:pPr>
        <w:pStyle w:val="BodyText"/>
      </w:pPr>
      <w:r>
        <w:t>Второй блок прослеживает эволюцию школы на протяжении столетия. За это время изменились задача обучения, круг учеников и сам хозяин школы. В начале века школа принадлежала ведомству и выпускала специалиста, в середине — сословию и воспроизводила его образ жизни, в конце — государству в целом и воспитывала подданного. Каждый этап при этом сохранял черты предыдущего.</w:t>
      </w:r>
    </w:p>
    <w:p>
      <w:pPr>
        <w:pStyle w:val="Слайд"/>
      </w:pPr>
      <w:r>
        <w:t>[слайд 9 — Петровская школа]</w:t>
      </w:r>
    </w:p>
    <w:p>
      <w:pPr>
        <w:pStyle w:val="BodyText"/>
      </w:pPr>
      <w:r>
        <w:t>Навигацкая школа разместилась в Сухаревой башне. Её руководителем стал профессор Абердинского университета Генри Фарварсон, приглашённый Петром I во время Великого посольства, а одним из учителей — Леонтий Магницкий, автор «Арифметики» (1703). Этот учебник, сочетавший правила счёта с практическими задачами из торговли, геодезии и мореплавания, Ломоносов позднее называл «вратами своей учёности». В 1715 году старшие классы школы были переведены в Петербург и преобразованы в Морскую академию, а в Москве осталась начальная ступень.</w:t>
      </w:r>
    </w:p>
    <w:p>
      <w:pPr>
        <w:pStyle w:val="BodyText"/>
      </w:pPr>
      <w:r>
        <w:t>Указ 1714 года о цифирных школах предусматривал рассылку учеников Навигацкой школы по губерниям в качестве учителей. К началу 1720-х годов действовало несколько десятков таких школ, но учеников в них было мало. Посадские общины добились освобождения своих детей от обязательного учения: торговому человеку геометрия казалась бесполезной, сын же требовался в лавке. Духовенство отстояло право учить детей в собственных школах. Запрет венчаться без свидетельства об учении — мера, которая сегодня выглядит курьёзом, — показывает характерный способ принуждения: государство привязывало новую обязанность к таинству, без которого человек не мог создать законную семью.</w:t>
      </w:r>
    </w:p>
    <w:p>
      <w:pPr>
        <w:pStyle w:val="BodyText"/>
      </w:pPr>
      <w:r>
        <w:t>Сравнение с Европой того же времени полезно. Прусский король Фридрих Вильгельм I в 1717 году издал эдикт, обязывавший родителей посылать детей в школу; эдикт также исполнялся плохо, и реальная система начального обучения в Пруссии сложилась лишь после «Генерального школьного регламента» 1763 года. Принуждение к учению сверху было общей чертой абсолютистских государств, и повсюду оно наталкивалось на нежелание семей отрывать детей от хозяйства.</w:t>
      </w:r>
    </w:p>
    <w:p>
      <w:pPr>
        <w:pStyle w:val="BodyText"/>
      </w:pPr>
      <w:r>
        <w:t>Новые учреждения конца петровского времени продолжали ту же линию. Гарнизонные школы готовили из солдатских сыновей писарей, барабанщиков, мастеровых; Духовный регламент, составленный Феофаном Прокоповичем, требовал от каждого архиерея завести училище для детей духовенства. Сам Прокопович содержал в своём петербургском доме школу для сирот и детей бедных родителей, где учили языкам, истории, географии и рисованию. Гимназия при Академии наук должна была готовить студентов для академического университета, но в первые десятилетия ученики набирались с трудом, и нередко студентами числились молодые немцы, приехавшие вместе с академиками.</w:t>
      </w:r>
    </w:p>
    <w:p>
      <w:pPr>
        <w:pStyle w:val="Слайд"/>
      </w:pPr>
      <w:r>
        <w:t>[слайд 10 — Сословные школы]</w:t>
      </w:r>
    </w:p>
    <w:p>
      <w:pPr>
        <w:pStyle w:val="BodyText"/>
      </w:pPr>
      <w:r>
        <w:t>Шляхетский кадетский корпус возник по проекту генерал-фельдмаршала Б. Х. Миниха и разместился в бывшем дворце А. Д. Меншикова на Васильевском острове. Программа включала математику, фортификацию, артиллерию, историю, географию, юриспруденцию, языки, рисование, музыку, танцы и фехтование. Корпус стал первым местом, где воспитывался светский дворянин, и одновременно литературным центром: его выпускником был А. П. Сумароков, а кадеты разыгрывали на корпусной сцене первые русские трагедии, в том числе сумароковского «Хорева» (1747). Отсюда вела прямая дорога к созданию постоянного театра в 1756 году.</w:t>
      </w:r>
    </w:p>
    <w:p>
      <w:pPr>
        <w:pStyle w:val="BodyText"/>
      </w:pPr>
      <w:r>
        <w:t>Духовные семинарии строились по образцу Киево-Могилянской академии: обучение велось на латыни, учебный курс включал грамматику, риторику, пиитику, философию и богословие. Сыновья духовенства обязаны были учиться под угрозой исключения из сословия и записи в податные, поэтому семинарии к середине века стали самой массовой сетью средних учебных заведений. Образовательный уровень духовенства резко вырос; одновременно сословие замкнулось, поскольку места священников передавались внутри семей, нередко через брак с дочерью предшественника.</w:t>
      </w:r>
    </w:p>
    <w:p>
      <w:pPr>
        <w:pStyle w:val="BodyText"/>
      </w:pPr>
      <w:r>
        <w:t>Воспитательное общество благородных девиц разместилось в Смольном монастыре. Девочек принимали в возрасте пяти-шести лет и выпускали через двенадцать лет; на всё время обучения они отделялись от семьи. Портреты смолянок кисти Д. Г. Левицкого (1772–1776), заказанные Екатериной II, изображают воспитанниц в ролях из домашних спектаклей, за игрой на арфе, за физическими опытами. Цикл задумывался как наглядный отчёт об успехах нового воспитания, и в этом смысле он одновременно произведение искусства и документ образовательной политики.</w:t>
      </w:r>
    </w:p>
    <w:p>
      <w:pPr>
        <w:pStyle w:val="BodyText"/>
      </w:pPr>
      <w:r>
        <w:t>Петровская Табель о рангах формально открывала путь к дворянству через службу, и школа должна была его облегчать. На деле, как показывает слайд, учебное заведение середины века определяло дальнейшую судьбу ученика по его происхождению. Механизм перехода между сословиями существовал: сыновья священников, окончившие семинарию, поступали в университет, становились врачами, учителями, чиновниками и через выслугу получали личное, а затем и потомственное дворянство. Среди известных деятелей конца XVIII — начала XIX века такой путь прошли многие, наиболее заметный пример — М. М. Сперанский (тема 6.1).</w:t>
      </w:r>
    </w:p>
    <w:p>
      <w:pPr>
        <w:pStyle w:val="Слайд"/>
      </w:pPr>
      <w:r>
        <w:t>[слайд 11 — Московский университет]</w:t>
      </w:r>
    </w:p>
    <w:p>
      <w:pPr>
        <w:pStyle w:val="BodyText"/>
      </w:pPr>
      <w:r>
        <w:t>Выбор Москвы для первого университета Ломоносов и Шувалов объясняли многолюдством города, дешевизной жизни и тем, что в Москве жили многие дворянские семьи, готовые отдать детей в учение поблизости. Торжественное открытие состоялось 26 апреля 1755 года в здании бывшей Главной аптеки у Воскресенских ворот, на месте нынешнего Исторического музея. Первым директором стал А. М. Аргамаков. Устав предусматривал десять профессоров на три факультета; в первые годы многие кафедры пустовали, а студентов было лишь несколько десятков.</w:t>
      </w:r>
    </w:p>
    <w:p>
      <w:pPr>
        <w:pStyle w:val="BodyText"/>
      </w:pPr>
      <w:r>
        <w:t>Отсутствие богословского факультета выделяло Московский университет среди европейских. Богословие оставалось монополией духовных академий, подчинённых Синоду, и Шувалов не стремился вводить в светское учреждение церковную науку. Для сравнения: Гёттингенский университет, основанный в 1737 году и служивший образцом для многих проектов XVIII века, имел четыре традиционных факультета, включая богословский, хотя и ограничивал права богословов в цензуре научных сочинений.</w:t>
      </w:r>
    </w:p>
    <w:p>
      <w:pPr>
        <w:pStyle w:val="BodyText"/>
      </w:pPr>
      <w:r>
        <w:t>В 1758 году в Казани открылась гимназия, подчинённая Московскому университету, — первое светское учебное заведение такого уровня на востоке страны. Её учеником был Г. Р. Державин, позднее описавший в «Записках», как на гимназическом экзамене отличился знанием немецкого языка, почти не умея при этом объяснить грамматические правила.</w:t>
      </w:r>
    </w:p>
    <w:p>
      <w:pPr>
        <w:pStyle w:val="BodyText"/>
      </w:pPr>
      <w:r>
        <w:t>Переход к русскому языку преподавания ускорили два юриста. С. Е. Десницкий и И. А. Третьяков в 1761–1767 годах учились в Университете Глазго и слушали лекции Адама Смита по нравственной философии и юриспруденции. Вернувшись в Москву, Десницкий начал читать право по-русски и ввёл в преподавание идеи шотландской школы, в том числе учение о стадиях развития общества. В 1768 году он представил Екатерине II проект преобразования государственного управления, отдельные положения которого, по мнению ряда исследователей, повлияли на губернскую реформу 1775 года. Эта история показывает ещё один путь идей Просвещения в Россию: через стипендиатов, отправленных учиться за границу.</w:t>
      </w:r>
    </w:p>
    <w:p>
      <w:pPr>
        <w:pStyle w:val="BodyText"/>
      </w:pPr>
      <w:r>
        <w:t>Доступ в университет определялся юридическим статусом. Ломоносов по рождению был черносошным, то есть государственным, крестьянином, и лично свободное состояние позволило ему поступить в Славяно-греко-латинскую академию. Крепостной такой возможности не имел, пока помещик не отпускал его на волю. Университетская гимназия для разночинцев позволяла учиться детям купцов, мещан, солдат, мелких чиновников, но она всегда оставалась меньше и беднее дворянской.</w:t>
      </w:r>
    </w:p>
    <w:p>
      <w:pPr>
        <w:pStyle w:val="Слайд"/>
      </w:pPr>
      <w:r>
        <w:t>[слайд 12 — Школьная политика Екатерины II]</w:t>
      </w:r>
    </w:p>
    <w:p>
      <w:pPr>
        <w:pStyle w:val="BodyText"/>
      </w:pPr>
      <w:r>
        <w:t>И. И. Бецкой, внебрачный сын фельдмаршала И. Ю. Трубецкого, провёл молодость в Париже и вынес оттуда педагогические идеи Дж. Локка и Ж.-Ж. Руссо. В «Генеральном учреждении о воспитании обоего пола юношества» (1764) он доказывал, что пороки общества передаются через семью и что новый человек может вырасти лишь в закрытом воспитательном учреждении, куда дети поступают в раннем возрасте. Отсюда закрытые корпуса, Смольный институт и Воспитательный дом. Опыт оказался противоречивым: в Воспитательном доме в первые десятилетия была очень высока смертность питомцев, а воспитанники закрытых заведений, выходя в мир, нередко с трудом в нём приспосабливались.</w:t>
      </w:r>
    </w:p>
    <w:p>
      <w:pPr>
        <w:pStyle w:val="BodyText"/>
      </w:pPr>
      <w:r>
        <w:t>Народные училища имели иное происхождение. В 1780 году Екатерина II встретилась в Могилёве с императором Иосифом II, и австрийский монарх рассказал ей о школьной реформе, которую в его владениях провёл аббат И. И. Фельбигер по «Всеобщему школьному уставу» 1774 года. По рекомендации Иосифа в Россию был приглашён серб из австрийского Баната Ф. И. Янкович де Мириево, работавший над школами для православного населения монархии Габсбургов. Комиссию об учреждении училищ возглавил П. В. Завадовский, в её состав вошёл академик Ф. У. Т. Эпинус.</w:t>
      </w:r>
    </w:p>
    <w:p>
      <w:pPr>
        <w:pStyle w:val="BodyText"/>
      </w:pPr>
      <w:r>
        <w:t>Комиссия подготовила учебники, учительскую семинарию в Петербурге и правила, единые для всех губерний. Наиболее известным учебником стала книга «О должностях человека и гражданина» (1783), составленная на основе австрийского образца. Она излагала обязанности подданного перед государем, семьёй и обществом и обходила крепостное право стороной: книга предназначалась для свободных сословий. Главные училища имели четыре класса, малые — два; в старших классах главных училищ преподавали историю, географию, геометрию, механику, физику и архитектуру. Новым для России был классно-урочный метод: все ученики класса одновременно занимались одним предметом под руководством учителя; у дьячка каждый ученик поодиночке отвечал заданный урок.</w:t>
      </w:r>
    </w:p>
    <w:p>
      <w:pPr>
        <w:pStyle w:val="BodyText"/>
      </w:pPr>
      <w:r>
        <w:t>Для сравнения: во Франции до революции не существовало общегосударственной начальной школы, в Англии начальное обучение оставалось делом приходов и благотворительных обществ до второй половины XIX века. Россия в 1786 году заимствовала самую передовую на тот момент европейскую модель — австрийскую. Её ограничение состояло в масштабе: при населении империи около тридцати шести миллионов человек двадцать тысяч учеников составляли крайне малую долю детей школьного возраста.</w:t>
      </w:r>
    </w:p>
    <w:p>
      <w:pPr>
        <w:pStyle w:val="Слайд"/>
      </w:pPr>
      <w:r>
        <w:t>[слайд 13 — Механика: кто учился и зачем]</w:t>
      </w:r>
    </w:p>
    <w:p>
      <w:pPr>
        <w:pStyle w:val="BodyText"/>
      </w:pPr>
      <w:r>
        <w:t>Манифест о вольности дворянства 1762 года освободил сословие от обязательной службы, однако сохранил требование обучать детей: в тексте говорилось, что никто не должен оставлять их без наставления в науках. Контроль за исполнением был слабым, и потому образование всё больше определялось мотивами самой семьи. Для столичного дворянина ими были карьера при дворе и в гвардии, светский успех, выгодный брак; для провинциального помещика — умение вести хозяйство и судебные дела. Отсюда огромная разница в уровне образованности внутри одного сословия, которую так остро чувствовали сатирики.</w:t>
      </w:r>
    </w:p>
    <w:p>
      <w:pPr>
        <w:pStyle w:val="BodyText"/>
      </w:pPr>
      <w:r>
        <w:t>Городские сословия ценили училище за практические навыки. Купеческий сын, умевший читать, писать и считать, мог вести торговые книги, заключать договоры и вести переписку с компаньонами. Именно поэтому число учащихся из купечества и мещанства в народных училищах конца века было наибольшим, а дворянские дети поступали туда реже, предпочитая домашнее обучение и пансионы.</w:t>
      </w:r>
    </w:p>
    <w:p>
      <w:pPr>
        <w:pStyle w:val="BodyText"/>
      </w:pPr>
      <w:r>
        <w:t>Крестьянская грамотность изучена хуже всего, поскольку источники о ней косвенные. Б. Н. Миронов, сопоставив подписи на документах, сведения о рекрутах и ревизские материалы, пришёл к выводу, что в конце XVIII века грамотной была небольшая доля сельского населения, заметно уступавшая городской. Самые высокие показатели обнаруживаются на Русском Севере, в Поморье, где крестьяне занимались промыслами и торговлей, и в старообрядческих общинах, где умение читать древние книги было условием религиозной жизни.</w:t>
      </w:r>
    </w:p>
    <w:p>
      <w:pPr>
        <w:pStyle w:val="BodyText"/>
      </w:pPr>
      <w:r>
        <w:t>Механизм, описанный на слайде, позволяет объяснить и неудачу 1714 года, и успех 1786 года одной причиной. Учение охотно принимали те, кому оно сразу приносило выгоду, и отвергали те, кто видел в нём лишь новую повинность. Указ мог создать школу, но наполнить её учениками мог только спрос.</w:t>
      </w:r>
    </w:p>
    <w:p>
      <w:pPr>
        <w:pStyle w:val="Слайд"/>
      </w:pPr>
      <w:r>
        <w:t>[слайд 14 — Урал: заводские школы и наука]</w:t>
      </w:r>
    </w:p>
    <w:p>
      <w:pPr>
        <w:pStyle w:val="BodyText"/>
      </w:pPr>
      <w:r>
        <w:t>Горнозаводский Урал был краем, где грамотный человек был нужен производству с первых лет его существования. В. Н. Татищев, назначенный в 1720 году управлять казёнными заводами, уже в следующем году открыл школы при Уктусском заводе и в Кунгуре. После его отъезда дело продолжил В. И. де Геннин, основатель Екатеринбурга (1723), где действовали словесная и арифметическая школы. Ученики переходили из словесной школы, где учили читать и писать, в арифметическую, откуда лучших отправляли изучать горное дело, пробирное искусство и черчение. Выпускники становились учениками мастеров, писарями заводских контор, рудоискателями.</w:t>
      </w:r>
    </w:p>
    <w:p>
      <w:pPr>
        <w:pStyle w:val="BodyText"/>
      </w:pPr>
      <w:r>
        <w:t>Пётр Иванович Рычков, долгие годы служивший в Оренбургской губернской канцелярии, стал первым историком и географом края. Его «Топография Оренбургская» описывала реки, крепости, народы и промыслы обширной территории от Волги до Тобола, включая Исетскую провинцию с центром в Челябинской крепости. Рычков переписывался с Ломоносовым, печатался в академических изданиях и сопровождал академические отряды, работавшие в Оренбургском крае. Экспедиции 1768–1774 годов, наряду с П. С. Палласом и И. И. Лепёхиным, включали И. П. Фалька и И. Г. Георги; их описания до сих пор служат источником по хозяйству и быту народов Урала.</w:t>
      </w:r>
    </w:p>
    <w:p>
      <w:pPr>
        <w:pStyle w:val="BodyText"/>
      </w:pPr>
      <w:r>
        <w:t>Основание Горного училища в Петербурге связано с именем башкирского старшины и рудопромышленника Исмагила Тасимова. Он подал прошение о создании школы для подготовки горных специалистов, и в 1773 году училище было учреждено. Этот случай показывает, что инициатива могла исходить и от людей с окраины империи, заинтересованных в квалифицированных кадрах для собственного дела.</w:t>
      </w:r>
    </w:p>
    <w:p>
      <w:pPr>
        <w:pStyle w:val="BodyText"/>
      </w:pPr>
      <w:r>
        <w:t>Южноуральская часть края присоединилась к этому процессу позднее. Челябинская крепость, основанная в 1736 году, в XVIII веке оставалась прежде всего военным и административным пунктом пограничной линии, и грамотные люди в ней были сосредоточены в канцелярии и среди духовенства. Заводская школа Среднего Урала опередила южноуральские крепости на несколько десятилетий, и объяснение здесь то же, что и для всей страны: школа возникала раньше там, где у неё был постоянный заказчик.</w:t>
      </w:r>
    </w:p>
    <w:p>
      <w:pPr>
        <w:pStyle w:val="Heading2"/>
      </w:pPr>
      <w:r>
        <w:t>Блок третий. Наука и искусство</w:t>
      </w:r>
    </w:p>
    <w:p>
      <w:pPr>
        <w:pStyle w:val="Слайд"/>
      </w:pPr>
      <w:r>
        <w:t>[слайд 15 — Блок третий]</w:t>
      </w:r>
    </w:p>
    <w:p>
      <w:pPr>
        <w:pStyle w:val="BodyText"/>
      </w:pPr>
      <w:r>
        <w:t>Третий блок охватывает две области, связанные с одними и теми же учреждениями и заказчиками. Наука и искусство XVIII века развивались при дворе, при академиях и в домах знати; их общей чертой было то, что государство выступало главным покупателем труда учёного, архитектора и живописца.</w:t>
      </w:r>
    </w:p>
    <w:p>
      <w:pPr>
        <w:pStyle w:val="Слайд"/>
      </w:pPr>
      <w:r>
        <w:t>[слайд 16 — Академия наук и Ломоносов]</w:t>
      </w:r>
    </w:p>
    <w:p>
      <w:pPr>
        <w:pStyle w:val="BodyText"/>
      </w:pPr>
      <w:r>
        <w:t>Проект Академии сложился под влиянием переписки Петра I с Г. В. Лейбницем и советов философа Х. Вольфа, который сам приехать отказался, но рекомендовал учеников. Петербургское учреждение соединило три функции, разделённые в Европе: исследовательское общество по образцу Парижской академии и Лондонского королевского общества, университет и гимназию. Академики получали жалованье от казны и вместе с исследованиями выполняли поручения двора: составляли проекты фейерверков и иллюминаций к праздникам, писали оды на торжественные дни, проводили экспертизу руд и проектов машин. Такое соединение учёной работы с казённой службой отличало петербургских академиков от их парижских и лондонских коллег, которые чаще жили на доходы от кафедр, частных уроков или собственных имений.</w:t>
      </w:r>
    </w:p>
    <w:p>
      <w:pPr>
        <w:pStyle w:val="BodyText"/>
      </w:pPr>
      <w:r>
        <w:t>Иностранный состав первой Академии объяснялся простой причиной: подготовленных русских учёных не было. Леонард Эйлер провёл в Петербурге два периода — 1727–1741 и 1766–1783 годы — и опубликовал в академических изданиях большую часть своих работ; по количеству напечатанных трудов он остаётся одним из самых плодовитых математиков в истории. Самой масштабной практической задачей Академии было описание империи. В 1745 году вышел «Атлас Российский» из девятнадцати специальных карт и генеральной карты страны. Вторая Камчатская экспедиция дала «Флору Сибири» И. Г. Гмелина, собрание копий сибирских архивных документов Г. Ф. Миллера и наблюдения Г. В. Стеллера над природой северной части Тихого океана. Описанная Стеллером в 1741 году морская корова, крупное травоядное млекопитающее Командорских островов, была истреблена промысловиками к 1768 году: первое научное описание вида и его исчезновение разделяют менее трёх десятилетий.</w:t>
      </w:r>
    </w:p>
    <w:p>
      <w:pPr>
        <w:pStyle w:val="BodyText"/>
      </w:pPr>
      <w:r>
        <w:t>Биография Ломоносова — образец того, какой путь могла открыть школа человеку из податного сословия. В 1730 году девятнадцатилетний сын помора ушёл из Холмогорского края в Москву с рыбным обозом, поступил в Славяно-греко-латинскую академию, скрыв своё происхождение, и в числе лучших учеников был отправлен в Петербург, а оттуда в Марбург, где учился у Вольфа, и во Фрайберг для изучения горного дела. В 1745 году он стал профессором химии, а в 1748 году добился постройки первой в России научной химической лаборатории. В 1749 году Ломоносов резко выступил против диссертации Миллера о происхождении Руси, положив начало спору о норманской теории, разобранному в теме 2.3.</w:t>
      </w:r>
    </w:p>
    <w:p>
      <w:pPr>
        <w:pStyle w:val="BodyText"/>
      </w:pPr>
      <w:r>
        <w:t>Наблюдение прохождения Венеры по диску Солнца 26 мая 1761 года вызывает споры до сих пор. Ломоносов описал светлый ободок вокруг планеты при её вхождении на диск и истолковал его как преломление света в атмосфере. Американские историки астрономии Дж. Пасачофф и У. Шихан в 2012 году высказали сомнение, что инструмент, которым он пользовался, позволял увидеть этот эффект, и предположили, что Ломоносов наблюдал оптическое искажение. В ответ группа исследователей во главе с физиком В. Шильцевым в том же году повторила наблюдение во время прохождения Венеры с помощью старинных рефракторов сходного устройства и сообщила, что подобный ободок различим. Спор показывает, как трудно проверить наблюдение, сделанное два с половиной века назад; при этом за Ломоносовым признаётся одно из первых истолкований наблюдённого явления через существование у планеты атмосферы.</w:t>
      </w:r>
    </w:p>
    <w:p>
      <w:pPr>
        <w:pStyle w:val="Слайд"/>
      </w:pPr>
      <w:r>
        <w:t>[слайд 17 — Литература, театр, искусство]</w:t>
      </w:r>
    </w:p>
    <w:p>
      <w:pPr>
        <w:pStyle w:val="BodyText"/>
      </w:pPr>
      <w:r>
        <w:t>Русская литература XVIII века начиналась с реформы стиха. Тредиаковский в «Новом и кратком способе к сложению российских стихов» (1735) предложил отказаться от силлабического стиха, где учитывалось лишь число слогов, и строить строку на чередовании ударных и безударных слогов. Ломоносов в «Письме о правилах российского стихотворства» (1739) довёл эту мысль до системы и закрепил ямб как основной размер торжественной оды. Силлабо-тоническое стихосложение, сложившееся в этом споре, до сих пор лежит в основе русской поэзии.</w:t>
      </w:r>
    </w:p>
    <w:p>
      <w:pPr>
        <w:pStyle w:val="BodyText"/>
      </w:pPr>
      <w:r>
        <w:t>Литературная жизнь второй половины века связана с журналом и книжным рынком. Екатерина II в 1769 году начала издавать сатирический журнал «Всякая всячина», и вслед за ним вышли другие, в том числе «Трутень» Н. И. Новикова, вступивший с императорским изданием в полемику о допустимых пределах сатиры. В 1779–1789 годах Новиков арендовал университетскую типографию и выпустил огромное для своего времени количество книг, от учебников до масонских сочинений; в 1792 году он был арестован и заключён в Шлиссельбургскую крепость. Американский историк Г. Маркер в книге «Издательское дело, печать и истоки интеллектуальной жизни в России, 1700–1800» (1985) показал, насколько узок был этот рынок: тиражи исчислялись сотнями экземпляров, а склады Академии наук десятилетиями хранили нераспроданные книги петровского времени. Вывод Маркера оспаривается теми, кто указывает на рукописное распространение текстов, которое никакая статистика тиражей не учитывает.</w:t>
      </w:r>
    </w:p>
    <w:p>
      <w:pPr>
        <w:pStyle w:val="BodyText"/>
      </w:pPr>
      <w:r>
        <w:t>Премьера «Недоросля» состоялась в сентябре 1782 года в Вольном российском театре К. Книппера на Царицыном лугу в Петербурге. Предание приписывает князю Г. А. Потёмкину слова, обращённые к автору после спектакля: «Умри, Денис, лучше не напишешь»; достоверность анекдота сомнительна, но он хорошо передаёт впечатление современников. «Бедная Лиза» Карамзина вызвала настоящее паломничество к пруду у стен Симонова монастыря в Москве, который читатели стали называть Лизиным: впервые литературный вымысел о жизни крестьянки создал вокруг себя реальное место памяти. Радищев в «Путешествии из Петербурга в Москву» (1790) превратил сентиментальную чувствительность в обличение крепостного права; Екатерина II оставила на полях книги замечание о том, что автор «бунтовщик хуже Пугачёва», и Радищев был сослан в Илимский острог.</w:t>
      </w:r>
    </w:p>
    <w:p>
      <w:pPr>
        <w:pStyle w:val="BodyText"/>
      </w:pPr>
      <w:r>
        <w:t>Крепостные театры представляли собой особое явление. Самым известным был театр графов Шереметевых в Кускове и Останкине, где ставились французские и итальянские оперы силами крепостных певцов, музыкантов и танцоров. Его ведущая актриса Прасковья Ковалёва, выступавшая под фамилией Жемчугова, в 1801 году стала женой графа Н. П. Шереметева. История этого брака, долгое время скрываемого, показывает границы, которые искусство могло пересечь, и цену такого пересечения.</w:t>
      </w:r>
    </w:p>
    <w:p>
      <w:pPr>
        <w:pStyle w:val="BodyText"/>
      </w:pPr>
      <w:r>
        <w:t>Архитектура и скульптура века были делом двора и знати. Ф. Б. Растрелли создал образ елизаветинского барокко в Зимнем дворце, Большом Царскосельском и Смольном монастыре. Классицизм пришёл с Екатериной II: В. И. Баженов разработал грандиозный проект Кремлёвского дворца, оставшийся неосуществлённым, М. Ф. Казаков построил Сенат в Кремле, И. Е. Старов — Таврический дворец для Потёмкина. Для памятника Петру I Э. М. Фальконе в 1768–1770 годах из-под Петербурга был доставлен гранитный монолит «Гром-камень» весом, по оценкам, около полутора тысяч тонн; голову императора вылепила ученица скульптора М.-А. Колло. Ф. И. Шубин, сын крестьянина-помора из тех же холмогорских мест, что и Ломоносов, стал крупнейшим русским мастером портретного бюста.</w:t>
      </w:r>
    </w:p>
    <w:p>
      <w:pPr>
        <w:pStyle w:val="BodyText"/>
      </w:pPr>
      <w:r>
        <w:t>Живописцы века работали преимущественно в портрете, поскольку именно этот жанр оплачивался заказчиками. Портреты Ф. С. Рокотова и В. Л. Боровиковского, в том числе боровиковский портрет М. И. Лопухиной (1797), передают перемену в понимании человека: от парадного изображения чина к образу частной, чувствующей личности. Эта перемена совпадает по времени с переходом литературы от классицизма к сентиментализму и показывает, что смена стилей шла одновременно во всех искусствах.</w:t>
      </w:r>
    </w:p>
    <w:p>
      <w:pPr>
        <w:pStyle w:val="Heading2"/>
      </w:pPr>
      <w:r>
        <w:t>Блок четвёртый. Культура разных сословий</w:t>
      </w:r>
    </w:p>
    <w:p>
      <w:pPr>
        <w:pStyle w:val="Слайд"/>
      </w:pPr>
      <w:r>
        <w:t>[слайд 18 — Блок четвёртый]</w:t>
      </w:r>
    </w:p>
    <w:p>
      <w:pPr>
        <w:pStyle w:val="BodyText"/>
      </w:pPr>
      <w:r>
        <w:t>Последний блок возвращает к вопросу, поставленному в начале темы. Новые учреждения, книги и стили, описанные выше, были доступны меньшинству. Большинство подданных империи жило в иной культурной среде, которая также имела свои правила, тексты и способы передачи знания. Историки по-разному оценивают соотношение этих сред, и разбор их позиций завершает блок.</w:t>
      </w:r>
    </w:p>
    <w:p>
      <w:pPr>
        <w:pStyle w:val="Слайд"/>
      </w:pPr>
      <w:r>
        <w:t>[слайд 19 — Культура сословий]</w:t>
      </w:r>
    </w:p>
    <w:p>
      <w:pPr>
        <w:pStyle w:val="BodyText"/>
      </w:pPr>
      <w:r>
        <w:t>Дворянская усадьба второй половины века стала центром особой культуры. В ней соединялись хозяйство, управляемое по указаниям из столицы, библиотека, парк с павильонами, домашний театр и семейная церковь. Усадебный быт позволял помещику жить по европейскому образцу в окружении крепостных, говоривших на другом языке, носивших другое платье и праздновавших по другому календарю. А. Т. Болотов, тульский помещик и автор многотомных записок, оставил подробнейшее описание такой жизни, а его статьи о сельском хозяйстве в «Трудах Вольного экономического общества» показывают, как дворянин пытался применить европейские агрономические знания в собственном имении.</w:t>
      </w:r>
    </w:p>
    <w:p>
      <w:pPr>
        <w:pStyle w:val="BodyText"/>
      </w:pPr>
      <w:r>
        <w:t>Духовенство занимало промежуточное положение. Семинарист знал латынь лучше многих дворян, читал античных авторов и богословов, но жил в бедности и зависел от архиерея. Именно из этой среды вышли многие профессора университета, переводчики Собрания и учителя народных училищ. Проповедь оставалась единственным регулярным жанром, через который образованный человек обращался к крестьянской аудитории; проповеди митрополита Платона (Левшина), законоучителя наследника Павла Петровича, читались и при дворе, и в провинции.</w:t>
      </w:r>
    </w:p>
    <w:p>
      <w:pPr>
        <w:pStyle w:val="BodyText"/>
      </w:pPr>
      <w:r>
        <w:t>Купеческий мир сохранял традиционный уклад дольше других городских слоёв. Купец мог вести дела с иностранцами и знать несколько языков, оставаясь при этом приверженцем бороды, долгополого кафтана и домашнего благочестия. Значительная часть купечества, особенно московского и уральского, принадлежала к старообрядчеству, и с ним связано одно из самых интересных явлений культуры века. Выговская пустынь в Поморье, основанная в 1694 году, при братьях Андрее и Семёне Денисовых стала крупным книжным центром со своей школой, скрипторием, иконописной и меднолитейной мастерскими. Составленные там «Поморские ответы» (1723) на вопросы синодального миссионера представляли собой развёрнутый полемический трактат с опорой на древние рукописи. Старообрядческая книжность была ориентирована на прошлое, но поддерживала высокий уровень грамотности там, где официальная школа отсутствовала.</w:t>
      </w:r>
    </w:p>
    <w:p>
      <w:pPr>
        <w:pStyle w:val="BodyText"/>
      </w:pPr>
      <w:r>
        <w:t>Крестьянская культура передавалась устно и в обряде. Лубочная картинка, гравированная на дереве или меди и раскрашенная от руки, продавалась на ярмарках и украшала избы. Её сюжеты охватывали жития святых, сказки, сатиру, бытовые сцены, а иногда переделывали мотивы европейских гравюр. Известный лубок «Как мыши кота хоронили» в литературе XIX века нередко толковали как насмешку старообрядцев над похоронами Петра I; против этого толкования говорит то, что сюжет похорон кота мышами встречается в западноевропейской графике ещё до петровского времени. Пример показывает, как легко исследователь вчитывает в народную картинку политический смысл, которого её создатели могли и не вкладывать.</w:t>
      </w:r>
    </w:p>
    <w:p>
      <w:pPr>
        <w:pStyle w:val="Слайд"/>
      </w:pPr>
      <w:r>
        <w:t>[слайд 20 — Дворянское двуязычие]</w:t>
      </w:r>
    </w:p>
    <w:p>
      <w:pPr>
        <w:pStyle w:val="BodyText"/>
      </w:pPr>
      <w:r>
        <w:t>Французский язык вытеснил немецкий в качестве языка двора при Елизавете Петровне, ориентировавшейся на Версаль. К концу века дети столичной знати нередко учились говорить по-французски раньше, чем по-русски, у гувернёров и гувернанток, среди которых были и образованные эмигранты, и случайные люди. Выбор языка в разговоре нёс социальную информацию: по-французски говорили о свете, литературе, чувствах; по-русски — о хозяйстве, службе, с прислугой и в церкви. Документы эпохи показывают, что многие дворяне писали частные письма по-французски, а деловые — по-русски, и переключались с языка на язык в пределах одного текста.</w:t>
      </w:r>
    </w:p>
    <w:p>
      <w:pPr>
        <w:pStyle w:val="BodyText"/>
      </w:pPr>
      <w:r>
        <w:t>Галломания стала постоянной мишенью сатиры. В «Бригадире» Фонвизина, написанном около 1769 года, Иванушка, вернувшийся из Парижа, презирает всё русское и утверждает, что телом он родился в России, а духом принадлежит французской короне. Журналы Новикова печатали письма вымышленных щёголей, коверкавших русскую речь французскими словами. Сатира задевала и родителей: в «Недоросле» учителем Митрофана служит немец Вральман, бывший кучер, выдающий себя за знатока наук.</w:t>
      </w:r>
    </w:p>
    <w:p>
      <w:pPr>
        <w:pStyle w:val="BodyText"/>
      </w:pPr>
      <w:r>
        <w:t>Само слово «недоросль» было юридическим термином. Петровское законодательство называло так дворянских сыновей, ещё не достигших возраста службы, и обязывало их являться на смотры, где проверялись знания и определялось место будущей службы. Митрофанушке шестнадцать лет, он уже должен был бы служить, и комедия обыгрывает положение, возникшее после манифеста 1762 года: обязанность служить отменена, обязанность учиться формально сохранена, но никто её не проверяет. Стародум, рассуждая о воспитании и о долге дворянина, формулирует позицию автора: привилегии сословия оправданы только его заслугами перед отечеством.</w:t>
      </w:r>
    </w:p>
    <w:p>
      <w:pPr>
        <w:pStyle w:val="BodyText"/>
      </w:pPr>
      <w:r>
        <w:t>Ю. М. Лотман в статье «Поэтика бытового поведения в русской культуре XVIII века» (1977) и в позднейших «Беседах о русской культуре» описал, как европейские нормы поведения осваивались русским дворянином. Европеец усваивал манеры с детства, бессознательно, как родной язык; русский дворянин петровского и послепетровского времени учил их по руководствам вроде «Юности честного зерцала» (1717), сознательно, как иностранный язык. Следствием было ощущение театральности собственной жизни: поступки воспринимались как роль, которую нужно хорошо сыграть, а образцы поведения брались из литературы и истории. Эта концепция объясняет, почему для дворян конца века так важен был выбор литературного образца — античного героя, сентиментального чувствительного человека, вольтерьянца.</w:t>
      </w:r>
    </w:p>
    <w:p>
      <w:pPr>
        <w:pStyle w:val="Слайд"/>
      </w:pPr>
      <w:r>
        <w:t>[слайд 21 — Основные позиции в историографии]</w:t>
      </w:r>
    </w:p>
    <w:p>
      <w:pPr>
        <w:pStyle w:val="BodyText"/>
      </w:pPr>
      <w:r>
        <w:t>Тезис о разрыве наиболее полно сформулировали славянофилы. И. В. Киреевский в статье «О характере просвещения Европы и о его отношении к просвещению России» (1852) доказывал, что заимствованное европейское образование оторвало высшие классы от православной основы народной жизни. К. С. Аксаков противопоставлял «публику», говорящую по-французски и читающую журналы, «народу», сохранившему прежний строй жизни, и видел в этом разделении прямое следствие петровских преобразований. Позицию поддерживает наглядный материал: различие одежды, языка, чтения, праздников у барина и крестьянина бросалось в глаза любому иностранному путешественнику.</w:t>
      </w:r>
    </w:p>
    <w:p>
      <w:pPr>
        <w:pStyle w:val="BodyText"/>
      </w:pPr>
      <w:r>
        <w:t>Тезис о преемственности опирается на изучение XVII столетия. Д. С. Лихачёв показал, что в литературе второй половины XVII века уже появились светские жанры, вымышленный герой и барочная поэтика, пришедшая через Польшу и Украину. А. М. Панченко в книге «Русская культура в канун петровских реформ» (1984) описал, как при царе Алексее Михайловиче и его детях возникли придворный театр, школы, силлабическая поэзия Симеона Полоцкого. Для этих исследователей петровское время ускорило процесс обмирщения, начатый за полвека до него. Слабость позиции в том, что она хуже объясняет быстроту и резкость перемен первой четверти XVIII века.</w:t>
      </w:r>
    </w:p>
    <w:p>
      <w:pPr>
        <w:pStyle w:val="BodyText"/>
      </w:pPr>
      <w:r>
        <w:t>Третья позиция, представленная Ю. М. Лотманом и Б. А. Успенским, прежде всего в их совместной работе «Роль дуальных моделей в динамике русской культуры (до конца XVIII века)» (1977), описывает механизм. Русская культура, по их мнению, мыслила изменения через противопоставление старого и нового, и новое строилось как выворачивание старого наизнанку: то, что прежде считалось грешным, объявлялось достойным, и наоборот. Американский историк М. Раев в книге «Истоки русской интеллигенции» (1966) предложил ещё одну, социальную, версию: образованное дворянство XVIII века, воспитанное в закрытых корпусах и на европейской книге, лишилось прочных связей и со своей семейной средой, и с народом, и это отчуждение подготовило появление интеллигенции в следующем веке.</w:t>
      </w:r>
    </w:p>
    <w:p>
      <w:pPr>
        <w:pStyle w:val="BodyText"/>
      </w:pPr>
      <w:r>
        <w:t>Различие позиций удобно описывать через вопрос, на который каждая из них отвечает. Сторонники разрыва говорят о состоянии общества к концу века, сторонники преемственности — об истоках перемен, семиотический подход — о способе их усвоения. При работе над эссе важно ясно определить, какой из этих вопросов выбран, иначе аргументы разных позиций будут сталкиваться без общего предмета.</w:t>
      </w:r>
    </w:p>
    <w:p>
      <w:pPr>
        <w:pStyle w:val="Heading2"/>
      </w:pPr>
      <w:r>
        <w:t>Заключение</w:t>
      </w:r>
    </w:p>
    <w:p>
      <w:pPr>
        <w:pStyle w:val="Слайд"/>
      </w:pPr>
      <w:r>
        <w:t>[слайд 22 — Основные выводы]</w:t>
      </w:r>
    </w:p>
    <w:p>
      <w:pPr>
        <w:pStyle w:val="BodyText"/>
      </w:pPr>
      <w:r>
        <w:t>Выводы темы связаны общей линией. За столетие в России возникли почти все учреждения светской культуры, которые будут работать в XIX веке, и сложился литературный язык, пригодный для науки, права и художественной прозы. Распространение нового знания шло сверху вниз: от двора и столиц к губернским городам, от дворянства к городским сословиям. Скорость этого распространения определялась спросом на образование внутри каждой группы, поэтому среди купцов и мещан оно шло быстрее, чем в провинциальном дворянстве, а крестьянство и в конце века оставалось почти вне школы. Наука, финансируемая казной, достигла наибольших успехов в описании собственной страны.</w:t>
      </w:r>
    </w:p>
    <w:p>
      <w:pPr>
        <w:pStyle w:val="BodyText"/>
      </w:pPr>
      <w:r>
        <w:t>Последний вывод относится к границе доступа. Свободный подданный мог при желании и средствах пройти путь от училища до университета; крепостной такой возможности не имел, пока сохранялась его зависимость от помещика. Эта граница станет одной из главных тем истории культуры XIX века и будет прослежена в теме 6.8.</w:t>
      </w:r>
    </w:p>
    <w:p>
      <w:pPr>
        <w:pStyle w:val="Слайд"/>
      </w:pPr>
      <w:r>
        <w:t>[слайд 23 — Задания для самостоятельной работы]</w:t>
      </w:r>
    </w:p>
    <w:p>
      <w:pPr>
        <w:pStyle w:val="BodyText"/>
      </w:pPr>
      <w:r>
        <w:t>При работе с указом 1755 года полезно обратить внимание на обоснование, которое даёт сам текст: зачем нужен университет именно в Москве, какую пользу он должен принести, почему для дворян и разночинцев учреждены отдельные гимназии. Устав 1786 года следует читать с вопросом о том, какие обязанности он возлагает на учителя, какие права и обязанности получает ученик и какие предметы изучаются на каждой ступени. В обоих случаях ответ должен опираться на конкретные статьи документа.</w:t>
      </w:r>
    </w:p>
    <w:p>
      <w:pPr>
        <w:pStyle w:val="BodyText"/>
      </w:pPr>
      <w:r>
        <w:t>Таблица по образованию составляется в хронологическом порядке и должна охватывать все три этапа развития школы: петровский, сословный и екатерининский. Столбец «к какой службе готовили» является ключевым: именно в нём видна смена задачи школы. Эссе требует выбора одного культурного мира — дворянского, духовного, купеческого или крестьянского — и анализа того, что в нём изменилось за столетие и что осталось прежним, с опорой на одну из историографических позиций слайда 21.</w:t>
      </w:r>
    </w:p>
    <w:p>
      <w:pPr>
        <w:pStyle w:val="BodyText"/>
      </w:pPr>
      <w:r>
        <w:t>Для задания с учётом профиля подходят слова, история которых хорошо документирована: «промышленность», «влияние», «впечатление», «развитие», «общественность», «чувствительный», «вкус». Источники сведений — исторические и этимологические словари русского языка, словарь Академии Российской и работы по истории языка, в том числе книга В. М. Живова.</w:t>
      </w:r>
    </w:p>
    <w:p>
      <w:pPr>
        <w:pStyle w:val="Слайд"/>
      </w:pPr>
      <w:r>
        <w:t>[слайд 24 — Литература]</w:t>
      </w:r>
    </w:p>
    <w:p>
      <w:pPr>
        <w:pStyle w:val="BodyText"/>
      </w:pPr>
      <w:r>
        <w:t>Обобщающий труд под редакцией А. Н. Сахарова даёт фактическую основу темы. «Очерки русской культуры XVIII века» под редакцией Б. А. Рыбакова охватывают все области культуры, от школы до архитектуры, и полезны для таблицы. Книги Ю. М. Лотмана и А. М. Панченко представляют две из трёх историографических позиций и рекомендуются для эссе. Комедию Фонвизина лучше прочитать целиком: она невелика и служит источником по быту и представлениям дворянства 1780-х годов.</w:t>
      </w:r>
    </w:p>
    <w:sectPr>
      <w:footerReference w:type="default" r:id="rId9"/>
      <w:pgSz w:w="11906" w:h="16838"/>
      <w:pgMar w:top="1134" w:bottom="1134" w:left="1701" w:right="85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instrText xml:space="preserve">PAGE</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99414">
    <w:nsid w:val="71315dca"/>
    <w:multiLevelType w:val="multilevel"/>
    <w:lvl w:ilvl="0">
      <w:start w:val="4"/>
      <w:numFmt w:val="decimal"/>
      <w:lvlText w:val="%1."/>
      <w:lvlJc w:val="left"/>
      <w:pPr>
        <w:tabs>
          <w:tab w:val="num" w:pos="0"/>
        </w:tabs>
        <w:ind w:left="480" w:hanging="480"/>
      </w:pPr>
    </w:lvl>
    <w:lvl w:ilvl="1">
      <w:start w:val="4"/>
      <w:numFmt w:val="decimal"/>
      <w:lvlText w:val="%2."/>
      <w:lvlJc w:val="left"/>
      <w:pPr>
        <w:tabs>
          <w:tab w:val="num" w:pos="720"/>
        </w:tabs>
        <w:ind w:left="1200" w:hanging="480"/>
      </w:pPr>
    </w:lvl>
    <w:lvl w:ilvl="2">
      <w:start w:val="4"/>
      <w:numFmt w:val="decimal"/>
      <w:lvlText w:val="%3."/>
      <w:lvlJc w:val="left"/>
      <w:pPr>
        <w:tabs>
          <w:tab w:val="num" w:pos="1440"/>
        </w:tabs>
        <w:ind w:left="1920" w:hanging="480"/>
      </w:pPr>
    </w:lvl>
    <w:lvl w:ilvl="3">
      <w:start w:val="4"/>
      <w:numFmt w:val="decimal"/>
      <w:lvlText w:val="%4."/>
      <w:lvlJc w:val="left"/>
      <w:pPr>
        <w:tabs>
          <w:tab w:val="num" w:pos="2160"/>
        </w:tabs>
        <w:ind w:left="2640" w:hanging="480"/>
      </w:pPr>
    </w:lvl>
    <w:lvl w:ilvl="4">
      <w:start w:val="4"/>
      <w:numFmt w:val="decimal"/>
      <w:lvlText w:val="%5."/>
      <w:lvlJc w:val="left"/>
      <w:pPr>
        <w:tabs>
          <w:tab w:val="num" w:pos="2880"/>
        </w:tabs>
        <w:ind w:left="3360" w:hanging="480"/>
      </w:pPr>
    </w:lvl>
    <w:lvl w:ilvl="5">
      <w:start w:val="4"/>
      <w:numFmt w:val="decimal"/>
      <w:lvlText w:val="%6."/>
      <w:lvlJc w:val="left"/>
      <w:pPr>
        <w:tabs>
          <w:tab w:val="num" w:pos="3600"/>
        </w:tabs>
        <w:ind w:left="4080" w:hanging="480"/>
      </w:pPr>
    </w:lvl>
    <w:lvl w:ilvl="6">
      <w:start w:val="4"/>
      <w:numFmt w:val="decimal"/>
      <w:lvlText w:val="%7."/>
      <w:lvlJc w:val="left"/>
      <w:pPr>
        <w:tabs>
          <w:tab w:val="num" w:pos="4320"/>
        </w:tabs>
        <w:ind w:left="4800" w:hanging="480"/>
      </w:pPr>
    </w:lvl>
    <w:lvl w:ilvl="7">
      <w:start w:val="4"/>
      <w:numFmt w:val="decimal"/>
      <w:lvlText w:val="%8."/>
      <w:lvlJc w:val="left"/>
      <w:pPr>
        <w:tabs>
          <w:tab w:val="num" w:pos="5040"/>
        </w:tabs>
        <w:ind w:left="5520" w:hanging="480"/>
      </w:pPr>
    </w:lvl>
    <w:lvl w:ilvl="8">
      <w:start w:val="4"/>
      <w:numFmt w:val="decimal"/>
      <w:lvlText w:val="%9."/>
      <w:lvlJc w:val="left"/>
      <w:pPr>
        <w:tabs>
          <w:tab w:val="num" w:pos="5760"/>
        </w:tabs>
        <w:ind w:left="624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pPr>
      <w:spacing w:line="360" w:lineRule="auto" w:before="0" w:after="0"/>
      <w:ind w:firstLine="709"/>
      <w:jc w:val="both"/>
    </w:pPr>
    <w:rPr>
      <w:rFonts w:ascii="Times New Roman" w:hAnsi="Times New Roman" w:cs="Times New Roman" w:eastAsia="Times New Roman"/>
      <w:color w:val="000000"/>
      <w:sz w:val="28"/>
    </w:rPr>
  </w:style>
  <w:style w:type="paragraph" w:styleId="BodyText">
    <w:name w:val="Body Text"/>
    <w:basedOn w:val="Normal"/>
    <w:link w:val="BodyTextChar"/>
    <w:pPr>
      <w:spacing w:before="0" w:after="0" w:line="360" w:lineRule="auto"/>
      <w:ind w:firstLine="709"/>
      <w:jc w:val="both"/>
    </w:pPr>
    <w:qFormat/>
    <w:rPr>
      <w:rFonts w:ascii="Times New Roman" w:hAnsi="Times New Roman" w:cs="Times New Roman" w:eastAsia="Times New Roman"/>
      <w:color w:val="000000"/>
      <w:sz w:val="28"/>
    </w:rPr>
  </w:style>
  <w:style w:type="paragraph" w:customStyle="1" w:styleId="FirstParagraph">
    <w:name w:val="First Paragraph"/>
    <w:basedOn w:val="BodyText"/>
    <w:next w:val="BodyText"/>
    <w:qFormat/>
    <w:pPr>
      <w:spacing w:line="360" w:lineRule="auto" w:before="0" w:after="0"/>
      <w:ind w:firstLine="709"/>
      <w:jc w:val="both"/>
    </w:pPr>
    <w:rPr>
      <w:rFonts w:ascii="Times New Roman" w:hAnsi="Times New Roman" w:cs="Times New Roman" w:eastAsia="Times New Roman"/>
      <w:color w:val="000000"/>
      <w:sz w:val="28"/>
    </w:rPr>
  </w:style>
  <w:style w:type="paragraph" w:customStyle="1" w:styleId="Compact">
    <w:name w:val="Compact"/>
    <w:basedOn w:val="BodyText"/>
    <w:qFormat/>
    <w:pPr>
      <w:spacing w:before="36" w:after="36" w:line="276" w:lineRule="auto"/>
      <w:ind w:firstLine="0"/>
    </w:pPr>
    <w:rPr>
      <w:rFonts w:ascii="Times New Roman" w:hAnsi="Times New Roman" w:cs="Times New Roman" w:eastAsia="Times New Roman"/>
      <w:color w:val="000000"/>
      <w:sz w:val="28"/>
    </w:rPr>
  </w:style>
  <w:style w:type="paragraph" w:styleId="Title">
    <w:name w:val="Title"/>
    <w:basedOn w:val="Normal"/>
    <w:next w:val="BodyText"/>
    <w:qFormat/>
    <w:pPr>
      <w:keepNext/>
      <w:keepLines/>
      <w:spacing w:before="0" w:after="240"/>
      <w:ind w:firstLine="0"/>
      <w:jc w:val="center"/>
    </w:pPr>
    <w:rPr>
      <w:rFonts w:ascii="Times New Roman" w:hAnsi="Times New Roman" w:cs="Times New Roman" w:eastAsia="Times New Roman"/>
      <w:b/>
      <w:bCs/>
      <w:i w:val="0"/>
      <w:color w:val="000000"/>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360" w:after="240"/>
      <w:ind w:firstLine="0"/>
      <w:jc w:val="center"/>
      <w:outlineLvl w:val="0"/>
    </w:pPr>
    <w:rPr>
      <w:rFonts w:ascii="Times New Roman" w:hAnsi="Times New Roman" w:cs="Times New Roman" w:eastAsia="Times New Roman"/>
      <w:b/>
      <w:bCs/>
      <w:i w:val="0"/>
      <w:color w:val="000000"/>
      <w:sz w:val="32"/>
      <w:szCs w:val="32"/>
    </w:rPr>
  </w:style>
  <w:style w:type="paragraph" w:styleId="Heading2">
    <w:name w:val="Heading 2"/>
    <w:basedOn w:val="Normal"/>
    <w:next w:val="BodyText"/>
    <w:uiPriority w:val="9"/>
    <w:unhideWhenUsed/>
    <w:qFormat/>
    <w:pPr>
      <w:keepNext/>
      <w:keepLines/>
      <w:spacing w:before="320" w:after="160"/>
      <w:ind w:firstLine="0"/>
      <w:jc w:val="left"/>
      <w:outlineLvl w:val="1"/>
    </w:pPr>
    <w:rPr>
      <w:rFonts w:ascii="Times New Roman" w:hAnsi="Times New Roman" w:cs="Times New Roman" w:eastAsia="Times New Roman"/>
      <w:b/>
      <w:bCs/>
      <w:i w:val="0"/>
      <w:color w:val="000000"/>
      <w:sz w:val="30"/>
      <w:szCs w:val="28"/>
    </w:rPr>
  </w:style>
  <w:style w:type="paragraph" w:styleId="Heading3">
    <w:name w:val="Heading 3"/>
    <w:basedOn w:val="Normal"/>
    <w:next w:val="BodyText"/>
    <w:uiPriority w:val="9"/>
    <w:unhideWhenUsed/>
    <w:qFormat/>
    <w:pPr>
      <w:keepNext/>
      <w:keepLines/>
      <w:spacing w:before="240" w:after="120"/>
      <w:ind w:firstLine="0"/>
      <w:jc w:val="left"/>
      <w:outlineLvl w:val="2"/>
    </w:pPr>
    <w:rPr>
      <w:rFonts w:ascii="Times New Roman" w:hAnsi="Times New Roman" w:cs="Times New Roman" w:eastAsia="Times New Roman"/>
      <w:b/>
      <w:bCs/>
      <w:i w:val="0"/>
      <w:color w:val="000000"/>
      <w:sz w:val="28"/>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Слайд">
    <w:name w:val="Слайд"/>
    <w:basedOn w:val="Normal"/>
    <w:pPr>
      <w:keepNext/>
      <w:spacing w:before="200" w:after="40" w:line="240" w:lineRule="auto"/>
      <w:ind w:firstLine="0"/>
      <w:jc w:val="left"/>
    </w:pPr>
    <w:rPr>
      <w:rFonts w:ascii="Times New Roman" w:hAnsi="Times New Roman" w:cs="Times New Roman" w:eastAsia="Times New Roman"/>
      <w:b w:val="0"/>
      <w:i/>
      <w:color w:val="801F1F"/>
      <w:sz w:val="22"/>
    </w:rPr>
  </w:style>
  <w:style w:type="paragraph" w:customStyle="1" w:styleId="Шапка">
    <w:name w:val="Шапка"/>
    <w:basedOn w:val="Normal"/>
    <w:pPr>
      <w:spacing w:line="276" w:lineRule="auto"/>
      <w:ind w:firstLine="0"/>
      <w:jc w:val="center"/>
    </w:pPr>
    <w:rPr>
      <w:rFonts w:ascii="Times New Roman" w:hAnsi="Times New Roman" w:cs="Times New Roman" w:eastAsia="Times New Roman"/>
      <w:color w:val="000000"/>
      <w:sz w:val="26"/>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Тема 5.1. Россия в эпоху преобразований Петра I</dc:title>
  <dc:creator>Колесников Михаил Алексеевич</dc:creator>
  <cp:keywords/>
  <dcterms:created xsi:type="dcterms:W3CDTF">2026-09-30T07:50:03Z</dcterms:created>
  <dcterms:modified xsi:type="dcterms:W3CDTF">2026-09-30T07:50:03Z</dcterms:modified>
</cp:coreProperties>
</file>

<file path=docProps/custom.xml><?xml version="1.0" encoding="utf-8"?>
<Properties xmlns="http://schemas.openxmlformats.org/officeDocument/2006/custom-properties" xmlns:vt="http://schemas.openxmlformats.org/officeDocument/2006/docPropsVTypes"/>
</file>