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6.2. Николаевская Россия</w:t>
      </w:r>
    </w:p>
    <w:p>
      <w:pPr>
        <w:pStyle w:val="Шапка"/>
      </w:pPr>
      <w:r>
        <w:t>Раздел 6. Российская империя в XIX — начале XX в. · 2 академических часа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Тема 6.1 завершилась выводом о том, что победа над Наполеоном укрепила самодержавие и сделала его преобразование в глазах власти излишним. Царствование Николая I показывает, как распорядился этим укреплённым самодержавием следующий государь. Рамки темы заданы двумя событиями, которые современники воспринимали как рубежи: вооружённым выступлением гвардии в столице в декабре 1825 года и мирным конгрессом в Париже весной 1856 года, подведшим итог первой за сорок лет войне России против коалиции европейских держав.</w:t>
      </w:r>
    </w:p>
    <w:p>
      <w:pPr>
        <w:pStyle w:val="Слайд"/>
      </w:pPr>
      <w:r>
        <w:t>[слайд 2 — Постановка проблемы]</w:t>
      </w:r>
    </w:p>
    <w:p>
      <w:pPr>
        <w:pStyle w:val="BodyText"/>
      </w:pPr>
      <w:r>
        <w:t>Противоречие, вынесенное в постановку проблемы, ощущали уже современники. П. А. Валуев, будущий министр внутренних дел, осенью 1855 года, в разгар обороны Севастополя, написал записку «Дума русского во второй половине 1855 года», которая ходила в списках по Петербургу. Главная её мысль сводилась к формуле «сверху блеск, внизу гниль»: бумажная отчётность создавала картину полного благополучия, а действительность обнаруживала себя только в катастрофе. Записка принадлежит человеку, сделавшему карьеру внутри николаевского аппарата, и потому особенно показательна.</w:t>
      </w:r>
    </w:p>
    <w:p>
      <w:pPr>
        <w:pStyle w:val="BodyText"/>
      </w:pPr>
      <w:r>
        <w:t>Вместе с тем перечень достижений царствования внушителен, и он не выдуман позднейшими апологетами. Свод законов действовал до 1917 года, рубль Канкрина держался полтора десятилетия, дорога Петербург — Москва работает до сих пор. Задача темы состоит в том, чтобы объяснить, как одна и та же система управления дала и эти результаты, и поражение 1855 года.</w:t>
      </w:r>
    </w:p>
    <w:p>
      <w:pPr>
        <w:pStyle w:val="Слайд"/>
      </w:pPr>
      <w:r>
        <w:t>[слайд 3 — План лекции · час первый]</w:t>
      </w:r>
    </w:p>
    <w:p>
      <w:pPr>
        <w:pStyle w:val="BodyText"/>
      </w:pPr>
      <w:r>
        <w:t>Шесть вопросов лекции разделены по часам. Первые три относятся к государству и хозяйству: устройство власти, крестьянский вопрос, промышленность и деньги. Вторые три — к обществу и войне: государственная идеология, спор о пути России, Крымская война. Связь между двумя половинами проходит через одну проблему: как система, стремившаяся всё знать и всё решать сама, получала сведения о стране и что происходило, когда эти сведения оказывались ложными.</w:t>
      </w:r>
    </w:p>
    <w:p>
      <w:pPr>
        <w:pStyle w:val="Слайд"/>
      </w:pPr>
      <w:r>
        <w:t>[слайд 4 — Координаты темы]</w:t>
      </w:r>
    </w:p>
    <w:p>
      <w:pPr>
        <w:pStyle w:val="BodyText"/>
      </w:pPr>
      <w:r>
        <w:t>Хронологическая лента позволяет увидеть ритм царствования. Первое десятилетие — время строительства: канцелярия, кодификация, идеологическая формула. Конец 1830-х и начало 1840-х годов — время самых значительных преобразований в хозяйстве и государственной деревне. Рубеж 1848 года, когда революции прокатились от Парижа до Вены и Будапешта, делит царствование на две части: последние семь лет историки нередко называют «мрачным семилетием», временем усиленной цензуры, сокращения числа студентов и политических процессов.</w:t>
      </w:r>
    </w:p>
    <w:p>
      <w:pPr>
        <w:pStyle w:val="BodyText"/>
      </w:pPr>
      <w:r>
        <w:t>Двойные даты в нижней части ленты напоминают о календарном расхождении: в XIX веке юлианский календарь отставал от григорианского на 12 суток, и европейские документы о Парижском мире датированы 30 марта, а русские — 18-м.</w:t>
      </w:r>
    </w:p>
    <w:p>
      <w:pPr>
        <w:pStyle w:val="Heading2"/>
      </w:pPr>
      <w:r>
        <w:t>Вопрос первый. Государственный строй</w:t>
      </w:r>
    </w:p>
    <w:p>
      <w:pPr>
        <w:pStyle w:val="Слайд"/>
      </w:pPr>
      <w:r>
        <w:t>[слайд 5 — Вопрос первый]</w:t>
      </w:r>
    </w:p>
    <w:p>
      <w:pPr>
        <w:pStyle w:val="BodyText"/>
      </w:pPr>
      <w:r>
        <w:t>Первый вопрос посвящён устройству власти: как опыт декабря 1825 года определил способ управления, какие учреждения появились над министерствами и что дала стране кодификация законов.</w:t>
      </w:r>
    </w:p>
    <w:p>
      <w:pPr>
        <w:pStyle w:val="Слайд"/>
      </w:pPr>
      <w:r>
        <w:t>[слайд 6 — 14 декабря 1825 года]</w:t>
      </w:r>
    </w:p>
    <w:p>
      <w:pPr>
        <w:pStyle w:val="BodyText"/>
      </w:pPr>
      <w:r>
        <w:t>Междуцарствие стало возможным из-за особенностей престолонаследия. Закон Павла I 1797 года установил передачу трона старшему сыну, а при его отсутствии — следующему брату. Константин Павлович, женатый вторым браком на польской графине Иоанне Грудзинской, отказался от прав на престол в письме 1822 года, и Александр I в 1823 году подписал манифест о передаче прав Николаю. Экземпляры манифеста хранились в Успенском соборе Кремля, в Государственном совете, Сенате и Синоде, но обнародован он не был. Когда 27 ноября 1825 года пришло известие о смерти императора, петербургский генерал-губернатор М. А. Милорадович настоял на немедленной присяге Константину, и Николай подчинился, опасаясь беспорядков в гвардии.</w:t>
      </w:r>
    </w:p>
    <w:p>
      <w:pPr>
        <w:pStyle w:val="BodyText"/>
      </w:pPr>
      <w:r>
        <w:t>Тайные общества воспользовались этой паузой. Восставшие рассчитывали принудить Сенат издать манифест о созыве учредительного собрания и передаче власти временному правлению. Сенаторы, однако, присягнули Николаю ещё рано утром, до прихода войск на площадь. Несколько часов противостояния унесли жизнь Милорадовича, смертельно раненного П. Г. Каховским, и закончились картечными залпами. Число погибших остаётся предметом спора: приводимая в литературе цифра около 1270 человек, восходящая к подсчётам чиновника С. Н. Корсакова, многими исследователями признаётся завышенной.</w:t>
      </w:r>
    </w:p>
    <w:p>
      <w:pPr>
        <w:pStyle w:val="BodyText"/>
      </w:pPr>
      <w:r>
        <w:t>В европейском контексте декабрьское выступление принадлежит к волне офицерских революций начала 1820-х годов: испанской 1820 года, начатой полковником Р. Риего, неаполитанской и пьемонтской. Все они были подавлены, и общей их чертой было стремление военных навязать монархии конституцию.</w:t>
      </w:r>
    </w:p>
    <w:p>
      <w:pPr>
        <w:pStyle w:val="Слайд"/>
      </w:pPr>
      <w:r>
        <w:t>[слайд 7 — Выводы власти из 14 декабря]</w:t>
      </w:r>
    </w:p>
    <w:p>
      <w:pPr>
        <w:pStyle w:val="BodyText"/>
      </w:pPr>
      <w:r>
        <w:t>Следствие показало Николаю, насколько широко идеи тайных обществ распространились в гвардии и среди образованного дворянства. Среди осуждённых были представители старейших фамилий — князья Трубецкой, Оболенский, Волконский, — и почти каждый член императорской фамилии имел знакомых среди подследственных. Приговор был мягче, чем предусматривал суд: первоначально к смертной казни четвертованием приговорили пятерых, к отсечению головы — тридцать одного; император заменил большинству смертную казнь каторгой. Казнены П. И. Пестель, К. Ф. Рылеев, С. И. Муравьёв-Апостол, М. П. Бестужев-Рюмин и П. Г. Каховский.</w:t>
      </w:r>
    </w:p>
    <w:p>
      <w:pPr>
        <w:pStyle w:val="BodyText"/>
      </w:pPr>
      <w:r>
        <w:t>Записка А. Д. Боровкова, известная как «Свод показаний членов злоумышленного общества о внутреннем состоянии государства», была составлена в 1827 году. Николай передал её В. П. Кочубею, председателю первого секретного комитета, и тем самым показания противников превратились в программу правительственных мер. Перечень, содержавшийся в записке, — неясность законов, медленность суда, взяточничество, расстройство финансов, положение крестьян — почти совпадает с перечнем задач, за которые власть взялась в последующие годы.</w:t>
      </w:r>
    </w:p>
    <w:p>
      <w:pPr>
        <w:pStyle w:val="BodyText"/>
      </w:pPr>
      <w:r>
        <w:t>Кадр из фильма В. Я. Мотыля напоминает об ином последствии событий: о жёнах осуждённых, последовавших за мужьями в Сибирь. Первой выехала Е. И. Трубецкая, всего в Сибирь отправились одиннадцать женщин. Венчание И. А. Анненкова с француженкой Полиной Гёбль, принявшей в православии имя Прасковьи, состоялось в Чите в 1828 году, и для его совершения потребовалось разрешение императора. Декабристская ссылка на десятилетия стала одним из факторов культурной жизни Сибири: в Иркутске, Тобольске, Ялуторовске ссыльные открывали школы, вели метеорологические наблюдения, занимались медициной.</w:t>
      </w:r>
    </w:p>
    <w:p>
      <w:pPr>
        <w:pStyle w:val="Слайд"/>
      </w:pPr>
      <w:r>
        <w:t>[слайд 8 — Государь-инженер]</w:t>
      </w:r>
    </w:p>
    <w:p>
      <w:pPr>
        <w:pStyle w:val="BodyText"/>
      </w:pPr>
      <w:r>
        <w:t>Николай родился в 1796 году и был на девятнадцать лет младше Александра. Воспитанием его руководил генерал М. И. Ламздорф, применявший телесные наказания; учителя пытались преподавать великому князю политическую экономию и право, однако сам он позднее признавался, что лекции эти вызывали у него скуку. Подлинным увлечением стали фортификация и инженерное дело. В 1817 году он получил должность генерал-инспектора по инженерной части и занимался ею с увлечением, отчего в военной среде за ним закрепилось прозвище «наш инженер».</w:t>
      </w:r>
    </w:p>
    <w:p>
      <w:pPr>
        <w:pStyle w:val="BodyText"/>
      </w:pPr>
      <w:r>
        <w:t>Американский историк М. Раев в книге «Регулярное полицейское государство» (1983) показал, что идеал государства как хорошо отлаженного механизма, где каждая деталь выполняет предписанную функцию, сложился в германских княжествах XVII–XVIII веков и был воспринят в России при Петре I. Николай довёл этот идеал до предела, перенеся на гражданское управление армейский образец. В этом он не был одинок: прусская монархия Фридриха Вильгельма III и австрийская система канцлера К. Меттерниха исходили из сходных представлений о порядке.</w:t>
      </w:r>
    </w:p>
    <w:p>
      <w:pPr>
        <w:pStyle w:val="BodyText"/>
      </w:pPr>
      <w:r>
        <w:t>Обычай поручать дела доверенным лицам в обход министерств приводил к тому, что генералы руководили ведомствами, далёкими от военного дела. Главноуправляющим путями сообщения был генерал П. А. Клейнмихель, почтовым ведомством — генерал В. Ф. Адлерберг, министром государственных имуществ стал генерал П. Д. Киселёв. Сам государь работал по многу часов в день, лично читал огромное количество бумаг, неожиданно появлялся в учреждениях с проверками. Эта личная включённость была и силой, и слабостью системы: внимание одного человека, даже очень трудолюбивого, не могло охватить империю с населением около шестидесяти миллионов.</w:t>
      </w:r>
    </w:p>
    <w:p>
      <w:pPr>
        <w:pStyle w:val="Слайд"/>
      </w:pPr>
      <w:r>
        <w:t>[слайд 9 — Собственная канцелярия]</w:t>
      </w:r>
    </w:p>
    <w:p>
      <w:pPr>
        <w:pStyle w:val="BodyText"/>
      </w:pPr>
      <w:r>
        <w:t>Собственная канцелярия существовала и при Александре I, однако занималась прежде всего прошениями на высочайшее имя. Николай превратил её в систему отделений, каждое из которых ведало кругом дел, признанных особо важными. По сути, это была вторая система управления, построенная поверх первой: министерства продолжали работать в обычном порядке, но важнейшие решения принимались через отделения, начальники которых имели прямой доклад у государя.</w:t>
      </w:r>
    </w:p>
    <w:p>
      <w:pPr>
        <w:pStyle w:val="BodyText"/>
      </w:pPr>
      <w:r>
        <w:t>Третье отделение заслуживает отдельного внимания, поскольку именно оно определило облик царствования в памяти потомков. По замыслу А. Х. Бенкендорфа, оно должно было стать «оком государя», собирающим сведения о настроениях общества, злоупотреблениях чиновников, раскольниках, иностранцах, фальшивомонетчиках. Штат его при создании насчитывал менее двух десятков чиновников; действовало оно через Корпус жандармов, разделённый на округа. Предание приписывает Николаю жест, которым он будто бы вручил Бенкендорфу платок со словами о том, что этим платком следует утирать слёзы обиженных. Анекдот этот не подтверждается документами, однако он хорошо передаёт официальное представление о задаче учреждения: жандарм мыслился как защитник подданных от произвола чиновников.</w:t>
      </w:r>
    </w:p>
    <w:p>
      <w:pPr>
        <w:pStyle w:val="BodyText"/>
      </w:pPr>
      <w:r>
        <w:t>Пятое отделение, через год преобразованное в министерство, показывает, как работал механизм: особое отделение создавалось для подготовки дела в тайне, затем, когда дело переходило в стадию исполнения, получало форму обычного ведомства.</w:t>
      </w:r>
    </w:p>
    <w:p>
      <w:pPr>
        <w:pStyle w:val="Слайд"/>
      </w:pPr>
      <w:r>
        <w:t>[слайд 10 — Механика личного управления]</w:t>
      </w:r>
    </w:p>
    <w:p>
      <w:pPr>
        <w:pStyle w:val="BodyText"/>
      </w:pPr>
      <w:r>
        <w:t>Механизм, изображённый на слайде, описан в работах П. А. Зайончковского и его последователей. По их подсчётам, численность гражданских чиновников, составлявшая в конце XVIII века около шестнадцати тысяч, к концу 1850-х годов превысила восемьдесят тысяч человек, тогда как население за то же время выросло менее чем вдвое. Рост объяснялся самой логикой контроля: каждое новое поручение требовало исполнителей, каждый исполнитель — проверяющих, каждая проверка — отчёта.</w:t>
      </w:r>
    </w:p>
    <w:p>
      <w:pPr>
        <w:pStyle w:val="BodyText"/>
      </w:pPr>
      <w:r>
        <w:t>Литература того времени оставила классические описания этой системы. Гоголевский «Ревизор» (1836) построен на ситуации, в которой ревизия сама становится спектаклем, а «Мёртвые души» — на возможности торговать умершими крестьянами, которые по ревизским сказкам числились живыми до следующей переписи. Николай, по свидетельству современников, присутствовал на премьере «Ревизора» и разрешил его постановку, заметив, что досталось всем, а ему более всех. Эпизод показывает, что государь видел пороки аппарата; средств исправить их, кроме новых проверок, система не знала.</w:t>
      </w:r>
    </w:p>
    <w:p>
      <w:pPr>
        <w:pStyle w:val="BodyText"/>
      </w:pPr>
      <w:r>
        <w:t>Французский путешественник маркиз А. де Кюстин, посетивший Россию в 1839 году, писал о стране, где фасад скрывает действительность, а чиновники образуют особую касту между государем и народом. Его книга «Россия в 1839 году» была запрещена в России и вызвала официальные опровержения. Историки относятся к ней как к источнику осторожно: Кюстин провёл в стране около трёх месяцев, не знал языка и приехал с готовым выводом. Однако многие его наблюдения о механике управления совпадают с тем, что писали о себе сами русские чиновники.</w:t>
      </w:r>
    </w:p>
    <w:p>
      <w:pPr>
        <w:pStyle w:val="Слайд"/>
      </w:pPr>
      <w:r>
        <w:t>[слайд 11 — Второе отделение и Свод законов]</w:t>
      </w:r>
    </w:p>
    <w:p>
      <w:pPr>
        <w:pStyle w:val="BodyText"/>
      </w:pPr>
      <w:r>
        <w:t>Кодификация была давней нерешённой задачей. Уложенная комиссия Екатерины II в 1767–1768 годах собрала депутатов от сословий, но работы не завершила; комиссия, в которой при Александре I работал сам Сперанский, подготовила проекты, так и не ставшие законом. Формально Второе отделение возглавлял профессор права М. А. Балугьянский, однако фактическим руководителем работ был Сперанский.</w:t>
      </w:r>
    </w:p>
    <w:p>
      <w:pPr>
        <w:pStyle w:val="BodyText"/>
      </w:pPr>
      <w:r>
        <w:t>Решение собрать действующее право, ничего не создавая заново, имело европейский контекст. В 1814 году в Германии развернулся знаменитый спор двух правоведов. А. Ф. Ю. Тибо призывал создать единый гражданский кодекс по образцу наполеоновского 1804 года. Ф. К. фон Савиньи возражал, что право вырастает из народного духа, как язык, и не может быть сочинено законодателем; задача юриста состоит в изучении и систематизации сложившегося права. Сперанский в «Обозрении исторических сведений о Своде законов» (1833) прямо опирался на идеи исторической школы. Николаевская кодификация, таким образом, принадлежит к той же эпохе, что прусское Общее земское право 1794 года, французский Гражданский кодекс и австрийское Общее гражданское уложение 1811 года, но выбрала самый осторожный из возможных путей.</w:t>
      </w:r>
    </w:p>
    <w:p>
      <w:pPr>
        <w:pStyle w:val="BodyText"/>
      </w:pPr>
      <w:r>
        <w:t>Сцена с орденом Андрея Первозванного произошла на заседании, посвящённом введению Свода. Сперанский, когда-то сосланный по обвинению в измене, получил высшую награду империи из рук государя, а в 1839 году, незадолго до смерти, — графский титул. Он же в 1835–1837 годах читал наследнику, будущему Александру II, курс «Бесед о законах», и через эти беседы опыт кодификации был передан следующему царствованию.</w:t>
      </w:r>
    </w:p>
    <w:p>
      <w:pPr>
        <w:pStyle w:val="Слайд"/>
      </w:pPr>
      <w:r>
        <w:t>[слайд 12 — Источник крупным планом]</w:t>
      </w:r>
    </w:p>
    <w:p>
      <w:pPr>
        <w:pStyle w:val="BodyText"/>
      </w:pPr>
      <w:r>
        <w:t>Статья первая Основных государственных законов интересна прежде всего соединением двух языков. Первая её фраза юридическая, вторая — богословская: требование повиноваться «за совесть» наряду со «страхом» восходит к Посланию апостола Павла к Римлянам (13:5). Закон, таким образом, обосновывает власть одновременно через право и через веру, и это соединение предвосхищает формулу официальной народности, о которой пойдёт речь во втором часе.</w:t>
      </w:r>
    </w:p>
    <w:p>
      <w:pPr>
        <w:pStyle w:val="BodyText"/>
      </w:pPr>
      <w:r>
        <w:t>Противоречие между «неограниченной» властью и требованием управлять на основании законов современники разрешали различением двух сфер. Монарх стоит над законом как его источник, но сам установил порядок, в котором закон издаётся и исполняется, и до его отмены этот порядок обязателен для всех органов власти. Историки права называют такую конструкцию «законной монархией»: произвол исполнителя ограничен, произвол источника права — нет.</w:t>
      </w:r>
    </w:p>
    <w:p>
      <w:pPr>
        <w:pStyle w:val="BodyText"/>
      </w:pPr>
      <w:r>
        <w:t>Дальнейшая судьба статьи показательна. В редакции Основных законов 23 апреля 1906 года, после учреждения Государственной думы, из формулы исчезло слово «неограниченный», а осталось определение «самодержавный». Сравнение двух редакций позволяет проследить, как изменение государственного строя отразилось в одном слове закона.</w:t>
      </w:r>
    </w:p>
    <w:p>
      <w:pPr>
        <w:pStyle w:val="Heading2"/>
      </w:pPr>
      <w:r>
        <w:t>Вопрос второй. Крестьянский вопрос</w:t>
      </w:r>
    </w:p>
    <w:p>
      <w:pPr>
        <w:pStyle w:val="Слайд"/>
      </w:pPr>
      <w:r>
        <w:t>[слайд 13 — Вопрос второй]</w:t>
      </w:r>
    </w:p>
    <w:p>
      <w:pPr>
        <w:pStyle w:val="BodyText"/>
      </w:pPr>
      <w:r>
        <w:t>Второй вопрос касается главной социальной проблемы царствования. Крепостное право осознавалось правительством как зло, но любое движение к его отмене наталкивалось на интересы сословия, на которое опиралась монархия. Решение искали в двух направлениях: осторожные меры для помещичьей деревни и полное преобразование управления деревней государственной.</w:t>
      </w:r>
    </w:p>
    <w:p>
      <w:pPr>
        <w:pStyle w:val="Слайд"/>
      </w:pPr>
      <w:r>
        <w:t>[слайд 14 — Секретные комитеты]</w:t>
      </w:r>
    </w:p>
    <w:p>
      <w:pPr>
        <w:pStyle w:val="BodyText"/>
      </w:pPr>
      <w:r>
        <w:t>Речь 30 марта 1842 года произнесена при обсуждении указа об обязанных крестьянах, и её логика определила всю политику царствования. Николай признавал зло крепостного права, но ещё сильнее опасался последствий его отмены. Опыт пугачёвщины, о которой Пушкин в 1834 году выпустил книгу, названную по воле государя «Историей Пугачёвского бунта», оставался живым в памяти дворянства.</w:t>
      </w:r>
    </w:p>
    <w:p>
      <w:pPr>
        <w:pStyle w:val="BodyText"/>
      </w:pPr>
      <w:r>
        <w:t>Секретность комитетов была относительной. Слухи о подготовке «воли» регулярно проникали в деревню, и рост крестьянских волнений в годы работы комитетов отмечали сами жандармы. В ежегодных отчётах Третьего отделения крепостное право неоднократно называлось «пороховым погребом под государством». Эта оценка исходила от учреждения, которое меньше всего можно заподозрить в либерализме.</w:t>
      </w:r>
    </w:p>
    <w:p>
      <w:pPr>
        <w:pStyle w:val="BodyText"/>
      </w:pPr>
      <w:r>
        <w:t>Среди мер, проведённых в это время, были запрет продавать крестьян с публичного торга с раздроблением семей (1833) и запрет безземельным дворянам покупать крестьян без земли (1841). Каждая из них ограничивала отдельное злоупотребление, но основы отношений помещика и крестьянина не затрагивала.</w:t>
      </w:r>
    </w:p>
    <w:p>
      <w:pPr>
        <w:pStyle w:val="Слайд"/>
      </w:pPr>
      <w:r>
        <w:t>[слайд 15 — Обязанные крестьяне]</w:t>
      </w:r>
    </w:p>
    <w:p>
      <w:pPr>
        <w:pStyle w:val="BodyText"/>
      </w:pPr>
      <w:r>
        <w:t>Указ 1842 года был задуман Киселёвым как гораздо более решительная мера: первоначальный проект предусматривал обязательное определение повинностей и передачу крестьянам земли. В ходе обсуждения в комитете, где преобладали крупные помещики, принудительный характер был снят, и в итоге закон превратился в разрешение, которым почти никто не воспользовался.</w:t>
      </w:r>
    </w:p>
    <w:p>
      <w:pPr>
        <w:pStyle w:val="BodyText"/>
      </w:pPr>
      <w:r>
        <w:t>Инвентарная реформа на Правобережной Украине, проводившаяся киевским генерал-губернатором Д. Г. Бибиковым, имела особый политический смысл. Помещики края в большинстве были поляками, крестьяне — православными украинцами, и после Польского восстания 1830–1831 годов правительство стремилось ослабить польское дворянство, защищая крестьян. Здесь власть оказалась решительнее, поскольку интересы помещиков не совпадали с её собственными.</w:t>
      </w:r>
    </w:p>
    <w:p>
      <w:pPr>
        <w:pStyle w:val="BodyText"/>
      </w:pPr>
      <w:r>
        <w:t>Сравнение с Европой показывает, насколько Россия отставала по срокам. Пруссия начала освобождение крестьян указом 1807 года в ходе реформ Г. Штейна и К. Гарденберга, Австрийская империя отменила барщину под давлением революции в 1848 году, Венгрия — тогда же. К середине XIX века крепостная зависимость в Европе сохранялась только в России, а в Новом Свете — рабство в южных штатах США и в Бразилии.</w:t>
      </w:r>
    </w:p>
    <w:p>
      <w:pPr>
        <w:pStyle w:val="Слайд"/>
      </w:pPr>
      <w:r>
        <w:t>[слайд 16 — П. Д. Киселёв]</w:t>
      </w:r>
    </w:p>
    <w:p>
      <w:pPr>
        <w:pStyle w:val="BodyText"/>
      </w:pPr>
      <w:r>
        <w:t>Биография Киселёва объясняет, почему государь доверил ему крестьянское дело. В качестве начальника штаба 2-й армии в Тульчине он был лично знаком с П. И. Пестелем и другими членами Южного общества, однако к заговору не примкнул, и Николай ценил его как человека, разделявшего идеи реформ, но верного престолу.</w:t>
      </w:r>
    </w:p>
    <w:p>
      <w:pPr>
        <w:pStyle w:val="BodyText"/>
      </w:pPr>
      <w:r>
        <w:t>Опыт управления Дунайскими княжествами, занятыми русскими войсками после войны с Турцией 1828–1829 годов, оказался для Киселёва школой реформатора. Органический регламент, введённый в Валахии в 1831 году и в Молдавии в 1832 году, учреждал выборное собрание, отделял суд от администрации, регулировал повинности крестьян. Румынская историография оценивает этот период неоднозначно: одни авторы видят в регламенте начало современной государственности, другие подчёркивают, что он закрепил власть крупных землевладельцев-бояр.</w:t>
      </w:r>
    </w:p>
    <w:p>
      <w:pPr>
        <w:pStyle w:val="Слайд"/>
      </w:pPr>
      <w:r>
        <w:t>[слайд 17 — Реформа государственной деревни]</w:t>
      </w:r>
    </w:p>
    <w:p>
      <w:pPr>
        <w:pStyle w:val="BodyText"/>
      </w:pPr>
      <w:r>
        <w:t>Капитальный двухтомный труд Н. М. Дружинина, вышедший в 1946 и 1958 годах, до сих пор служит основой знаний о реформе. Дружинин показал, что преобразование имело две стороны. С одной стороны, государственная деревня получила устроенное управление, земельные прирезки, школы, медицинскую помощь и выборных должностных лиц, что объективно подготовило учреждения 1861 года. С другой — опека чиновников министерства превратилась в новый источник поборов, и положение крестьян во многих местах ухудшилось.</w:t>
      </w:r>
    </w:p>
    <w:p>
      <w:pPr>
        <w:pStyle w:val="BodyText"/>
      </w:pPr>
      <w:r>
        <w:t>«Картофельные бунты» особенно широко охватили Пермскую губернию, в том числе зауральские Шадринский, Камышловский, Ирбитский и Екатеринбургский уезды. Поводом послужило требование сажать картофель на общественных полях, чтобы иметь запас на случай неурожая. Крестьяне истолковали распоряжение по-своему: среди них распространился слух, что государственную деревню намерены передать в удельное ведомство или помещикам, а картофель — знак этой передачи. Волнения подавлялись войсками, участников наказывали шпицрутенами. Парадокс эпизода состоит в том, что мера, разумная с агрономической точки зрения, вызвала одно из крупнейших крестьянских движений царствования, поскольку между властью и деревней не существовало канала, по которому можно было объяснить её смысл.</w:t>
      </w:r>
    </w:p>
    <w:p>
      <w:pPr>
        <w:pStyle w:val="BodyText"/>
      </w:pPr>
      <w:r>
        <w:t>Историческая ирония состоит и в том, что через несколько десятилетий картофель стал в той же Пермской губернии одной из основных культур. Нововведение прижилось, когда крестьяне начали сажать его по собственному выбору.</w:t>
      </w:r>
    </w:p>
    <w:p>
      <w:pPr>
        <w:pStyle w:val="Heading2"/>
      </w:pPr>
      <w:r>
        <w:t>Вопрос третий. Хозяйство и финансы</w:t>
      </w:r>
    </w:p>
    <w:p>
      <w:pPr>
        <w:pStyle w:val="Слайд"/>
      </w:pPr>
      <w:r>
        <w:t>[слайд 18 — Вопрос третий]</w:t>
      </w:r>
    </w:p>
    <w:p>
      <w:pPr>
        <w:pStyle w:val="BodyText"/>
      </w:pPr>
      <w:r>
        <w:t>Третий вопрос посвящён хозяйственной стороне царствования. Здесь соединяются три сюжета: начало перехода к машинной промышленности, первые железные дороги и денежная реформа, давшая стране устойчивый рубль.</w:t>
      </w:r>
    </w:p>
    <w:p>
      <w:pPr>
        <w:pStyle w:val="Слайд"/>
      </w:pPr>
      <w:r>
        <w:t>[слайд 19 — Начало промышленного переворота]</w:t>
      </w:r>
    </w:p>
    <w:p>
      <w:pPr>
        <w:pStyle w:val="BodyText"/>
      </w:pPr>
      <w:r>
        <w:t>Понятие «промышленный переворот» в отечественной историографии связывают с работами советских экономических историков, прежде всего С. Г. Струмилина и П. Г. Рындзюнского. Вопрос о его датировке остаётся спорным. Одни исследователи относят начало переворота к 1830–1840-м годам, ориентируясь на распространение машин в хлопчатобумажной промышленности, другие — к 1860–1880-м годам, когда паровые двигатели стали массовыми и возникла сеть железных дорог. Спор во многом терминологический: он зависит от того, считать ли началом переворота появление машин в одной отрасли или их распространение в хозяйстве в целом.</w:t>
      </w:r>
    </w:p>
    <w:p>
      <w:pPr>
        <w:pStyle w:val="BodyText"/>
      </w:pPr>
      <w:r>
        <w:t>Ткани были наиболее подходящей отраслью для первого шага. Спрос на дешёвый ситец был массовым, сырьё — американский и затем среднеазиатский хлопок — поступало через порты и по Волге, а машины легко ввозились. Немецкий предприниматель Людвиг Кноп, приехавший в Москву агентом английской фирмы, стал посредником между британскими машиностроителями и русскими фабрикантами. Его клиентом был, среди прочих, Савва Васильевич Морозов, бывший крепостной, выкупивший себя с семьёй в 1820 году за 17 тысяч рублей. Династия Морозовых — пример того, как вольнонаёмный и оброчный труд позволял крестьянам превращаться в промышленников.</w:t>
      </w:r>
    </w:p>
    <w:p>
      <w:pPr>
        <w:pStyle w:val="BodyText"/>
      </w:pPr>
      <w:r>
        <w:t>Отставание уральской металлургии видно из сравнения порядков величин. Если в конце XVIII века Россия выплавляла больше чугуна, чем Великобритания, то к середине XIX века британская выплавка превосходила русскую более чем в десять раз. Причину историки экономики видят в сочетании факторов: древесный уголь вместо каменного, удалённость от рынков, отсутствие дешёвого транспорта и прежде всего — прикреплённый труд, лишавший заводчика стимула к нововведениям.</w:t>
      </w:r>
    </w:p>
    <w:p>
      <w:pPr>
        <w:pStyle w:val="Слайд"/>
      </w:pPr>
      <w:r>
        <w:t>[слайд 20 — Финансы Канкрина]</w:t>
      </w:r>
    </w:p>
    <w:p>
      <w:pPr>
        <w:pStyle w:val="BodyText"/>
      </w:pPr>
      <w:r>
        <w:t>Егор Францевич Канкрин родился в 1774 году в Ганау, в Гессене, и приехал в Россию вслед за отцом, служившим по соляной части. Во время войны 1812–1814 годов он был генерал-интендантом армии; по свидетельству современников, его тщательная проверка взаимных расчётов с союзниками после заграничного похода сберегла казне значительные суммы. На посту министра финансов он отличался крайней осторожностью и недоверием к кредиту; известно его скептическое отношение к железным дорогам, которые, по его мнению, вели к бесполезным разъездам и разорению казны.</w:t>
      </w:r>
    </w:p>
    <w:p>
      <w:pPr>
        <w:pStyle w:val="BodyText"/>
      </w:pPr>
      <w:r>
        <w:t>Множественность курсов создавала почву для злоупотреблений. Купец, нанимавший работников, мог рассчитываться по одному курсу, а продавать товар — по другому; крестьянин, плативший подать ассигнациями, не всегда понимал, сколько он платит в серебре. Реформа 1839–1843 годов устранила эту путаницу. В европейском контексте она принадлежала к тому же ряду, что возвращение Англии к золотому размену в 1821 году после наполеоновских войн: государства, выпустившие во время войн массу бумажных денег, через два-три десятилетия восстанавливали металлическую основу.</w:t>
      </w:r>
    </w:p>
    <w:p>
      <w:pPr>
        <w:pStyle w:val="BodyText"/>
      </w:pPr>
      <w:r>
        <w:t>Судьба реформы показывает, что устойчивость денег зависела от мира. Во время Крымской войны количество кредитных билетов в обращении выросло более чем вдвое, размен был прекращён, и восстановить его удалось только в 1897 году, в ходе реформы С. Ю. Витте (тема 6.4).</w:t>
      </w:r>
    </w:p>
    <w:p>
      <w:pPr>
        <w:pStyle w:val="Слайд"/>
      </w:pPr>
      <w:r>
        <w:t>[слайд 21 — Железные дороги]</w:t>
      </w:r>
    </w:p>
    <w:p>
      <w:pPr>
        <w:pStyle w:val="BodyText"/>
      </w:pPr>
      <w:r>
        <w:t>Царскосельская дорога была задумана как коммерческое и развлекательное предприятие. Конечная станция в Павловске, где при станции устроили концертный зал с рестораном, получила название по образцу лондонского увеселительного сада Воксхолл (Vauxhall). Отсюда русское слово «вокзал», которое первоначально обозначало место гуляний и музыки и лишь затем перешло на здание железнодорожной станции. В Павловском вокзале в 1850-х годах дирижировал Иоганн Штраус-сын.</w:t>
      </w:r>
    </w:p>
    <w:p>
      <w:pPr>
        <w:pStyle w:val="BodyText"/>
      </w:pPr>
      <w:r>
        <w:t>Строительство дороги Петербург — Москва сопровождалось рядом преданий. Самое известное из них — рассказ о том, как Николай провёл трассу по линейке, а изгиб у станции Веребье появился потому, что карандаш наткнулся на палец государя. Исследователи давно показали, что изгиб был сделан для обхода крутого подъёма, а сама дорога спрямлена по решению, принятому после изысканий. Столь же устойчив рассказ о том, что широкая колея была выбрана из военных соображений, чтобы затруднить вторжение противника. Документы указывают на иное объяснение: консультантом строительства был американский инженер Джордж Вашингтон Уистлер, отец знаменитого художника, и пятифутовая колея, распространённая тогда на юге США, была выбрана как технически удобная для тяжёлых паровозов. Уистлер умер в Петербурге в 1849 году, не дожив до открытия дороги.</w:t>
      </w:r>
    </w:p>
    <w:p>
      <w:pPr>
        <w:pStyle w:val="BodyText"/>
      </w:pPr>
      <w:r>
        <w:t>Сравнение протяжённости путей с Великобританией объясняет многое в ходе Крымской войны. Британия к 1855 году имела густую сеть дорог, по которым войска и грузы доставлялись в порты за часы. В России единственная магистраль соединяла две столицы, а юг страны оставался без железных дорог до 1860–1870-х годов.</w:t>
      </w:r>
    </w:p>
    <w:p>
      <w:pPr>
        <w:pStyle w:val="Слайд"/>
      </w:pPr>
      <w:r>
        <w:t>[слайд 22 — Урал: Аносов и Черепановы]</w:t>
      </w:r>
    </w:p>
    <w:p>
      <w:pPr>
        <w:pStyle w:val="BodyText"/>
      </w:pPr>
      <w:r>
        <w:t>Для Южного Урала николаевское время — эпоха Златоуста. Оружейная фабрика была основана для производства холодного оружия, и для обучения местных работников в Златоуст были приглашены мастера из германского Золингена и эльзасского Клингенталя. Немецкая колония в городе существовала несколько десятилетий, и её следы сохранились в застройке старого Златоуста.</w:t>
      </w:r>
    </w:p>
    <w:p>
      <w:pPr>
        <w:pStyle w:val="BodyText"/>
      </w:pPr>
      <w:r>
        <w:t>Аносов поставил перед собой задачу, которую считали неразрешимой: воспроизвести знаменитый восточный булат, секрет которого был утрачен. После многолетних опытов он получил сталь с характерным узором и высокими свойствами клинка. В истории металлургии его имя связано и с другим новшеством: в 1831 году он впервые применил микроскоп для изучения травлёной поверхности стали, положив начало металлографии. Карьера Аносова продолжилась в Сибири: в 1847 году он был назначен начальником Алтайских горных заводов и томским гражданским губернатором и умер в Омске в 1851 году.</w:t>
      </w:r>
    </w:p>
    <w:p>
      <w:pPr>
        <w:pStyle w:val="BodyText"/>
      </w:pPr>
      <w:r>
        <w:t>Черепановы представляют другую сторону уральской технической культуры: талантливые крепостные механики, создававшие машины для хозяйства своих владельцев. Их паровоз не получил развития по причине, которая объясняет и отставание всей отрасли: при дешёвом гужевом транспорте приписных крестьян и низких ценах на рабочую силу машина не окупалась.</w:t>
      </w:r>
    </w:p>
    <w:p>
      <w:pPr>
        <w:pStyle w:val="Слайд"/>
      </w:pPr>
      <w:r>
        <w:t>[слайд 23 — Спорят историки]</w:t>
      </w:r>
    </w:p>
    <w:p>
      <w:pPr>
        <w:pStyle w:val="BodyText"/>
      </w:pPr>
      <w:r>
        <w:t>Три позиции на слайде можно дополнить четвёртой, сложившейся в зарубежной историографии. Американский историк Н. В. Рязановский в книге «Николай I и официальная народность в России, 1825–1855» (1959) рассматривал царствование прежде всего как идеологический проект, в котором государь пытался защитить Россию от европейских революций с помощью системы идей. У. Б. Линкольн в биографии «Николай I: император и самодержец всея Руси» (1978) и в книге «В авангарде реформ» (1982) пошёл дальше Дружинина: он показал, что в министерствах внутренних дел и государственных имуществ в 1840-е годы сложилась группа образованных чиновников, собиравших статистику, изучавших европейский опыт и готовых к реформам. Именно эти люди — Н. А. Милютин, А. П. Заблоцкий-Десятовский, Я. А. Соловьёв и другие — через несколько лет готовили отмену крепостного права.</w:t>
      </w:r>
    </w:p>
    <w:p>
      <w:pPr>
        <w:pStyle w:val="BodyText"/>
      </w:pPr>
      <w:r>
        <w:t>Оценка А. Е. Преснякова в книге «Апогей самодержавия» (1925) была написана вскоре после революции, и её резкость отчасти объясняется временем. Однако его главный тезис о том, что николаевская система довела самодержавие до предела, за которым возможен был только упадок или коренное преобразование, разделяют и многие современные исследователи. Книга Л. В. Выскочкова «Николай I» (2003), вышедшая в серии «Жизнь замечательных людей», представляет более сочувственный взгляд, подчёркивая личные качества государя и реальные достижения его правления.</w:t>
      </w:r>
    </w:p>
    <w:p>
      <w:pPr>
        <w:pStyle w:val="Слайд"/>
      </w:pPr>
      <w:r>
        <w:t>[слайд 24 — Итог первого часа]</w:t>
      </w:r>
    </w:p>
    <w:p>
      <w:pPr>
        <w:pStyle w:val="BodyText"/>
      </w:pPr>
      <w:r>
        <w:t>Четыре положения итога связаны общей мыслью: николаевское государство умело создавать учреждения и упорядочивать то, что уже существовало, но с трудом справлялось с задачами, требовавшими участия общества и учёта интересов, расходящихся с волей власти. Там, где государство действовало само, как в кодификации или государственной деревне, результаты были значительны; там, где требовалось согласие помещиков, оно отступало.</w:t>
      </w:r>
    </w:p>
    <w:p>
      <w:pPr>
        <w:pStyle w:val="Heading1"/>
      </w:pPr>
      <w:r>
        <w:t>Час второй</w:t>
      </w:r>
    </w:p>
    <w:p>
      <w:pPr>
        <w:pStyle w:val="Слайд"/>
      </w:pPr>
      <w:r>
        <w:t>[слайд 25 — Час второй]</w:t>
      </w:r>
    </w:p>
    <w:p>
      <w:pPr>
        <w:pStyle w:val="BodyText"/>
      </w:pPr>
      <w:r>
        <w:t>Второй час переносит внимание с учреждений на идеи и с внутренней политики на внешнюю. Николаевское время, бедное публичной политикой, оказалось на редкость богатым мыслью: именно тогда в России появились философия истории, литературная критика как форма общественной борьбы и вопрос о собственном пути страны, который обсуждается до сих пор. Завершается час войной, проверившей систему на прочность.</w:t>
      </w:r>
    </w:p>
    <w:p>
      <w:pPr>
        <w:pStyle w:val="Heading2"/>
      </w:pPr>
      <w:r>
        <w:t>Вопрос четвёртый. Официальная народность и Чаадаев</w:t>
      </w:r>
    </w:p>
    <w:p>
      <w:pPr>
        <w:pStyle w:val="Слайд"/>
      </w:pPr>
      <w:r>
        <w:t>[слайд 26 — Вопрос четвёртый]</w:t>
      </w:r>
    </w:p>
    <w:p>
      <w:pPr>
        <w:pStyle w:val="BodyText"/>
      </w:pPr>
      <w:r>
        <w:t>Четвёртый вопрос посвящён двум текстам, появившимся с разницей в три года: циркуляру министра народного просвещения, сформулировавшему государственную идеологию, и философическому письму отставного офицера, поставившему под сомнение саму возможность её существования.</w:t>
      </w:r>
    </w:p>
    <w:p>
      <w:pPr>
        <w:pStyle w:val="Слайд"/>
      </w:pPr>
      <w:r>
        <w:t>[слайд 27 — С. С. Уваров]</w:t>
      </w:r>
    </w:p>
    <w:p>
      <w:pPr>
        <w:pStyle w:val="BodyText"/>
      </w:pPr>
      <w:r>
        <w:t>В «Арзамасе», где состояли В. А. Жуковский, П. А. Вяземский, молодой Пушкин, члены общества носили шуточные прозвища, взятые из баллад Жуковского; Уваров получил прозвище «Старушка». Его ранний проект Азиатской академии (1810) предлагал создать в России центр изучения языков и культур Востока, и отчасти этот замысел был реализован в учреждении восточных кафедр Петербургского университета.</w:t>
      </w:r>
    </w:p>
    <w:p>
      <w:pPr>
        <w:pStyle w:val="BodyText"/>
      </w:pPr>
      <w:r>
        <w:t>Отношения Уварова с Пушкиным испортились в 1830-х годах. В 1835 году поэт напечатал стихотворение «На выздоровление Лукулла», в котором современники узнали министра, поспешившего вступить во владение имуществом тяжело больного родственника, графа Д. Н. Шереметева, преждевременно сочтя его умершим. Уваров добился выговора Пушкину, и этот эпизод позднее нередко приводили как пример того, как личная обида сказывалась на цензурной политике.</w:t>
      </w:r>
    </w:p>
    <w:p>
      <w:pPr>
        <w:pStyle w:val="BodyText"/>
      </w:pPr>
      <w:r>
        <w:t>Деятельность министерства оценивается в литературе по-разному. При Уварове выросло число гимназий, был введён университетский устав 1835 года, молодых профессоров отправляли учиться в Берлин и Гейдельберг, откуда вернулись Т. Н. Грановский и другие будущие светила Московского университета. Одновременно действовали ограничения на допуск в гимназии детей податных сословий. В 1846 году Уваров получил графский титул, и на его гербе был помещён девиз «Православие, самодержавие, народность». В 1849 году, когда после европейских революций император потребовал жёстких мер против университетов, Уваров вышел в отставку.</w:t>
      </w:r>
    </w:p>
    <w:p>
      <w:pPr>
        <w:pStyle w:val="Слайд"/>
      </w:pPr>
      <w:r>
        <w:t>[слайд 28 — Триада]</w:t>
      </w:r>
    </w:p>
    <w:p>
      <w:pPr>
        <w:pStyle w:val="BodyText"/>
      </w:pPr>
      <w:r>
        <w:t>Формула Уварова имела европейские параллели. Немецкий патриотизм эпохи наполеоновских войн выработал понятие Volkstum, введённое публицистом Ф. Л. Яном в 1810 году, и романтическую идею народного духа (Volksgeist), восходящую к И. Г. Гердеру. Уваров хорошо знал немецкую мысль и сознательно использовал её язык: народ рассматривался как носитель особой исторической индивидуальности, требующей охраны от разрушительных общих идей. Разница состояла в том, что в Германии эти понятия служили объединению раздробленной нации, а в России они были поставлены на службу существующему государству.</w:t>
      </w:r>
    </w:p>
    <w:p>
      <w:pPr>
        <w:pStyle w:val="BodyText"/>
      </w:pPr>
      <w:r>
        <w:t>Происхождение слова «народность» требует отступления в область языка. Вяземский предложил его в письме А. И. Тургеневу 1819 года как перевод французского nationalité. Само французское слово сравнительно новое, и его значение колебалось между «национальным своеобразием» и «принадлежностью к нации». В русском языке «народность» приобрела дополнительный оттенок, связанный с «народом» в смысле простонародья. Уваровская формула работала именно благодаря этой многозначности: одни читатели понимали народность как верность «русским началам» вообще, другие — как близость к крестьянской жизни. Историк Н. В. Рязановский выделял в официальной народности два направления: династическое, видевшее в народности преданность престолу, и националистическое, представленное М. П. Погодиным и С. П. Шевырёвым, ставившее на первое место русскую нацию.</w:t>
      </w:r>
    </w:p>
    <w:p>
      <w:pPr>
        <w:pStyle w:val="BodyText"/>
      </w:pPr>
      <w:r>
        <w:t>Сам Уваров, по наблюдениям исследователей его переписки, относился к своей формуле прагматически. Для него она была средством выиграть время: по известному высказыванию, которое приписывают министру, он надеялся отодвинуть Россию на пятьдесят лет от того, что готовят ей теории. Задача, которую он ставил перед просвещением, состояла в том, чтобы дать стране европейское образование, не дав ей европейских революций.</w:t>
      </w:r>
    </w:p>
    <w:p>
      <w:pPr>
        <w:pStyle w:val="Слайд"/>
      </w:pPr>
      <w:r>
        <w:t>[слайд 29 — Чаадаев и «Телескоп»]</w:t>
      </w:r>
    </w:p>
    <w:p>
      <w:pPr>
        <w:pStyle w:val="BodyText"/>
      </w:pPr>
      <w:r>
        <w:t>Резолюция Николая на докладе о публикации письма сохранилась: государь назвал статью смесью «дерзостной бессмыслицы, достойной умалишённого». Министр внутренних дел, исходя из этих слов, распорядился установить над автором медицинское наблюдение; врач обязан был регулярно его посещать. Французский философ М. Фуко в «Истории безумия» (1961) описал, как европейские общества Нового времени вырабатывали практику изоляции инакомыслящих под видом медицинской помощи; случай Чаадаева нередко приводят как один из ранних примеров политического использования психиатрического диагноза в России.</w:t>
      </w:r>
    </w:p>
    <w:p>
      <w:pPr>
        <w:pStyle w:val="BodyText"/>
      </w:pPr>
      <w:r>
        <w:t>Публикация вызвала потрясение, о котором лучше всего свидетельствует А. И. Герцен. В «Былом и думах» он назвал письмо выстрелом, раздавшимся в тёмную ночь, и заметил, что после него никто не мог остаться при прежних мнениях. Значение письма определялось его тоном: впервые русский автор писал о своей стране как философ, оценивающий её место в мировой истории, и выносил отрицательный приговор.</w:t>
      </w:r>
    </w:p>
    <w:p>
      <w:pPr>
        <w:pStyle w:val="BodyText"/>
      </w:pPr>
      <w:r>
        <w:t>Чаадаев писал свои письма по-французски, как и большинство образованных дворян его круга, и это обстоятельство само по себе служит иллюстрацией к его тезису. Русская философская речь в 1830-х годах только складывалась, и первый русский философский текст, вызвавший общественный спор, был переводом.</w:t>
      </w:r>
    </w:p>
    <w:p>
      <w:pPr>
        <w:pStyle w:val="Слайд"/>
      </w:pPr>
      <w:r>
        <w:t>[слайд 30 — Источник крупным планом]</w:t>
      </w:r>
    </w:p>
    <w:p>
      <w:pPr>
        <w:pStyle w:val="BodyText"/>
      </w:pPr>
      <w:r>
        <w:t>Посылка обоих текстов восходит к философии истории немецкого идеализма, прежде всего к Ф. В. Й. Шеллингу и Г. В. Ф. Гегелю, с которыми Чаадаев был знаком лично или по сочинениям. Для Гегеля история есть движение мирового духа, переходящего от одного народа к другому, и некоторые народы оказываются «неисторическими», не внёсшими вклада в это движение. Первое письмо применяет эту схему к России и приходит к выводу, что она принадлежит к таким народам. Духовным центром истории Чаадаев считал католическую Европу, объединённую Римом, а причину оторванности России видел в том, что она приняла христианство от Византии, отпавшей от этого единства.</w:t>
      </w:r>
    </w:p>
    <w:p>
      <w:pPr>
        <w:pStyle w:val="BodyText"/>
      </w:pPr>
      <w:r>
        <w:t>«Апология сумасшедшего» была написана в 1837 году и при жизни автора не публиковалась; впервые её напечатал в Париже в 1862 году И. С. Гагарин, бывший дипломат, принявший католичество и вступивший в орден иезуитов. В ней Чаадаев признаёт, что поспешил с выводами, и переворачивает аргумент: отсутствие сложившейся традиции освобождает от груза предрассудков, которые тяготеют над старыми народами. Этот поворот стал общим местом русской мысли следующих десятилетий: в той или иной форме его повторяли и Герцен, и народники, и мыслители начала XX века, видевшие в «молодости» России её преимущество.</w:t>
      </w:r>
    </w:p>
    <w:p>
      <w:pPr>
        <w:pStyle w:val="BodyText"/>
      </w:pPr>
      <w:r>
        <w:t>Историки славянофильства и западничества ведут отсчёт от писем Чаадаева потому, что они поставили вопрос в том виде, в каком его затем обсуждали обе стороны. Вопрос о том, принадлежит ли Россия к Европе и в чём состоит её историческое призвание, был задан, и ответы на него разошлись в противоположные стороны.</w:t>
      </w:r>
    </w:p>
    <w:p>
      <w:pPr>
        <w:pStyle w:val="Heading2"/>
      </w:pPr>
      <w:r>
        <w:t>Вопрос пятый. Спор о пути России</w:t>
      </w:r>
    </w:p>
    <w:p>
      <w:pPr>
        <w:pStyle w:val="Слайд"/>
      </w:pPr>
      <w:r>
        <w:t>[слайд 31 — Вопрос пятый]</w:t>
      </w:r>
    </w:p>
    <w:p>
      <w:pPr>
        <w:pStyle w:val="BodyText"/>
      </w:pPr>
      <w:r>
        <w:t>Пятый вопрос посвящён двум кружкам московских интеллектуалов, чей спор определил язык русской общественной мысли на полвека вперёд, и тому направлению, которое выросло из соединения их идей.</w:t>
      </w:r>
    </w:p>
    <w:p>
      <w:pPr>
        <w:pStyle w:val="Слайд"/>
      </w:pPr>
      <w:r>
        <w:t>[слайд 32 — Славянофилы и западники]</w:t>
      </w:r>
    </w:p>
    <w:p>
      <w:pPr>
        <w:pStyle w:val="BodyText"/>
      </w:pPr>
      <w:r>
        <w:t>Началом славянофильства обычно считают 1839 год, когда А. С. Хомяков прочитал в одном из московских салонов статью «О старом и новом», а И. В. Киреевский ответил ему статьёй «В ответ А. С. Хомякову». Оба текста не предназначались для печати и распространялись в списках. Для западников звёздным часом стали публичные лекции Т. Н. Грановского по истории средневековой Европы в 1843–1844 годах, собиравшие в Московском университете публику, какой университет до того не видел; современники описывали их как общественное событие.</w:t>
      </w:r>
    </w:p>
    <w:p>
      <w:pPr>
        <w:pStyle w:val="BodyText"/>
      </w:pPr>
      <w:r>
        <w:t>Сами названия течений возникли как полемические ярлыки. «Славянофилами» их противники называли кружок Хомякова с насмешкой, а сами члены кружка предпочитали говорить о «русском направлении». Термин «западники» вошёл в широкое употребление позднее и тоже не был самоназванием.</w:t>
      </w:r>
    </w:p>
    <w:p>
      <w:pPr>
        <w:pStyle w:val="BodyText"/>
      </w:pPr>
      <w:r>
        <w:t>Свидетельство того, что противников объединяло больше, чем разделяло, оставил Герцен. В «Былом и думах» он писал, что западники и славянофилы, как Янус или двуглавый орёл, смотрели в разные стороны, в то время как сердце у них билось одно. Общая основа — неприятие крепостного права, бюрократии и цензуры — сделала возможным их совместную работу в подготовке реформ 1860-х годов, когда Ю. Ф. Самарин и князь В. А. Черкасский, славянофилы, работали бок о бок с западником Н. А. Милютиным в Редакционных комиссиях.</w:t>
      </w:r>
    </w:p>
    <w:p>
      <w:pPr>
        <w:pStyle w:val="BodyText"/>
      </w:pPr>
      <w:r>
        <w:t>Спор о происхождении общины, отражённый в таблице, имел научную сторону. В 1856 году Б. Н. Чичерин в статье «Обзор исторического развития сельской общины в России» доказывал, что современная передельная община сложилась сравнительно поздно, под действием податной политики государства XVII–XVIII веков. Славянофил И. Д. Беляев возражал, что община существовала с древнейших времён. Дискуссия продолжается и в современной историографии; многие исследователи придерживаются промежуточной позиции, разделяя древнюю соседскую общину и сравнительно позднюю практику уравнительных переделов.</w:t>
      </w:r>
    </w:p>
    <w:p>
      <w:pPr>
        <w:pStyle w:val="Слайд"/>
      </w:pPr>
      <w:r>
        <w:t>[слайд 33 — К. С. Аксаков]</w:t>
      </w:r>
    </w:p>
    <w:p>
      <w:pPr>
        <w:pStyle w:val="BodyText"/>
      </w:pPr>
      <w:r>
        <w:t>Константин Аксаков был сыном писателя С. Т. Аксакова, автора «Семейной хроники» и «Детских годов Багрова-внука», выросшего в Оренбургской губернии. Семейное имение Аксаковых, Ново-Аксаково, находилось на территории нынешней Оренбургской области, и детство Сергея Тимофеевича, описанное в его книгах, прошло в среде, где русская деревня соседствовала с башкирскими кочевьями.</w:t>
      </w:r>
    </w:p>
    <w:p>
      <w:pPr>
        <w:pStyle w:val="BodyText"/>
      </w:pPr>
      <w:r>
        <w:t>Константин стремился выразить свои убеждения внешне: носил бороду и одевался в одежду, которую считал древнерусской. Герцен передаёт шутку Чаадаева о том, что Аксаков оделся так национально, что народ на улицах принимал его за персиянина. В 1849 году дворянам было запрещено носить бороды, и славянофилам пришлось подчиниться. Эпизод показывает отношение власти к любой самостоятельной символике, даже патриотической.</w:t>
      </w:r>
    </w:p>
    <w:p>
      <w:pPr>
        <w:pStyle w:val="BodyText"/>
      </w:pPr>
      <w:r>
        <w:t>Концепция «земли» и «государства» опиралась на прочтение летописного рассказа о призвании варягов. Аксаков видел в нём проявление народной воли: народ сам пригласил власть со стороны, чтобы не заниматься ею. Оппоненты, в первую очередь историки государственной школы, указывали, что такое прочтение превращает летописную легенду XII века в историческое свидетельство о IX веке. Записка «О внутреннем состоянии России» была передана Александру II через графа Д. Н. Блудова в 1855 году и опубликована лишь в 1881 году в газете И. С. Аксакова «Русь».</w:t>
      </w:r>
    </w:p>
    <w:p>
      <w:pPr>
        <w:pStyle w:val="Слайд"/>
      </w:pPr>
      <w:r>
        <w:t>[слайд 34 — Самодержавие у славянофилов]</w:t>
      </w:r>
    </w:p>
    <w:p>
      <w:pPr>
        <w:pStyle w:val="BodyText"/>
      </w:pPr>
      <w:r>
        <w:t>Противопоставление двух пониманий самодержавия показывает, почему николаевская власть относилась к славянофилам с не меньшей подозрительностью, чем к западникам. Славянофилы принимали монархию, но выводили её из воли «земли», и это делало власть в их построении зависимой от народного мнения. Ю. Ф. Самарин был арестован в 1849 году за «Письма из Риги», где он резко критиковал привилегии остзейского немецкого дворянства и правительство, на него опиравшееся; около двенадцати дней он провёл в Петропавловской крепости, и Николай лично беседовал с ним перед освобождением.</w:t>
      </w:r>
    </w:p>
    <w:p>
      <w:pPr>
        <w:pStyle w:val="BodyText"/>
      </w:pPr>
      <w:r>
        <w:t>Европейской параллелью славянофильству обычно называют немецкий романтизм с его культом народного духа и средневековья, а также польский мессианизм А. Мицкевича, видевшего в своём народе избранника, призванного к особой исторической миссии. Чешские и словацкие деятели славянского возрождения — П. Й. Шафарик, Я. Коллар, Ф. Палацкий — выработали идею славянской взаимности, которая позднее была воспринята русским панславизмом, но в иной, политической форме. Палацкий в 1848 году на Славянском съезде в Праге выступал за федерацию славянских народов внутри Австрийской империи и опасался русского влияния, что показывает различие между западнославянской и русской версиями идеи.</w:t>
      </w:r>
    </w:p>
    <w:p>
      <w:pPr>
        <w:pStyle w:val="Слайд"/>
      </w:pPr>
      <w:r>
        <w:t>[слайд 35 — «Русский социализм»]</w:t>
      </w:r>
    </w:p>
    <w:p>
      <w:pPr>
        <w:pStyle w:val="BodyText"/>
      </w:pPr>
      <w:r>
        <w:t>Кружок Петрашевского собирался в доме М. В. Буташевича-Петрашевского, служившего переводчиком в Министерстве иностранных дел. «Карманный словарь иностранных слов» был остроумным изобретением: издание формально посвящалось великому князю Михаилу Павловичу и прошло цензуру как справочник, тогда как в статьях о словах «натурализм», «оптимизм», «фаланстер» излагались социалистические идеи и критика существующих порядков. Цензура спохватилась, когда второй выпуск уже разошёлся, и остаток тиража был уничтожен.</w:t>
      </w:r>
    </w:p>
    <w:p>
      <w:pPr>
        <w:pStyle w:val="BodyText"/>
      </w:pPr>
      <w:r>
        <w:t>Дело петрашевцев раскрыли при помощи агента, внедрённого в кружок чиновником Министерства внутренних дел И. П. Липранди. Главным обвинением против Ф. М. Достоевского стало публичное чтение письма В. Г. Белинского к Гоголю, распространявшегося в списках. Инсценировка казни на Семёновском плацу 22 декабря 1849 года, когда приговорённым объявили о помиловании после того, как первых трёх уже привязали к столбам, оставила глубокий след в творчестве Достоевского: её описание есть в «Идиоте» (1868–1869).</w:t>
      </w:r>
    </w:p>
    <w:p>
      <w:pPr>
        <w:pStyle w:val="BodyText"/>
      </w:pPr>
      <w:r>
        <w:t>Герценовская идея находит неожиданное продолжение в позднейшей мысли. В 1881 году К. Маркс в ответ на письмо В. И. Засулич подготовил несколько набросков, в которых допускал, что русская община при определённых условиях может стать опорой социального возрождения России. Таким образом, тезис, рождённый в споре славянофилов и западников, через три десятилетия обсуждался основоположником учения, ставившего капитализм необходимой стадией развития. Барон А. фон Гакстгаузен, которому приписывают «открытие» общины, был прусским консерватором и видел в ней противоядие от революции; Герцен прочитал те же наблюдения противоположным образом — как залог будущего социализма.</w:t>
      </w:r>
    </w:p>
    <w:p>
      <w:pPr>
        <w:pStyle w:val="Heading2"/>
      </w:pPr>
      <w:r>
        <w:t>Вопрос шестой. Крымская война</w:t>
      </w:r>
    </w:p>
    <w:p>
      <w:pPr>
        <w:pStyle w:val="Слайд"/>
      </w:pPr>
      <w:r>
        <w:t>[слайд 36 — Вопрос шестой]</w:t>
      </w:r>
    </w:p>
    <w:p>
      <w:pPr>
        <w:pStyle w:val="BodyText"/>
      </w:pPr>
      <w:r>
        <w:t>Шестой вопрос посвящён войне, ставшей итогом царствования. Она началась как очередное столкновение с Османской империей, переросла в противостояние с коалицией двух сильнейших держав Европы и закончилась миром, изменившим расстановку сил на континенте.</w:t>
      </w:r>
    </w:p>
    <w:p>
      <w:pPr>
        <w:pStyle w:val="Слайд"/>
      </w:pPr>
      <w:r>
        <w:t>[слайд 37 — Причины войны]</w:t>
      </w:r>
    </w:p>
    <w:p>
      <w:pPr>
        <w:pStyle w:val="BodyText"/>
      </w:pPr>
      <w:r>
        <w:t>Восточный вопрос в XIX веке означал проблему будущего Османской империи, ослабевавшей под давлением национальных движений и соседних держав. Николай в 1853 году в беседах с британским посланником Г. Сеймуром назвал Турцию «больным человеком» и предложил заранее договориться о разделе её наследства. Выражение «больной человек Европы» быстро разошлось по европейской печати и стало устойчивым обозначением Османской империи. Британия, видевшая в сохранении Турции гарантию своего пути в Индию, восприняла это предложение как подтверждение русских захватнических планов.</w:t>
      </w:r>
    </w:p>
    <w:p>
      <w:pPr>
        <w:pStyle w:val="BodyText"/>
      </w:pPr>
      <w:r>
        <w:t>Спор о святых местах выглядит мелким, однако за ним стояла политика. Наполеон III, ставший императором в 1852 году, нуждался в поддержке французских католиков и во внешнеполитическом успехе, который поднял бы престиж новой династии. Для Николая, считавшего себя покровителем православных подданных султана, уступка католикам была вызовом. Миссия князя А. С. Меншикова, появившегося на переговорах в Константинополе подчёркнуто в штатском пальто вместо мундира, закончилась разрывом, и в июле 1853 года русские войска заняли Дунайские княжества.</w:t>
      </w:r>
    </w:p>
    <w:p>
      <w:pPr>
        <w:pStyle w:val="BodyText"/>
      </w:pPr>
      <w:r>
        <w:t>Ошибка в расчёте на Австрию стала для Николая личной драмой. В 1849 году русская армия под командованием И. Ф. Паскевича спасла Габсбургов, подавив венгерскую революцию, и в 1854 году Австрия потребовала вывода русских войск из княжеств под угрозой вступления в войну. Австрийскому министру князю Ф. Шварценбергу приписывают слова о том, что Австрия удивит мир своей неблагодарностью. Сам Николай, по воспоминаниям приближённых, с горечью сравнивал себя с польским королём Яном Собеским, спасшим Вену от турок в 1683 году и не получившим за это благодарности.</w:t>
      </w:r>
    </w:p>
    <w:p>
      <w:pPr>
        <w:pStyle w:val="Слайд"/>
      </w:pPr>
      <w:r>
        <w:t>[слайд 38 — Синопское сражение]</w:t>
      </w:r>
    </w:p>
    <w:p>
      <w:pPr>
        <w:pStyle w:val="BodyText"/>
      </w:pPr>
      <w:r>
        <w:t>Бомбические орудия, применённые при Синопе, были изобретены французским генералом А. Ж. Пексаном в 1820-х годах. Разрывной снаряд, попадавший в деревянный борт, поджигал корабль, и именно поэтому турецкая эскадра погибла почти полностью: из двенадцати судов уцелел один пароход, доставивший в Стамбул известие о поражении. Турецкий командующий Осман-паша был взят в плен.</w:t>
      </w:r>
    </w:p>
    <w:p>
      <w:pPr>
        <w:pStyle w:val="BodyText"/>
      </w:pPr>
      <w:r>
        <w:t>Сражение имело последствие, далеко выходившее за пределы войны. Морские специалисты всех стран сделали вывод о беззащитности деревянного корабля перед новой артиллерией. Уже в 1855 году французские броненосные плавучие батареи успешно действовали под Кинбурном, а в 1859 году Франция спустила на воду первый океанский броненосец «Глуар». Синоп, последняя великая победа парусного флота, стал одновременно аргументом в пользу его упразднения.</w:t>
      </w:r>
    </w:p>
    <w:p>
      <w:pPr>
        <w:pStyle w:val="BodyText"/>
      </w:pPr>
      <w:r>
        <w:t>Для Великобритании и Франции Синоп послужил поводом к вступлению в войну. Британская печать изобразила сражение как «синопскую резню», хотя оно было обычным боем между флотами воюющих государств. Общественное мнение в Англии, где антирусские настроения сложились ещё в 1830-х годах, потребовало войны, и кабинет лорда Абердина, склонявшийся к осторожности, уступил ему.</w:t>
      </w:r>
    </w:p>
    <w:p>
      <w:pPr>
        <w:pStyle w:val="Слайд"/>
      </w:pPr>
      <w:r>
        <w:t>[слайд 39 — Театры войны]</w:t>
      </w:r>
    </w:p>
    <w:p>
      <w:pPr>
        <w:pStyle w:val="BodyText"/>
      </w:pPr>
      <w:r>
        <w:t>Карта театров войны показывает её характер: союзники, владевшие морем, могли выбирать место удара, и Россия вынуждена была держать войска на всех направлениях. Значительная часть армии стояла на западной границе и в Польше, против Австрии и Пруссии, которые формально сохраняли нейтралитет. В Крым удалось направить лишь часть сил.</w:t>
      </w:r>
    </w:p>
    <w:p>
      <w:pPr>
        <w:pStyle w:val="BodyText"/>
      </w:pPr>
      <w:r>
        <w:t>Оборона Петропавловска-Камчатского под руководством генерал-майора В. С. Завойко стала одним из немногих безусловных успехов войны. Гарнизон численностью около тысячи человек отразил десант значительно превосходящих сил англо-французской эскадры; командующий британской эскадрой адмирал Д. Прайс погиб при неясных обстоятельствах в начале операции, по-видимому от собственного выстрела. Весной 1855 года, ожидая новой атаки, гарнизон был эвакуирован в устье Амура, и союзная эскадра нашла город пустым.</w:t>
      </w:r>
    </w:p>
    <w:p>
      <w:pPr>
        <w:pStyle w:val="BodyText"/>
      </w:pPr>
      <w:r>
        <w:t>Балаклавское сражение 13 (25) октября 1854 года вошло в британскую культурную память благодаря атаке лёгкой кавалерийской бригады, которая по ошибке в передаче приказа бросилась на русские батареи и потеряла значительную часть состава. Стихотворение А. Теннисона «Атака лёгкой бригады» (1854) сделало этот эпизод символом бессмысленной доблести, и для британцев он остаётся главным образом Крымской войны.</w:t>
      </w:r>
    </w:p>
    <w:p>
      <w:pPr>
        <w:pStyle w:val="Слайд"/>
      </w:pPr>
      <w:r>
        <w:t>[слайд 40 — Оборона Севастополя]</w:t>
      </w:r>
    </w:p>
    <w:p>
      <w:pPr>
        <w:pStyle w:val="BodyText"/>
      </w:pPr>
      <w:r>
        <w:t>Оборона Севастополя создала нескольких национальных героев, и в их числе были люди, далёкие от войны. Хирург Н. И. Пирогов впервые в массовых масштабах применил в полевых условиях наркоз эфиром, гипсовую повязку и сортировку раненых по тяжести ранения, что позволило спасти тысячи жизней. По инициативе великой княгини Елены Павловны в Крым была направлена Крестовоздвиженская община сестёр милосердия. Почти одновременно в британском госпитале в Скутари под Стамбулом работала Флоренс Найтингейл, и в обеих армиях война дала начало профессиональному женскому уходу за ранеными. Имя Даши Севастопольской, дочери погибшего матроса, перевязывавшей раненых ещё в сражении на Альме, стало одним из первых в истории русского милосердия.</w:t>
      </w:r>
    </w:p>
    <w:p>
      <w:pPr>
        <w:pStyle w:val="BodyText"/>
      </w:pPr>
      <w:r>
        <w:t>Война изменила и способ, которым общество узнавало о событиях. Корреспондент «Таймс» У. Х. Рассел присылал из Крыма репортажи о плохом снабжении армии, которые привели к падению кабинета Абердина в начале 1855 года. В 1855 году союзники проложили подводный телеграфный кабель через Чёрное море от Варны к Балаклаве, и сводки стали доходить до Лондона и Парижа за часы. Снимок Р. Фентона «Долина смертной тени» стал предметом спора уже в XXI веке: существуют две версии кадра, с ядрами на дороге и без них, и американский режиссёр Э. Моррис в 2007 году провёл исследование, пытаясь установить, не разложил ли фотограф ядра для большей выразительности. Его вывод склоняется к тому, что ядра были перенесены на дорогу, однако аргументы остаются косвенными.</w:t>
      </w:r>
    </w:p>
    <w:p>
      <w:pPr>
        <w:pStyle w:val="BodyText"/>
      </w:pPr>
      <w:r>
        <w:t>«Севастопольские рассказы» Толстого были напечатаны в «Современнике» в 1855 году, и молодой офицер сразу стал известен всей читающей России. По преданию, Александр II, прочитав первый рассказ, распорядился беречь жизнь автора; достоверность этого рассказа документами не подтверждена.</w:t>
      </w:r>
    </w:p>
    <w:p>
      <w:pPr>
        <w:pStyle w:val="Слайд"/>
      </w:pPr>
      <w:r>
        <w:t>[слайд 41 — Механика поражения]</w:t>
      </w:r>
    </w:p>
    <w:p>
      <w:pPr>
        <w:pStyle w:val="BodyText"/>
      </w:pPr>
      <w:r>
        <w:t>Разрыв в вооружении пехоты был наиболее наглядным. Британские и французские войска имели винтовки системы Минье и «Энфилд» с пулей, расширявшейся при выстреле и плотно входившей в нарезы ствола; прицельная дальность их достигала нескольких сотен метров. Русская пехота, вооружённая в основном гладкоствольными ружьями, несла тяжёлые потери ещё до того, как могла открыть огонь. В повести Н. С. Лескова «Левша» (1881) умирающий мастер просит передать государю, что «у англичан ружья кирпичом не чистят». Литературная деталь отражает действительную практику: начищенный до блеска ствол ценился на смотрах, но портился в бою.</w:t>
      </w:r>
    </w:p>
    <w:p>
      <w:pPr>
        <w:pStyle w:val="BodyText"/>
      </w:pPr>
      <w:r>
        <w:t>Проблема дорог видна из сравнения сроков. Груз из центральных губерний доходил до Крыма на подводах за два-три месяца; союзники доставляли подкрепления из Марселя и Портсмута морем за две-три недели. Для подвоза хлеба, фуража и боеприпасов в Крым была мобилизована масса крестьянских подвод, многие возчики не вернулись, и тяжесть войны легла на деревню задолго до мирного договора.</w:t>
      </w:r>
    </w:p>
    <w:p>
      <w:pPr>
        <w:pStyle w:val="BodyText"/>
      </w:pPr>
      <w:r>
        <w:t>Последний пункт механики поражения возвращает к выводу первого часа. Система, лишённая независимых источников сведений, узнала о своём состоянии в бою. Военный министр князь В. А. Долгоруков и главнокомандующий Меншиков докладывали государю о готовности войск; реальное положение обнаружилось на Альме.</w:t>
      </w:r>
    </w:p>
    <w:p>
      <w:pPr>
        <w:pStyle w:val="Слайд"/>
      </w:pPr>
      <w:r>
        <w:t>[слайд 42 — Парижский мир]</w:t>
      </w:r>
    </w:p>
    <w:p>
      <w:pPr>
        <w:pStyle w:val="BodyText"/>
      </w:pPr>
      <w:r>
        <w:t>Смерть Николая 18 февраля 1855 года породила слух о самоубийстве, будто бы совершённом с помощью яда, который дал ему лейб-медик М. Мандт. Слух распространился в столице сразу после кончины и с тех пор периодически возвращается в популярной литературе. Документальные свидетельства, в том числе записи врачей и воспоминания приближённых, описывают простуду, перешедшую в воспаление лёгких, которую император переносил на ногах, выезжая на смотры в мороз. Большинство историков считает версию о самоубийстве недоказанной, хотя и признаёт, что известия о поражениях в Крыму, по-видимому, подорвали волю государя к сопротивлению болезни.</w:t>
      </w:r>
    </w:p>
    <w:p>
      <w:pPr>
        <w:pStyle w:val="BodyText"/>
      </w:pPr>
      <w:r>
        <w:t>Парижский конгресс проходил с 13 (25) февраля по 18 (30) марта 1856 года. Русскую делегацию возглавлял граф А. Ф. Орлов, сумевший использовать противоречия между Францией и Великобританией: Наполеон III, достигший своих целей, был готов к сближению с Россией, и это смягчило условия мира. Нейтрализация Чёрного моря была особенно тяжёлым ударом, поскольку ограничивала суверенитет России на её собственном побережье, тогда как Турция могла держать флот в Средиземном море и при необходимости ввести его через проливы.</w:t>
      </w:r>
    </w:p>
    <w:p>
      <w:pPr>
        <w:pStyle w:val="BodyText"/>
      </w:pPr>
      <w:r>
        <w:t>Одним из долгосрочных последствий мира стала демилитаризация Аландских островов, закреплённая отдельной конвенцией, приложенной к договору. Этот режим, позднее подтверждённый в XX веке, действует до сих пор: острова, входящие в состав Финляндии, остаются демилитаризованной зоной.</w:t>
      </w:r>
    </w:p>
    <w:p>
      <w:pPr>
        <w:pStyle w:val="Слайд"/>
      </w:pPr>
      <w:r>
        <w:t>[слайд 43 — Цена выбора]</w:t>
      </w:r>
    </w:p>
    <w:p>
      <w:pPr>
        <w:pStyle w:val="BodyText"/>
      </w:pPr>
      <w:r>
        <w:t>Противопоставление двух колонок позволяет избежать как обвинительного, так и апологетического взгляда на царствование. Левая колонка показывает, что накопленные при Николае ресурсы — законы, люди, учреждения, деньги — были реальными, и именно они сделали возможными быстрые преобразования следующего царствования. Правая колонка показывает, во что обошлось откладывание главных решений.</w:t>
      </w:r>
    </w:p>
    <w:p>
      <w:pPr>
        <w:pStyle w:val="BodyText"/>
      </w:pPr>
      <w:r>
        <w:t>Вывод в нижней строке можно уточнить с помощью сравнения. Пруссия после поражения от Наполеона в 1806 году также начала реформы под давлением военной катастрофы, и реформы Штейна и Гарденберга привели к освобождению крестьян, военной реорганизации и подъёму университетов. Сходство двух ситуаций, отстоящих на полвека, показывает общую закономерность: для монархий, отождествлявших прочность с неизменностью, именно поражение становилось условием преобразований.</w:t>
      </w:r>
    </w:p>
    <w:p>
      <w:pPr>
        <w:pStyle w:val="Heading2"/>
      </w:pPr>
      <w:r>
        <w:t>Заключение</w:t>
      </w:r>
    </w:p>
    <w:p>
      <w:pPr>
        <w:pStyle w:val="Слайд"/>
      </w:pPr>
      <w:r>
        <w:t>[слайд 44 — Основные выводы]</w:t>
      </w:r>
    </w:p>
    <w:p>
      <w:pPr>
        <w:pStyle w:val="BodyText"/>
      </w:pPr>
      <w:r>
        <w:t>Восемь выводов складываются в связное объяснение царствования. Система личного контроля, порождённая опытом 1825 года, оказалась эффективной в задачах, которые можно было решить внутри аппарата, и бессильной там, где требовались сведения снизу и согласие сословий. Общественная мысль, лишённая выхода в публичную политику, развивалась в салонах, журналах и кружках, и именно здесь выросли понятия, на которых будет строиться русская политическая жизнь до начала XX века. Война обнаружила разрыв между образом государства и его действительными возможностями, и следующее царствование началось с признания этого разрыва.</w:t>
      </w:r>
    </w:p>
    <w:p>
      <w:pPr>
        <w:pStyle w:val="Слайд"/>
      </w:pPr>
      <w:r>
        <w:t>[слайд 45 — Вопросы и задания]</w:t>
      </w:r>
    </w:p>
    <w:p>
      <w:pPr>
        <w:pStyle w:val="BodyText"/>
      </w:pPr>
      <w:r>
        <w:t>Задание на работу с источниками строится на сопоставлении двух текстов, разделённых четвертью века и написанных людьми противоположных убеждений. Чаадаев и К. Аксаков сходятся в том, что петровские преобразования отделили образованный слой от народа, но делают из этого противоположные выводы: первый видит причину отставания в исходной изолированности России, второй — в разрушении древнего союза земли и власти. Полезно обратить внимание и на адресата: первое письмо обращено к частному лицу, записка — к государю.</w:t>
      </w:r>
    </w:p>
    <w:p>
      <w:pPr>
        <w:pStyle w:val="BodyText"/>
      </w:pPr>
      <w:r>
        <w:t>Задание на понятие предполагает работу со словарями и текстами. Удобный материал дают толкования слова в словаре В. И. Даля (1860-е годы) и его употребление в журнальной полемике 1830–1850-х годов. Для регионального задания основным источником служат материалы о Златоустовских заводах в «Горном журнале» 1830–1840-х годов и биографические очерки об Аносове, изданные в Челябинске и Златоусте.</w:t>
      </w:r>
    </w:p>
    <w:p>
      <w:pPr>
        <w:pStyle w:val="Слайд"/>
      </w:pPr>
      <w:r>
        <w:t>[слайд 46 — Литература]</w:t>
      </w:r>
    </w:p>
    <w:p>
      <w:pPr>
        <w:pStyle w:val="BodyText"/>
      </w:pPr>
      <w:r>
        <w:t>Две книги, рекомендованные для совместного чтения, представляют полярные оценки царствования, и их сопоставление само по себе служит упражнением в историографическом анализе. «Крымская война» Е. В. Тарле, изданная в 1941–1943 годах, остаётся самым подробным описанием дипломатии и военных действий на русском языке, хотя её оценки несут отпечаток времени написания. Книга Н. И. Цимбаева о славянофильстве (1986) даёт наиболее полный обзор идей движения и его исторической судьбы.</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