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6.3. Время Великих реформ</w:t>
      </w:r>
    </w:p>
    <w:p>
      <w:pPr>
        <w:pStyle w:val="Шапка"/>
      </w:pPr>
      <w:r>
        <w:t>Раздел 6. Российская империя в XIX — начале XX в.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6.2 закончилась выводом о том, что Парижский мир сделал преобразования неизбежными. Настоящая тема посвящена тому, как эти преобразования были задуманы и проведены, какие силы они пробудили в обществе и как изменилось место России в Европе за четыре десятилетия, отделяющие Парижский конгресс от союза с Францией. Выражение «Великие реформы» появилось уже у современников и закрепилось в историографии благодаря юбилейным изданиям 1911 года, приуроченным к пятидесятилетию освобождения крестьян.</w:t>
      </w:r>
    </w:p>
    <w:p>
      <w:pPr>
        <w:pStyle w:val="Слайд"/>
      </w:pPr>
      <w:r>
        <w:t>[слайд 2 — Постановка проблемы]</w:t>
      </w:r>
    </w:p>
    <w:p>
      <w:pPr>
        <w:pStyle w:val="BodyText"/>
      </w:pPr>
      <w:r>
        <w:t>Вопрос о судьбе Александра II был поставлен ещё его современниками. Философ В. С. Соловьёв в публичной лекции 28 марта 1881 года, через месяц после гибели императора, призвал его сына помиловать убийц отца, после чего ему пришлось на время прекратить публичные выступления. Сам призыв показывает, насколько остро образованное общество ощущало трагический парадокс царствования: государь, сделавший больше всех своих предшественников для освобождения подданных, стал первым русским монархом, убитым революционной организацией.</w:t>
      </w:r>
    </w:p>
    <w:p>
      <w:pPr>
        <w:pStyle w:val="BodyText"/>
      </w:pPr>
      <w:r>
        <w:t>Для понимания этого парадокса существенно, что реформы меняли положение огромных групп населения, но не меняли устройства верховной власти. Каждое новое учреждение порождало людей, привыкших обсуждать общие дела, а возможности участвовать в решении вопросов государственного масштаба у них не появлялось. Напряжение между этими двумя процессами проходит через всю тему.</w:t>
      </w:r>
    </w:p>
    <w:p>
      <w:pPr>
        <w:pStyle w:val="Слайд"/>
      </w:pPr>
      <w:r>
        <w:t>[слайд 3 — План лекции · час первый]</w:t>
      </w:r>
    </w:p>
    <w:p>
      <w:pPr>
        <w:pStyle w:val="BodyText"/>
      </w:pPr>
      <w:r>
        <w:t>Первый час посвящён самим реформам: их причинам, людям, которые их готовили, и содержанию основных законов. Второй час — тем силам, которые реформы вызвали к жизни: журнальной публицистике, либеральной и консервативной мысли, революционному подполью, а также внешней политике, в которой Россия в эти годы вернула утраченные позиции и сменила союзников.</w:t>
      </w:r>
    </w:p>
    <w:p>
      <w:pPr>
        <w:pStyle w:val="Слайд"/>
      </w:pPr>
      <w:r>
        <w:t>[слайд 4 — Координаты темы]</w:t>
      </w:r>
    </w:p>
    <w:p>
      <w:pPr>
        <w:pStyle w:val="BodyText"/>
      </w:pPr>
      <w:r>
        <w:t>Хронологическая лента позволяет выделить внутри темы три периода. С 1856 по 1866 год продолжается собственно реформаторский подъём: за десятилетие приняты основные законы. С 1866 по 1881 год реформы продолжаются, но в условиях нарастающего противостояния власти и радикальной части общества; к этому периоду относятся городская и военная реформы. Последний период, с 1881 по 1894 год, в теме представлен лишь внешней политикой.</w:t>
      </w:r>
    </w:p>
    <w:p>
      <w:pPr>
        <w:pStyle w:val="BodyText"/>
      </w:pPr>
      <w:r>
        <w:t>Голод 1891–1892 годов, обозначенный в конце ленты, охватил около двадцати губерний Черноземья и Поволжья. По оценке американского историка Р. Роббинса, автора исследования о правительственных мерах помощи (1975), от голода и сопровождавших его эпидемий холеры и тифа погибло около четырёхсот тысяч человек. В помощи голодающим участвовали земства и частные лица, среди них Л. Н. Толстой и А. П. Чехов, и этот опыт стал важным этапом в формировании общественной самоорганизации.</w:t>
      </w:r>
    </w:p>
    <w:p>
      <w:pPr>
        <w:pStyle w:val="Heading2"/>
      </w:pPr>
      <w:r>
        <w:t>Вопрос первый. Постсевастопольская Россия</w:t>
      </w:r>
    </w:p>
    <w:p>
      <w:pPr>
        <w:pStyle w:val="Слайд"/>
      </w:pPr>
      <w:r>
        <w:t>[слайд 5 — Вопрос первый]</w:t>
      </w:r>
    </w:p>
    <w:p>
      <w:pPr>
        <w:pStyle w:val="BodyText"/>
      </w:pPr>
      <w:r>
        <w:t>Первый вопрос объясняет, почему реформы начались именно после Крымской войны, кто их готовил и как русская модель освобождения выглядит в сравнении с решениями того же времени в других странах.</w:t>
      </w:r>
    </w:p>
    <w:p>
      <w:pPr>
        <w:pStyle w:val="Слайд"/>
      </w:pPr>
      <w:r>
        <w:t>[слайд 6 — Причины реформ]</w:t>
      </w:r>
    </w:p>
    <w:p>
      <w:pPr>
        <w:pStyle w:val="BodyText"/>
      </w:pPr>
      <w:r>
        <w:t>Речь 30 марта 1856 года была произнесена перед предводителями дворянства Московской губернии в ответ на слухи о готовящемся освобождении. Знаменитая фраза о преимуществе отмены сверху сохранилась в нескольких записях, и её точный текст в разных источниках несколько различается; смысл, однако, передан во всех вариантах одинаково. Государь рассчитывал, что дворянство само выступит с инициативой, однако такой инициативы не последовало, и власти пришлось действовать через рескрипт генерал-губернатору Назимову.</w:t>
      </w:r>
    </w:p>
    <w:p>
      <w:pPr>
        <w:pStyle w:val="BodyText"/>
      </w:pPr>
      <w:r>
        <w:t>Военный довод требует пояснения. При рекрутской системе солдат служил большую часть жизни, и обученного запаса, который можно было бы призвать в случае войны, почти не существовало. Создание массовой армии по прусскому образцу, с короткой службой и большим запасом, было невозможно, пока солдат после службы становился свободным человеком, а значит, отпущенный в запас крепостной выходил из-под власти помещика. Военный министр Д. А. Милютин прямо связывал военную реформу с предшествующим освобождением крестьян.</w:t>
      </w:r>
    </w:p>
    <w:p>
      <w:pPr>
        <w:pStyle w:val="BodyText"/>
      </w:pPr>
      <w:r>
        <w:t>Историки экономики по-разному оценивали состояние крепостного хозяйства накануне реформы. Советская историография, прежде всего И. Д. Ковальченко, говорила о кризисе крепостнической системы. Американские экономисты Е. Домар и М. Мачина в статье 1984 года пришли к выводу, что крепостное хозяйство оставалось прибыльным для помещиков вплоть до 1861 года, а цены на крепостных не обнаруживали признаков падения. Если принять второй вывод, отмена крепостного права выглядит решением, принятым из государственных, политических соображений вопреки экономическому интересу значительной части дворянства. Вывод нижней строки слайда отражает именно эту позицию.</w:t>
      </w:r>
    </w:p>
    <w:p>
      <w:pPr>
        <w:pStyle w:val="Слайд"/>
      </w:pPr>
      <w:r>
        <w:t>[слайд 7 — Просвещённая бюрократия]</w:t>
      </w:r>
    </w:p>
    <w:p>
      <w:pPr>
        <w:pStyle w:val="BodyText"/>
      </w:pPr>
      <w:r>
        <w:t>Понятие «просвещённая бюрократия» введено американским историком У. Б. Линкольном и развито в работах Л. Г. Захаровой. Его смысл состоит в том, что инициатива преобразований исходила из самого аппарата управления, от группы чиновников, выросших в николаевских министерствах. Многие из них прошли школу Русского географического общества, основанного в 1845 году: под его эгидой проводились статистические и этнографические исследования, и великий князь Константин Николаевич был его председателем.</w:t>
      </w:r>
    </w:p>
    <w:p>
      <w:pPr>
        <w:pStyle w:val="BodyText"/>
      </w:pPr>
      <w:r>
        <w:t>Николай Алексеевич Милютин принадлежал к семье, где реформаторская традиция передавалась от поколения к поколению: его дядей был П. Д. Киселёв. Сам Милютин в 1840-х годах подготовил Городовое положение для Петербурга 1846 года, где впервые в России была испытана система выборов по разрядам горожан. В 1861 году, сразу после принятия Положений 19 февраля, он был отправлен в отставку: консервативная часть дворянства видела в нём «красного», и государь, утвердив его проект, посчитал разумным удалить автора. Впоследствии Милютин проводил крестьянскую реформу в Царстве Польском после восстания 1863 года.</w:t>
      </w:r>
    </w:p>
    <w:p>
      <w:pPr>
        <w:pStyle w:val="BodyText"/>
      </w:pPr>
      <w:r>
        <w:t>Морское министерство под руководством великого князя Константина стало своего рода лабораторией гласности. Ведомственный журнал «Морской сборник» с 1855 года публиковал статьи о состоянии флота, о судопроизводстве, о воспитании и образовании, далеко выходившие за пределы морского дела, и современники воспринимали его как первый свободный журнал нового царствования.</w:t>
      </w:r>
    </w:p>
    <w:p>
      <w:pPr>
        <w:pStyle w:val="Слайд"/>
      </w:pPr>
      <w:r>
        <w:t>[слайд 8 — Россия, США, Япония]</w:t>
      </w:r>
    </w:p>
    <w:p>
      <w:pPr>
        <w:pStyle w:val="BodyText"/>
      </w:pPr>
      <w:r>
        <w:t>Сравнение трёх случаев можно расширить. В Пруссии освобождение крестьян растянулось с указа 1807 года до законов 1850 года, и крестьяне платили за землю частью своих участков или выкупными платежами через рентные банки. В Австрийской империи революция 1848 года привела к отмене барщины с выкупом, одна треть которого покрывалась государством. Русский вариант ближе всего к прусскому и австрийскому: в каждом из этих случаев государство выступало посредником между помещиком и крестьянином и кредитовало выкуп.</w:t>
      </w:r>
    </w:p>
    <w:p>
      <w:pPr>
        <w:pStyle w:val="BodyText"/>
      </w:pPr>
      <w:r>
        <w:t>Американский случай показывает обратный вариант. В январе 1865 года генерал У. Т. Шерман особым приказом выделил освобождённым рабам участки конфискованной земли на побережье Джорджии и Южной Каролины, откуда пошло выражение «сорок акров и мул». Уже осенью того же года президент Э. Джонсон отменил этот приказ, и земли были возвращены прежним владельцам. Бывшие рабы получили гражданство, но остались без земли и в большинстве своём стали издольщиками.</w:t>
      </w:r>
    </w:p>
    <w:p>
      <w:pPr>
        <w:pStyle w:val="BodyText"/>
      </w:pPr>
      <w:r>
        <w:t>Японская реформа 1873 года, превратившая традиционный натуральный налог в денежный налог с собственника земли, сделала крестьянина собственником, но и возложила на него всю тяжесть налога, рассчитанного по стоимости участка. В годы неурожаев и падения цен многие крестьяне разорялись и продавали землю, и к концу XIX века значительная часть японских крестьян стала арендаторами. Сравнение предостерегает от простого вывода: собственность на землю сама по себе не гарантировала крестьянину благополучия.</w:t>
      </w:r>
    </w:p>
    <w:p>
      <w:pPr>
        <w:pStyle w:val="Heading2"/>
      </w:pPr>
      <w:r>
        <w:t>Вопрос второй. Крестьянская реформа 1861 года</w:t>
      </w:r>
    </w:p>
    <w:p>
      <w:pPr>
        <w:pStyle w:val="Слайд"/>
      </w:pPr>
      <w:r>
        <w:t>[слайд 9 — Вопрос второй]</w:t>
      </w:r>
    </w:p>
    <w:p>
      <w:pPr>
        <w:pStyle w:val="BodyText"/>
      </w:pPr>
      <w:r>
        <w:t>Второй вопрос посвящён главной реформе царствования: порядку подготовки закона, правам и обязанностям, которые он устанавливал, реакции деревни и особенностям реформы в горнозаводском крае.</w:t>
      </w:r>
    </w:p>
    <w:p>
      <w:pPr>
        <w:pStyle w:val="Слайд"/>
      </w:pPr>
      <w:r>
        <w:t>[слайд 10 — Подготовка реформы]</w:t>
      </w:r>
    </w:p>
    <w:p>
      <w:pPr>
        <w:pStyle w:val="BodyText"/>
      </w:pPr>
      <w:r>
        <w:t>Рескрипт Назимову был ответом на просьбу дворян трёх северо-западных губерний — Виленской, Ковенской и Гродненской — освободить крестьян без земли. Правительство воспользовалось этой просьбой, чтобы предложить свои условия, и разослало текст рескрипта губернаторам и предводителям дворянства всех губерний. Публикация рескрипта в печати сделала крестьянский вопрос предметом открытого обсуждения, и отступить от реформы после этого было уже невозможно.</w:t>
      </w:r>
    </w:p>
    <w:p>
      <w:pPr>
        <w:pStyle w:val="BodyText"/>
      </w:pPr>
      <w:r>
        <w:t>Яков Иванович Ростовцев, председатель Редакционных комиссий, был в 1825 году молодым офицером, который накануне 14 декабря предупредил Николая о готовящемся выступлении, хотя был близок к заговорщикам. В конце 1850-х годов он стал одним из самых последовательных сторонников освобождения с землёй. Ростовцев умер в феврале 1860 года, и его место занял граф В. Н. Панин, министр юстиции, известный консервативными взглядами. Работа комиссий к тому времени была в основном закончена, и Панин сумел внести лишь частные изменения, однако именно эти изменения в ряде губерний уменьшили наделы.</w:t>
      </w:r>
    </w:p>
    <w:p>
      <w:pPr>
        <w:pStyle w:val="BodyText"/>
      </w:pPr>
      <w:r>
        <w:t>Расхождение двух позиций можно сформулировать как спор о масштабе участия государства. Милютин, наследник Киселёва, хотел, чтобы государство само размежевало земли и установило границы наделов; Самарин и Черкасский предпочитали задать общие нормы и предоставить остальное соглашению сторон. Выбор второго пути объясняется нехваткой землемеров и средств, и последствия этого выбора сказывались вплоть до столыпинской реформы.</w:t>
      </w:r>
    </w:p>
    <w:p>
      <w:pPr>
        <w:pStyle w:val="Слайд"/>
      </w:pPr>
      <w:r>
        <w:t>[слайд 11 — Источник крупным планом]</w:t>
      </w:r>
    </w:p>
    <w:p>
      <w:pPr>
        <w:pStyle w:val="BodyText"/>
      </w:pPr>
      <w:r>
        <w:t>Митрополит Филарет (Дроздов) был одним из крупнейших церковных писателей своего времени и автором катехизиса, по которому учились несколько поколений. К самой реформе он относился сдержанно, и в его переписке встречаются опасения относительно последствий освобождения. Проект манифеста, подготовленный Ю. Ф. Самариным, показался государю слишком светским, и Филарет переработал его, придав тексту торжественный церковный строй.</w:t>
      </w:r>
    </w:p>
    <w:p>
      <w:pPr>
        <w:pStyle w:val="BodyText"/>
      </w:pPr>
      <w:r>
        <w:t>Язык манифеста стоит рассмотреть внимательно, поскольку здесь соединились три языковые стихии. Церковнославянские обороты («осени себя крестным знамением», «призови с Нами Божие благословение») делали текст привычным для слушателей, ежедневно слышавших богослужение. Канцелярская лексика вводила новые термины: «временнообязанные», «уставная грамота», «мировой посредник». Слово «грамота» восходит к средневековому обозначению официального акта, «мировой» — к слову «мир» в значении согласия: посредник должен был примирять стороны. Сочетание высокого стиля и юридической точности объясняет, почему манифест было трудно понять на слух: крестьяне запоминали торжественные обороты, но не улавливали условий.</w:t>
      </w:r>
    </w:p>
    <w:p>
      <w:pPr>
        <w:pStyle w:val="BodyText"/>
      </w:pPr>
      <w:r>
        <w:t>Обнародование было тщательно подготовлено. Манифест был подписан 19 февраля, а объявлен в Петербурге и Москве лишь 5 марта, в Прощёное воскресенье, когда народ, по расчёту властей, готовился к посту и был менее склонен к волнениям. В губерниях чтение продолжалось до начала апреля, и в ожидании беспорядков в некоторые местности заранее были направлены войска.</w:t>
      </w:r>
    </w:p>
    <w:p>
      <w:pPr>
        <w:pStyle w:val="Слайд"/>
      </w:pPr>
      <w:r>
        <w:t>[слайд 12 — Основные положения]</w:t>
      </w:r>
    </w:p>
    <w:p>
      <w:pPr>
        <w:pStyle w:val="BodyText"/>
      </w:pPr>
      <w:r>
        <w:t>Положения 19 февраля включали Общее положение о крестьянах, вышедших из крепостной зависимости, местные положения для разных регионов, положения о выкупе, об устройстве дворовых людей и о губернских и уездных учреждениях по крестьянским делам. Общее число освобождённых помещичьих крестьян превышало двадцать два миллиона человек обоего пола.</w:t>
      </w:r>
    </w:p>
    <w:p>
      <w:pPr>
        <w:pStyle w:val="BodyText"/>
      </w:pPr>
      <w:r>
        <w:t>Институт мировых посредников оказался одним из самых удачных нововведений реформы. Посредники назначались из местных дворян, но были независимы от губернатора и в первые годы нередко становились на сторону крестьян. Одним из них в Крапивенском уезде Тульской губернии в 1861–1862 годах был Л. Н. Толстой; его решения в пользу крестьян вызвали жалобы соседей-помещиков, и он подал в отставку менее чем через год.</w:t>
      </w:r>
    </w:p>
    <w:p>
      <w:pPr>
        <w:pStyle w:val="BodyText"/>
      </w:pPr>
      <w:r>
        <w:t>Отрезки стали для деревни символом несправедливости реформы. Помещик, сохранивший за собой луга, выгоны и водопои, получал возможность сдавать их крестьянам в аренду или за отработки, и в черноземных губерниях это создало систему зависимости, которую позднее назвали «отработочной». Требование вернуть отрезки вошло в программы крестьянских партий начала XX века.</w:t>
      </w:r>
    </w:p>
    <w:p>
      <w:pPr>
        <w:pStyle w:val="Слайд"/>
      </w:pPr>
      <w:r>
        <w:t>[слайд 13 — Механика выкупа]</w:t>
      </w:r>
    </w:p>
    <w:p>
      <w:pPr>
        <w:pStyle w:val="BodyText"/>
      </w:pPr>
      <w:r>
        <w:t>Расчёт выкупной суммы через капитализацию оброка выглядит технической деталью, но именно он определял экономический смысл реформы. Помещик получал капитал, проценты с которого возмещали ему прежний доход от крестьян, независимо от того, сколько стоила сама земля. В нечернозёмных губерниях, где земля приносила мало, а основной доход помещику давали отхожие промыслы крестьян, выкупная оценка значительно превышала рыночную цену земли; по оценкам ряда историков, разница доходила до полутора-двух раз. Иначе говоря, крестьяне этих губерний выкупали фактически свой труд, а земля служила лишь формой расчёта.</w:t>
      </w:r>
    </w:p>
    <w:p>
      <w:pPr>
        <w:pStyle w:val="BodyText"/>
      </w:pPr>
      <w:r>
        <w:t>Для задания на расчёт, вынесенного в конец темы, применяется та же формула. Оброк в 9 рублей, капитализированный из шести процентов, даёт выкупную сумму 150 рублей. Из неё 80 процентов, то есть 120 рублей, оплачивало государство, и крестьянин в течение 49 лет вносил в казну по шесть процентов с этой суммы — 7 рублей 20 копеек в год. За весь срок выплата составляла около 350 рублей, более чем вдвое превышая первоначальную ссуду.</w:t>
      </w:r>
    </w:p>
    <w:p>
      <w:pPr>
        <w:pStyle w:val="BodyText"/>
      </w:pPr>
      <w:r>
        <w:t>Удержание долгов помещиков из выкупной суммы имело серьёзные последствия для дворянства. К 1859 году большая часть крепостных душ была заложена в кредитных учреждениях, и значительная доля выкупа ушла на погашение этих долгов. Многие помещики получили на руки лишь небольшие суммы в ценных бумагах, которые к тому же продавались ниже номинала.</w:t>
      </w:r>
    </w:p>
    <w:p>
      <w:pPr>
        <w:pStyle w:val="Слайд"/>
      </w:pPr>
      <w:r>
        <w:t>[слайд 14 — Деревня и воля]</w:t>
      </w:r>
    </w:p>
    <w:p>
      <w:pPr>
        <w:pStyle w:val="BodyText"/>
      </w:pPr>
      <w:r>
        <w:t>Событие в селе Бездна произошло 12 апреля 1861 года. Крестьянин-старообрядец Антон Петров, прочитав Положения, нашёл в них «настоящую волю» и стал разъяснять её собравшимся из окрестных деревень. Тысячи людей пришли к его избе, и прибывший с войсками генерал-майор А. С. Апраксин приказал открыть огонь, когда толпа отказалась выдать Петрова. Сам Петров был приговорён военным судом и расстрелян. Число погибших в разных источниках называется по-разному: официальные донесения приводили несколько десятков убитых, позднейшие оценки — значительно больше.</w:t>
      </w:r>
    </w:p>
    <w:p>
      <w:pPr>
        <w:pStyle w:val="BodyText"/>
      </w:pPr>
      <w:r>
        <w:t>Эхо событий дошло до университетов. Молодой историк Казанского университета А. П. Щапов на панихиде по убитым произнёс речь, в которой назвал их мучениками, и был арестован. Аналогичное столкновение произошло в апреле того же года в селе Кандеевка Пензенской губернии. Такие события стали для радикальной молодёжи доказательством того, что реформа обманула народ, и этот вывод питал революционные настроения 1860-х годов.</w:t>
      </w:r>
    </w:p>
    <w:p>
      <w:pPr>
        <w:pStyle w:val="BodyText"/>
      </w:pPr>
      <w:r>
        <w:t>Картина Г. Г. Мясоедова написана через двенадцать лет после реформы и принадлежит к передвижнической традиции. Художник изобразил крестьян, слушающих чтение Положений, и сосредоточенные лица слушателей передают то напряжённое ожидание, с каким деревня встретила закон.</w:t>
      </w:r>
    </w:p>
    <w:p>
      <w:pPr>
        <w:pStyle w:val="Слайд"/>
      </w:pPr>
      <w:r>
        <w:t>[слайд 15 — Община после 1861 года]</w:t>
      </w:r>
    </w:p>
    <w:p>
      <w:pPr>
        <w:pStyle w:val="BodyText"/>
      </w:pPr>
      <w:r>
        <w:t>Решение сохранить общину объясняется прежде всего фискальными соображениями. Круговая порука делала общину ответственной за выкупные платежи и подати всех её членов, и государству не нужно было собирать деньги с каждого двора. Это решение получило и идейную поддержку: славянофилы видели в общине основу нравственного строя народа, а многие чиновники — гарантию против появления безземельного пролетариата, который, по их мнению, стал причиной европейских революций 1848 года.</w:t>
      </w:r>
    </w:p>
    <w:p>
      <w:pPr>
        <w:pStyle w:val="BodyText"/>
      </w:pPr>
      <w:r>
        <w:t>Особенность нового положения крестьянина хорошо видна по волостному суду. Он решал дела «по обычаю», и обычай различался от губернии к губернии и даже от волости к волости. Сенаторская ревизия и исследования правоведов конца века фиксировали, что в одних местах дочь имела право на часть наследства, в других — нет, а телесные наказания по приговору волостного суда сохранялись до 1904 года. Крестьянин, юридически свободный, оставался подсудным особым учреждениям и особым нормам, отличным от тех, что действовали для других сословий.</w:t>
      </w:r>
    </w:p>
    <w:p>
      <w:pPr>
        <w:pStyle w:val="BodyText"/>
      </w:pPr>
      <w:r>
        <w:t>Понятие «сфера неопределённости» развито И. А. Христофоровым. Оно подчёркивает, что реформа оставила крестьянина между двумя правовыми мирами: государство уже не регулировало его жизнь через помещика, но и не включило его в общее гражданское право.</w:t>
      </w:r>
    </w:p>
    <w:p>
      <w:pPr>
        <w:pStyle w:val="Слайд"/>
      </w:pPr>
      <w:r>
        <w:t>[слайд 16 — Урал и реформа]</w:t>
      </w:r>
    </w:p>
    <w:p>
      <w:pPr>
        <w:pStyle w:val="BodyText"/>
      </w:pPr>
      <w:r>
        <w:t>Горнозаводское население Урала составляло особый мир, и реформа подходила к нему по особым правилам. Наряду с Положениями о помещичьих крестьянах 19 февраля 1861 года были утверждены «Дополнительные правила об устройстве крестьян, водворённых в имениях частных горных заводов», а для казённых заводов — Положение о горнозаводском населении казённых горных заводов ведомства Министерства финансов, утверждённое 8 марта 1861 года. Отдельными правилами определялось положение посессионных людей, то есть работников, прикреплённых к фабрикам и заводам, которыми владелец пользовался на условиях, установленных казной. Внутри заводского населения закон разделял две группы. Мастеровые, занятые непосредственно на заводском производстве, получали усадебную землю и, как правило, покосы, но не пашню; сельские работники, обслуживавшие завод на вспомогательных работах — рубке леса, выжиге угля, перевозке руды, — получали полевые наделы как крестьяне.</w:t>
      </w:r>
    </w:p>
    <w:p>
      <w:pPr>
        <w:pStyle w:val="BodyText"/>
      </w:pPr>
      <w:r>
        <w:t>Уставные грамоты для горнозаводских имений составлялись в основном в 1862 году, и их введение сопровождалось острыми конфликтами. Работники отказывались подписывать грамоты, оспаривали размеры усадеб и покосов, а главное — права на лес, без которого нельзя было ни строиться, ни топить печь. Заводовладельцы, для которых лес был топливом доменных печей, стремились сохранить лесные дачи за собой. Споры о лесных и земельных угодьях в горнозаводских округах растянулись на несколько десятилетий, и поземельное устройство бывших заводских людей во многих местах завершилось лишь к концу века.</w:t>
      </w:r>
    </w:p>
    <w:p>
      <w:pPr>
        <w:pStyle w:val="BodyText"/>
      </w:pPr>
      <w:r>
        <w:t>Для территории нынешней Челябинской области реформа означала перестройку целого ряда заводских округов: казённого Златоустовского с Саткинским, Кусинским и Миасским заводами, частных Кыштымского (с Каслинским заводом), Симского и Катав-Ивановского (с Юрюзанским заводом). После реформы часть мастеровых ушла с заводов, особенно там, где платили мало, и в первые годы выплавка чугуна на Урале сократилась. В 1865 году из Оренбургской губернии была выделена Уфимская, и Златоустовский уезд вошёл в её состав, тогда как Челябинский и Троицкий уезды остались в Оренбургской губернии.</w:t>
      </w:r>
    </w:p>
    <w:p>
      <w:pPr>
        <w:pStyle w:val="BodyText"/>
      </w:pPr>
      <w:r>
        <w:t>Технические перемены пореформенных десятилетий имели и уральских героев. Мартеновский способ производства стали, изобретённый во Франции П. Мартеном в 1864 году, начали осваивать на уральских заводах в 1870-х годах. Ещё раньше, на рубеже 1850–1860-х годов, в Златоусте инженер П. М. Обухов получил литую сталь для артиллерийских орудий, и этот опыт лёг в основу знаменитого Обуховского завода в Петербурге. Свобода труда заставила заводы считать каждую копейку, и этот расчёт стал двигателем технического обновления, которого не смогли вызвать никакие указы дореформенного времени.</w:t>
      </w:r>
    </w:p>
    <w:p>
      <w:pPr>
        <w:pStyle w:val="Слайд"/>
      </w:pPr>
      <w:r>
        <w:t>[слайд 17 — Спорят историки]</w:t>
      </w:r>
    </w:p>
    <w:p>
      <w:pPr>
        <w:pStyle w:val="BodyText"/>
      </w:pPr>
      <w:r>
        <w:t>Спор о последствиях реформы — один из самых продолжительных в отечественной историографии. Народническая и марксистская традиция видела в пореформенной деревне нарастающий кризис: недоимки, сокращение наделов при росте населения, голод 1891 года. Эту позицию развивал П. А. Зайончковский, впервые выпустивший книгу «Отмена крепостного права в России» в 1954 году. В зарубежной историографии кризисную схему одним из первых оспорил американский историк Дж. Симмс в статье 1977 года «Кризис русского сельского хозяйства в конце XIX века: иной взгляд», указав на рост косвенных налогов, свидетельствовавший о росте потребления в деревне.</w:t>
      </w:r>
    </w:p>
    <w:p>
      <w:pPr>
        <w:pStyle w:val="BodyText"/>
      </w:pPr>
      <w:r>
        <w:t>Работы Б. Н. Миронова продолжили эту линию на широком материале. Его главный аргумент — антропометрические данные: средний рост призывников, отражающий питание в детстве, после реформы увеличивался. Оппоненты, прежде всего С. А. Нефёдов, работающий в рамках неомальтузианской теории, возражали, что рост населения обгонял рост производства хлеба на душу и вёл к аграрному перенаселению. Спор Миронова и Нефёдова в 2010-х годах вёлся на страницах научных журналов и стал примером того, как одни и те же статистические ряды допускают противоположные прочтения.</w:t>
      </w:r>
    </w:p>
    <w:p>
      <w:pPr>
        <w:pStyle w:val="BodyText"/>
      </w:pPr>
      <w:r>
        <w:t>Позиция И. А. Христофорова переносит центр тяжести с экономики на право. Главной проблемой пореформенной деревни он считает изоляцию крестьян в особом правовом пространстве: община, круговая порука, волостной суд по обычаю и запрет свободного выхода мешали крестьянину распоряжаться землёй и трудом, и это сказывалось на хозяйстве сильнее, чем размер надела.</w:t>
      </w:r>
    </w:p>
    <w:p>
      <w:pPr>
        <w:pStyle w:val="Heading2"/>
      </w:pPr>
      <w:r>
        <w:t>Вопрос третий. Земство, суд, армия</w:t>
      </w:r>
    </w:p>
    <w:p>
      <w:pPr>
        <w:pStyle w:val="Слайд"/>
      </w:pPr>
      <w:r>
        <w:t>[слайд 18 — Вопрос третий]</w:t>
      </w:r>
    </w:p>
    <w:p>
      <w:pPr>
        <w:pStyle w:val="BodyText"/>
      </w:pPr>
      <w:r>
        <w:t>Третий вопрос охватывает преобразования, последовавшие за крестьянской реформой и вытекавшие из неё: если помещик перестал быть хозяином деревни, требовалось создать новые органы местного управления, новый суд, новую армию.</w:t>
      </w:r>
    </w:p>
    <w:p>
      <w:pPr>
        <w:pStyle w:val="Слайд"/>
      </w:pPr>
      <w:r>
        <w:t>[слайд 19 — Земская и городская реформы]</w:t>
      </w:r>
    </w:p>
    <w:p>
      <w:pPr>
        <w:pStyle w:val="BodyText"/>
      </w:pPr>
      <w:r>
        <w:t>Распределение мест по куриям обеспечивало перевес дворянства. По данным первых выборов, в уездных собраниях дворяне составляли около сорока двух процентов гласных, крестьяне — около тридцати восьми, в губернских собраниях доля дворянства была значительно выше. При этом сам факт, что за одним столом с помещиками сидели бывшие крепостные, был новым явлением. Картина Мясоедова «Земство обедает» изображает границу, которая проходила внутри собрания: гласные из дворян обедают в помещении, крестьяне — на крыльце.</w:t>
      </w:r>
    </w:p>
    <w:p>
      <w:pPr>
        <w:pStyle w:val="BodyText"/>
      </w:pPr>
      <w:r>
        <w:t>Деятельность земств к концу века приобрела большой размах. Земская статистика создала подробные описания хозяйства губерний, которые и сегодня служат основным источником для историков деревни. Земская медицина ввела систему врачебных участков с бесплатной помощью, а земская школа к 1900-м годам охватила миллионы детей.</w:t>
      </w:r>
    </w:p>
    <w:p>
      <w:pPr>
        <w:pStyle w:val="Слайд"/>
      </w:pPr>
      <w:r>
        <w:t>[слайд 20 — Судебная реформа]</w:t>
      </w:r>
    </w:p>
    <w:p>
      <w:pPr>
        <w:pStyle w:val="BodyText"/>
      </w:pPr>
      <w:r>
        <w:t>Судебная реформа считается самой последовательной из преобразований потому, что в ней принципы были доведены до конца. Подготовкой уставов руководил государственный секретарь В. П. Бутков, а основную работу выполнила группа молодых юристов, в которую входили С. И. Зарудный, Н. А. Буцковский, Д. А. Ровинский. Образцами служили французская и английская системы, причём из каждой было взято то, что считалось наиболее удачным: из французской — устройство прокуратуры и кассационного суда, из английской — суд присяжных.</w:t>
      </w:r>
    </w:p>
    <w:p>
      <w:pPr>
        <w:pStyle w:val="BodyText"/>
      </w:pPr>
      <w:r>
        <w:t>Адвокатура, созданная реформой, быстро превратилась в одну из самых ярких профессий пореформенной России. Имена Ф. Н. Плевако, В. Д. Спасовича, П. А. Александрова, чьи речи печатались в газетах и собирались в сборники, были известны всей читающей публике. Судебные заседания по громким делам стали формой публичной политики, единственной доступной в стране без парламента.</w:t>
      </w:r>
    </w:p>
    <w:p>
      <w:pPr>
        <w:pStyle w:val="BodyText"/>
      </w:pPr>
      <w:r>
        <w:t>Мировые суды, разбиравшие мелкие гражданские и уголовные дела, были наиболее доступной частью новой системы. Судья избирался земским собранием, должен был иметь образовательный и имущественный ценз и рассматривать дела устно, быстро и с попыткой примирения сторон. В 1889 году при Александре III мировые суды в большинстве уездов были упразднены, и их функции перешли к земским начальникам (тема 6.4).</w:t>
      </w:r>
    </w:p>
    <w:p>
      <w:pPr>
        <w:pStyle w:val="Слайд"/>
      </w:pPr>
      <w:r>
        <w:t>[слайд 21 — Военная реформа]</w:t>
      </w:r>
    </w:p>
    <w:p>
      <w:pPr>
        <w:pStyle w:val="BodyText"/>
      </w:pPr>
      <w:r>
        <w:t>Реформы Д. А. Милютина растянулись на двадцать лет, и их последовательность имела внутреннюю логику. Отмена телесных наказаний была первым шагом, без которого нельзя было превратить солдата из пожизненно служащего в гражданина, временно исполняющего воинский долг. Военные округа позволили быстро проводить мобилизацию на местах. Новые военно-учебные заведения подготовили офицеров, способных командовать армией, построенной на запасе.</w:t>
      </w:r>
    </w:p>
    <w:p>
      <w:pPr>
        <w:pStyle w:val="BodyText"/>
      </w:pPr>
      <w:r>
        <w:t>Устав 1874 года вводил принцип, новый для сословной империи: обязанность воинской службы распространялась на все сословия, включая дворян. Льготы зависели от семейного положения и образования. Учившийся в начальной школе служил четыре года вместо шести, окончивший гимназию — полтора, выпускник университета — полгода. Таким образом, армия стала одновременно школой грамотности: в казармах учили читать и писать, и для многих крестьянских юношей служба стала первым знакомством с книгой.</w:t>
      </w:r>
    </w:p>
    <w:p>
      <w:pPr>
        <w:pStyle w:val="BodyText"/>
      </w:pPr>
      <w:r>
        <w:t>Европейский контекст реформы определили победы Пруссии над Австрией в 1866 году и над Францией в 1870–1871 годах. Прусская система всеобщей воинской повинности с коротким сроком службы и обширным запасом показала своё превосходство, и после 1871 года её в той или иной форме перенимали все континентальные державы.</w:t>
      </w:r>
    </w:p>
    <w:p>
      <w:pPr>
        <w:pStyle w:val="Слайд"/>
      </w:pPr>
      <w:r>
        <w:t>[слайд 22 — Финансы, печать, школа]</w:t>
      </w:r>
    </w:p>
    <w:p>
      <w:pPr>
        <w:pStyle w:val="BodyText"/>
      </w:pPr>
      <w:r>
        <w:t>Публикация государственной росписи доходов и расходов с 1862 года была в своё время необычным шагом для самодержавной монархии. До этого бюджет считался государственной тайной; теперь его можно было обсуждать в печати, и это создало основу для иностранных займов, которые требовали прозрачности государственных финансов. Отмена винных откупов в 1863 году и переход к акцизу лишили откупщиков, в числе которых были крупнейшие капиталисты страны, огромных доходов, и многие из этих капиталов были вложены в железные дороги и банки.</w:t>
      </w:r>
    </w:p>
    <w:p>
      <w:pPr>
        <w:pStyle w:val="BodyText"/>
      </w:pPr>
      <w:r>
        <w:t>Временные правила о печати 1865 года заменяли предварительную цензуру карательной. Журнал, не прошедший цензуру заранее, мог получить предостережение от министра внутренних дел; после трёх предостережений издание приостанавливалось. Эта система оставляла власти широкие возможности давления, но допускала существование оппозиционной печати, немыслимое при Николае I.</w:t>
      </w:r>
    </w:p>
    <w:p>
      <w:pPr>
        <w:pStyle w:val="BodyText"/>
      </w:pPr>
      <w:r>
        <w:t>Горнозаводская железная дорога Пермь — Екатеринбург соединила заводы Среднего Урала с Камой и, через неё, с Волгой. Южный Урал получил железную дорогу позже: Самаро-Златоустовская дорога дошла до Златоуста в 1890 году и до Челябинска в 1892 году, и с этого момента Челябинск начал превращаться в узловую станцию, откуда в 1892 году началось строительство Транссибирской магистрали.</w:t>
      </w:r>
    </w:p>
    <w:p>
      <w:pPr>
        <w:pStyle w:val="Слайд"/>
      </w:pPr>
      <w:r>
        <w:t>[слайд 23 — Поворот 1866 года]</w:t>
      </w:r>
    </w:p>
    <w:p>
      <w:pPr>
        <w:pStyle w:val="BodyText"/>
      </w:pPr>
      <w:r>
        <w:t>Покушение 4 апреля 1866 года окружено легендой. Костромской крестьянин Осип Комиссаров, оказавшийся в толпе рядом с Каракозовым, был объявлен спасителем государя, будто бы толкнувшим руку стрелявшего. Комиссаров получил дворянство с фамилией Комиссаров-Костромской, его чествовали на банкетах, в его честь сочиняли стихи. Уже современники сомневались в его роли, и многие историки считают, что подвиг был в значительной мере создан полицией и печатью, нуждавшимися в образе простого народа, защищающего царя от образованных злодеев. Сюжет показывает, как власть стремилась использовать покушение для укрепления связи монарха с крестьянством.</w:t>
      </w:r>
    </w:p>
    <w:p>
      <w:pPr>
        <w:pStyle w:val="BodyText"/>
      </w:pPr>
      <w:r>
        <w:t>Каракозов был членом московского кружка Н. А. Ишутина, внутри которого существовала тайная группа с выразительным названием «Ад». Он был повешен в сентябре 1866 года на Смоленском поле в Петербурге. Расследование возглавлял граф М. Н. Муравьёв, незадолго до того подавивший Польское восстание в Литве и Белоруссии.</w:t>
      </w:r>
    </w:p>
    <w:p>
      <w:pPr>
        <w:pStyle w:val="BodyText"/>
      </w:pPr>
      <w:r>
        <w:t>Дело Веры Засулич 31 марта 1878 года стало вершиной суда присяжных и одновременно его поворотным пунктом. Засулич стреляла в градоначальника Трепова после того, как тот приказал высечь политического заключённого А. С. Боголюбова за то, что тот не снял шапку перед градоначальником. Председательствовал в суде А. Ф. Кони, защищал П. А. Александров, и оправдательный приговор был встречен в зале аплодисментами. Для правительства процесс стал доказательством того, что независимый суд в политических делах опасен. В Европе дело получило широкий отклик и обсуждалось как пример того, как общественное мнение через присяжных выносит приговор государственной политике.</w:t>
      </w:r>
    </w:p>
    <w:p>
      <w:pPr>
        <w:pStyle w:val="Слайд"/>
      </w:pPr>
      <w:r>
        <w:t>[слайд 24 — Проект Лорис-Меликова]</w:t>
      </w:r>
    </w:p>
    <w:p>
      <w:pPr>
        <w:pStyle w:val="BodyText"/>
      </w:pPr>
      <w:r>
        <w:t>Покушение в Зимнем дворце подготовил С. Н. Халтурин, устроившимся во дворец столяром и постепенно перенёсшим в свою комнату в подвале около тридцати килограммов динамита. Взрыв под караульным помещением, находившимся под столовой, убил одиннадцать солдат Финляндского полка; император не пострадал только потому, что опоздал к обеду, ожидая приезда гостя.</w:t>
      </w:r>
    </w:p>
    <w:p>
      <w:pPr>
        <w:pStyle w:val="BodyText"/>
      </w:pPr>
      <w:r>
        <w:t>Михаил Тариелович Лорис-Меликов происходил из армянского дворянского рода и прославился в войне 1877–1878 годов взятием Карса. В качестве харьковского генерал-губернатора он сочетал жёсткость с вниманием к общественному мнению, и эта репутация определила его назначение. Проект, который в публицистике получил название «конституции», на деле был очень осторожным: выборные представители должны были лишь обсуждать подготовленные законопроекты, и решающее слово оставалось за государем.</w:t>
      </w:r>
    </w:p>
    <w:p>
      <w:pPr>
        <w:pStyle w:val="BodyText"/>
      </w:pPr>
      <w:r>
        <w:t>Судьба проекта решилась на совещании 8 марта 1881 года, уже при Александре III. Решительнее других выступил обер-прокурор Синода К. П. Победоносцев, назвавший конституционные учреждения источником лжи и разложения. Манифест 29 апреля о незыблемости самодержавия был написан им же, и Лорис-Меликов, Д. А. Милютин и министр финансов А. А. Абаза вышли в отставку.</w:t>
      </w:r>
    </w:p>
    <w:p>
      <w:pPr>
        <w:pStyle w:val="Слайд"/>
      </w:pPr>
      <w:r>
        <w:t>[слайд 25 — Итог первого часа]</w:t>
      </w:r>
    </w:p>
    <w:p>
      <w:pPr>
        <w:pStyle w:val="BodyText"/>
      </w:pPr>
      <w:r>
        <w:t>Четыре положения итога складываются в общую картину. Реформы дали стране почти все основные учреждения современного государства — самоуправление, независимый суд, адвокатуру, всеобщую воинскую повинность, публичный бюджет. Недостающим звеном оставалось представительство на общегосударственном уровне, и именно вокруг этого звена развернулась общественная борьба второй половины царствования, которой посвящён следующий час.</w:t>
      </w:r>
    </w:p>
    <w:p>
      <w:pPr>
        <w:pStyle w:val="Heading1"/>
      </w:pPr>
      <w:r>
        <w:t>Час второй</w:t>
      </w:r>
    </w:p>
    <w:p>
      <w:pPr>
        <w:pStyle w:val="Слайд"/>
      </w:pPr>
      <w:r>
        <w:t>[слайд 26 — Час второй]</w:t>
      </w:r>
    </w:p>
    <w:p>
      <w:pPr>
        <w:pStyle w:val="BodyText"/>
      </w:pPr>
      <w:r>
        <w:t>Второй час посвящён обществу, которое реформы вызвали к жизни, и внешнему миру, в котором Россия заново определяла своё место. Общество получило журналы, земства и суды, но так и не получило парламента. Возникшее напряжение выразилось в трёх формах: в легальной публицистике и земском движении, в консервативной программе, требовавшей остановить преобразования, и в революционном подполье, перешедшем к террору.</w:t>
      </w:r>
    </w:p>
    <w:p>
      <w:pPr>
        <w:pStyle w:val="Heading2"/>
      </w:pPr>
      <w:r>
        <w:t>Вопрос четвёртый. Журналы, либералы и консерваторы</w:t>
      </w:r>
    </w:p>
    <w:p>
      <w:pPr>
        <w:pStyle w:val="Слайд"/>
      </w:pPr>
      <w:r>
        <w:t>[слайд 27 — Вопрос четвёртый]</w:t>
      </w:r>
    </w:p>
    <w:p>
      <w:pPr>
        <w:pStyle w:val="BodyText"/>
      </w:pPr>
      <w:r>
        <w:t>Четвёртый вопрос посвящён легальной общественной мысли: журналам, в которых она развивалась, либеральной программе в двух её вариантах и консерватизму, превратившемуся во второй половине века в самостоятельное учение.</w:t>
      </w:r>
    </w:p>
    <w:p>
      <w:pPr>
        <w:pStyle w:val="Слайд"/>
      </w:pPr>
      <w:r>
        <w:t>[слайд 28 — Толстые журналы]</w:t>
      </w:r>
    </w:p>
    <w:p>
      <w:pPr>
        <w:pStyle w:val="BodyText"/>
      </w:pPr>
      <w:r>
        <w:t>Выражение «толстый журнал» указывало на объём издания: номер в несколько сотен страниц выходил раз в месяц и читался неделями, переходя из рук в руки. Тиражи по европейским меркам были невелики: «Современник» в лучшие годы имел около семи тысяч подписчиков. Однако каждый экземпляр читали в библиотеках, клубах и семьях, и реальная аудитория журнала была во много раз больше тиража.</w:t>
      </w:r>
    </w:p>
    <w:p>
      <w:pPr>
        <w:pStyle w:val="BodyText"/>
      </w:pPr>
      <w:r>
        <w:t>Журнальная полемика выполняла функцию, которую в странах с парламентом выполняли партии. Спор о романе И. С. Тургенева «Отцы и дети» (1862), где Д. И. Писарев в «Русском слове» защищал Базарова, а М. А. Антонович в «Современнике» видел в нём карикатуру на молодое поколение, был по существу политическим спором о путях развития страны. Слово «нигилист», пущенное в широкий оборот Тургеневым, стало обозначением целого поколения.</w:t>
      </w:r>
    </w:p>
    <w:p>
      <w:pPr>
        <w:pStyle w:val="BodyText"/>
      </w:pPr>
      <w:r>
        <w:t>«Колокол» Герцена и Огарёва в первые годы царствования оказывал влияние, несоизмеримое с его эмигрантским положением. Номера ввозились в Россию контрабандой, и, по свидетельствам современников, их читали министры и сам государь; разоблачения злоупотреблений, напечатанные в Лондоне, порой приводили к отставкам. Влияние «Колокола» резко упало в 1863 году, когда Герцен поддержал Польское восстание, а большинство русского образованного общества встало на сторону правительства.</w:t>
      </w:r>
    </w:p>
    <w:p>
      <w:pPr>
        <w:pStyle w:val="Слайд"/>
      </w:pPr>
      <w:r>
        <w:t>[слайд 29 — Русский классический либерализм]</w:t>
      </w:r>
    </w:p>
    <w:p>
      <w:pPr>
        <w:pStyle w:val="BodyText"/>
      </w:pPr>
      <w:r>
        <w:t>Сопоставление с европейским либерализмом показывает своеобразие русского варианта. Для Б. Констана и А. де Токвиля главной угрозой свободе было всевластие государства, и либерализм был прежде всего программой его ограничения. Русские либералы государственной школы исходили из иного исторического опыта: в их глазах именно государство в России было творцом общественных форм, и только через него могли прийти свобода, право и собственность. Отсюда кажущееся противоречие: либерализм, опирающийся на сильную власть.</w:t>
      </w:r>
    </w:p>
    <w:p>
      <w:pPr>
        <w:pStyle w:val="BodyText"/>
      </w:pPr>
      <w:r>
        <w:t>Историки государственной школы, к которой принадлежали Чичерин и Кавелин, строили своё понимание русской истории как истории государства, постепенно создававшего общество. Эта концепция была одновременно научной теорией и политической программой: если государство создало сословия, то оно же может и должно было преобразовать их, наделив правами.</w:t>
      </w:r>
    </w:p>
    <w:p>
      <w:pPr>
        <w:pStyle w:val="BodyText"/>
      </w:pPr>
      <w:r>
        <w:t>Книга В. В. Леонтовича «История либерализма в России. 1762–1914», написанная эмигрантом и изданная по-немецки в 1957 году, показала, что русский либерализм был прежде всего движением за гражданские права и частную собственность, и лишь во вторую очередь — за политическое представительство. Эта последовательность, по мнению автора, соответствовала логике самих реформ.</w:t>
      </w:r>
    </w:p>
    <w:p>
      <w:pPr>
        <w:pStyle w:val="Слайд"/>
      </w:pPr>
      <w:r>
        <w:t>[слайд 30 — Б. Н. Чичерин: путь учёного]</w:t>
      </w:r>
    </w:p>
    <w:p>
      <w:pPr>
        <w:pStyle w:val="BodyText"/>
      </w:pPr>
      <w:r>
        <w:t>Биография Чичерина показывает судьбу учёного, оказавшегося между властью и обществом. Его магистерская диссертация об областных учреждениях XVII века вызвала затруднения при защите в Московском университете: консервативная часть профессуры видела в ней принижение древнерусских начал, и защита состоялась после задержки. В 1858 году он опубликовал в «Колоколе» открытое письмо Герцену с критикой революционного направления, и этот шаг поссорил его со значительной частью молодёжи.</w:t>
      </w:r>
    </w:p>
    <w:p>
      <w:pPr>
        <w:pStyle w:val="BodyText"/>
      </w:pPr>
      <w:r>
        <w:t>Отставка Чичерина из Московского университета в 1868 году была связана с конфликтом в профессорской корпорации, в котором он видел нарушение университетской автономии. Уход в знак протеста был характерен для его понимания чести учёного. Позднее, в должности московского городского головы, он произнёс речь, в которой призвал к единению земских сил, и Александр III счёл это выступление недопустимым; по высочайшему повелению Чичерин был вынужден оставить должность.</w:t>
      </w:r>
    </w:p>
    <w:p>
      <w:pPr>
        <w:pStyle w:val="BodyText"/>
      </w:pPr>
      <w:r>
        <w:t>Теория закрепощения и раскрепощения сословий стала одной из самых влиятельных концепций русской историографии. Её разделяли С. М. Соловьёв и В. О. Ключевский, и в учебниках она сохранялась до начала XX века. Критики указывали, что схема изображает государство единственным действующим лицом, а сословия — пассивным материалом, не учитывая собственной активности дворянства и крестьянства.</w:t>
      </w:r>
    </w:p>
    <w:p>
      <w:pPr>
        <w:pStyle w:val="Слайд"/>
      </w:pPr>
      <w:r>
        <w:t>[слайд 31 — Чичерин: государство, собственность, свобода]</w:t>
      </w:r>
    </w:p>
    <w:p>
      <w:pPr>
        <w:pStyle w:val="BodyText"/>
      </w:pPr>
      <w:r>
        <w:t>Определение государства в «Курсе государственной науки» перечисляет четыре признака: народ, закон, верховная власть и общее благо. Для Чичерина важно, что ни один из них не существует без других: народ без закона остаётся толпой, власть без общего блага превращается в деспотию. Это определение восходит к гегелевской философии права, которую Чичерин изучал в молодости и считал вершиной политической мысли.</w:t>
      </w:r>
    </w:p>
    <w:p>
      <w:pPr>
        <w:pStyle w:val="BodyText"/>
      </w:pPr>
      <w:r>
        <w:t>Отношение Чичерина к общине сделало его одним из главных противников и славянофилов, и народников. Для первых община была выражением народного духа, для вторых — зародышем социализма; Чичерин видел в ней фискальное учреждение, тормозящее развитие личности и хозяйства. Через несколько десятилетий эта позиция стала одним из теоретических обоснований столыпинской аграрной реформы (тема 6.6).</w:t>
      </w:r>
    </w:p>
    <w:p>
      <w:pPr>
        <w:pStyle w:val="BodyText"/>
      </w:pPr>
      <w:r>
        <w:t>Эволюция Чичерина от противника представительства к стороннику конституции показательна. Царствование Александра III, с его контрреформами, убедило учёного, что самодержавная власть сама по себе неспособна довести преобразования до конца. Тем самым идейная биография Чичерина отражает путь значительной части русского либерального общества.</w:t>
      </w:r>
    </w:p>
    <w:p>
      <w:pPr>
        <w:pStyle w:val="Слайд"/>
      </w:pPr>
      <w:r>
        <w:t>[слайд 32 — Земское движение]</w:t>
      </w:r>
    </w:p>
    <w:p>
      <w:pPr>
        <w:pStyle w:val="BodyText"/>
      </w:pPr>
      <w:r>
        <w:t>Адрес, принятый тверским губернским дворянским собранием в 1862 году, отличался тоном, необычным для подданнического обращения. Тверское дворянство заявляло, что реформы, проведённые правительственным путём, не могут быть доведены до конца, и предлагало созвать выборных от всего народа без различия сословий. Тринадцать тверских мировых посредников, выступивших с близким по духу заявлением, были арестованы и на несколько месяцев заключены в Петропавловскую крепость.</w:t>
      </w:r>
    </w:p>
    <w:p>
      <w:pPr>
        <w:pStyle w:val="BodyText"/>
      </w:pPr>
      <w:r>
        <w:t>Иван Ильич Петрункевич, черниговский земский деятель, в 1878–1879 годах пытался вступить в переговоры с революционерами, предлагая им прекратить террор в обмен на поддержку либералами требования конституции. Переговоры ни к чему не привели; Петрункевич был выслан. Впоследствии он стал одним из основателей Конституционно-демократической партии.</w:t>
      </w:r>
    </w:p>
    <w:p>
      <w:pPr>
        <w:pStyle w:val="BodyText"/>
      </w:pPr>
      <w:r>
        <w:t>Выражение «третий элемент», обозначавшее земских служащих в отличие от администрации и выборных гласных, появилось позднее, в 1890-х годах, однако сама эта группа складывалась уже в 1870-х. Земский учитель, врач или статистик был, как правило, выходцем из разночинной среды, и через него земство поддерживало связь с деревней, недоступную ни чиновнику, ни помещику.</w:t>
      </w:r>
    </w:p>
    <w:p>
      <w:pPr>
        <w:pStyle w:val="Слайд"/>
      </w:pPr>
      <w:r>
        <w:t>[слайд 33 — Консерватизм]</w:t>
      </w:r>
    </w:p>
    <w:p>
      <w:pPr>
        <w:pStyle w:val="BodyText"/>
      </w:pPr>
      <w:r>
        <w:t>Николай Яковлевич Данилевский был естествоиспытателем, специалистом по рыбным промыслам, и в книге «Россия и Европа» (1869) перенёс на историю приёмы естественной классификации, разделив человечество на «типы», подобные видам в ботанике. Теория культурно-исторических типов, утверждавшая, что человечество делится на самостоятельные цивилизации, каждая из которых проходит свой путь от рождения до упадка, предвосхитила построения О. Шпенглера («Закат Европы», 1918) и А. Тойнби. Сам Шпенглер, по-видимому, работы Данилевского не знал, и сходство их идей служит примером независимого возникновения сходных теорий.</w:t>
      </w:r>
    </w:p>
    <w:p>
      <w:pPr>
        <w:pStyle w:val="BodyText"/>
      </w:pPr>
      <w:r>
        <w:t>Константин Николаевич Леонтьев был врачом, дипломатом на Балканах, позднее принял тайный монашеский постриг в Оптиной пустыни. Его учение отличается от охранительства Каткова и Победоносцева эстетическим характером: Леонтьев ценил «цветущую сложность» общественных форм и видел в эгалитарном прогрессе путь к смерти культуры. Он был одним из немногих консерваторов, кто предсказывал, что в России возможна социалистическая революция, и предупреждал, что она будет сопровождаться установлением жёсткой власти.</w:t>
      </w:r>
    </w:p>
    <w:p>
      <w:pPr>
        <w:pStyle w:val="BodyText"/>
      </w:pPr>
      <w:r>
        <w:t>Европейский контекст русского консерватизма связан с реакцией на революцию 1789 года. Жозеф де Местр жил в Петербурге с 1803 по 1817 год в качестве посланника сардинского короля и написал здесь «Петербургские вечера», и его идеи оказали прямое влияние на русское общество. Испанец Х. Доносо Кортес в речи 1849 года о диктатуре выразил мысль о неизбежности выбора между диктатурой порядка и диктатурой бунта, и эта мысль была близка русским консерваторам конца века.</w:t>
      </w:r>
    </w:p>
    <w:p>
      <w:pPr>
        <w:pStyle w:val="Heading2"/>
      </w:pPr>
      <w:r>
        <w:t>Вопрос пятый. Народничество и террор</w:t>
      </w:r>
    </w:p>
    <w:p>
      <w:pPr>
        <w:pStyle w:val="Слайд"/>
      </w:pPr>
      <w:r>
        <w:t>[слайд 34 — Вопрос пятый]</w:t>
      </w:r>
    </w:p>
    <w:p>
      <w:pPr>
        <w:pStyle w:val="BodyText"/>
      </w:pPr>
      <w:r>
        <w:t>Пятый вопрос посвящён революционному подполью: его идеям, организациям и тому пути, который привёл часть молодёжи от проповеди в деревне к бомбе на Екатерининском канале.</w:t>
      </w:r>
    </w:p>
    <w:p>
      <w:pPr>
        <w:pStyle w:val="Слайд"/>
      </w:pPr>
      <w:r>
        <w:t>[слайд 35 — Чернышевский и «Земля и воля»]</w:t>
      </w:r>
    </w:p>
    <w:p>
      <w:pPr>
        <w:pStyle w:val="BodyText"/>
      </w:pPr>
      <w:r>
        <w:t>История публикации романа «Что делать?» полна случайностей. Рукопись, написанная в крепости и переданная следственной комиссии, прошла к редакции «Современника»; Некрасов потерял её, выронив из пролётки, и вернул лишь по объявлению в газете полиции. Цензор, сочтя роман слабым художественно, разрешил его печатание, рассчитывая, что он скомпрометирует автора. Расчёт оказался неверным: роман стал образцом для тысяч молодых людей, устраивавших свою жизнь по образцу его героев. В 1864 году над Чернышевским совершили обряд гражданской казни на Мытнинской площади, после чего он был отправлен на каторгу.</w:t>
      </w:r>
    </w:p>
    <w:p>
      <w:pPr>
        <w:pStyle w:val="BodyText"/>
      </w:pPr>
      <w:r>
        <w:t>Тайное общество «Земля и воля» 1860-х годов, связанное с Герценом и Огарёвым, рассчитывало на 1863 год потому, что к этому сроку истекал двухлетний период составления уставных грамот, и радикалы ожидали, что крестьяне, разочарованные условиями реформы, поднимутся на восстание. Восстание действительно вспыхнуло в 1863 году, но польское, а русская деревня осталась спокойной.</w:t>
      </w:r>
    </w:p>
    <w:p>
      <w:pPr>
        <w:pStyle w:val="BodyText"/>
      </w:pPr>
      <w:r>
        <w:t>Дело Нечаева шокировало даже радикалов. «Катехизис революционера», приписываемый Нечаеву, определял революционера как обречённого человека, не имеющего личных интересов и чувств и готового на любые средства ради революции. Убийство студента И. И. Иванова, заподозренного в намерении выйти из организации, обнаружило, к чему ведёт эта мораль. Нечаев бежал за границу, был выдан Швейцарией как уголовный преступник и умер в Алексеевском равелине Петропавловской крепости в 1882 году.</w:t>
      </w:r>
    </w:p>
    <w:p>
      <w:pPr>
        <w:pStyle w:val="Слайд"/>
      </w:pPr>
      <w:r>
        <w:t>[слайд 36 — Три течения народничества]</w:t>
      </w:r>
    </w:p>
    <w:p>
      <w:pPr>
        <w:pStyle w:val="BodyText"/>
      </w:pPr>
      <w:r>
        <w:t>Три течения отражают три ответа на один вопрос: как превратить общинного крестьянина в участника социалистической революции. Бакунин исходил из того, что крестьянин уже готов к бунту, и задача сводится к тому, чтобы его поднять. Лавров считал, что прежде необходимо долгое просвещение. Ткачёв не доверял ни бунту, ни просвещению и полагался на организованное меньшинство.</w:t>
      </w:r>
    </w:p>
    <w:p>
      <w:pPr>
        <w:pStyle w:val="BodyText"/>
      </w:pPr>
      <w:r>
        <w:t>Ткачёв вступил в полемику с Ф. Энгельсом, который в 1874–1875 годах опубликовал статью «О социальном вопросе в России», высмеивая надежды русских революционеров миновать капитализм. Ткачёв настаивал, что в России, где буржуазия слаба, а государство висит в воздухе, лишённое опоры в обществе, захват власти облегчён. Этот аргумент примечательно близок к тем, что позднее выдвигали большевики.</w:t>
      </w:r>
    </w:p>
    <w:p>
      <w:pPr>
        <w:pStyle w:val="BodyText"/>
      </w:pPr>
      <w:r>
        <w:t>«Исторические письма» Лаврова вышли под псевдонимом П. Миртов и стали одной из самых читаемых книг молодёжи 1870-х годов. Мысль о «долге перед народом» превратила социализм для многих в нравственный выбор: образованный человек, получивший знание за счёт труда крестьян, был обязан вернуть этот долг.</w:t>
      </w:r>
    </w:p>
    <w:p>
      <w:pPr>
        <w:pStyle w:val="Слайд"/>
      </w:pPr>
      <w:r>
        <w:t>[слайд 37 — От хождения в народ к террору]</w:t>
      </w:r>
    </w:p>
    <w:p>
      <w:pPr>
        <w:pStyle w:val="BodyText"/>
      </w:pPr>
      <w:r>
        <w:t>«Хождение в народ» летом 1874 года не имело общего руководства и было стихийным движением. Молодые люди одевались в крестьянскую одежду, учились ремёслам, нанимались в работники и пытались вести пропаганду. Крестьяне в большинстве случаев воспринимали их с недоверием, и проповедь, обращённая против царя, нередко заканчивалась тем, что пропагандистов выдавали властям.</w:t>
      </w:r>
    </w:p>
    <w:p>
      <w:pPr>
        <w:pStyle w:val="BodyText"/>
      </w:pPr>
      <w:r>
        <w:t>Демонстрация у Казанского собора 6 декабря 1876 года стала первым в России открытым выступлением революционеров. Двадцатилетний Г. В. Плеханов произнёс речь, а рабочий Я. Потапов поднял красное знамя с надписью «Земля и воля». Впоследствии Плеханов, руководитель «Чёрного передела», эмигрировал и стал первым русским марксистом, основав в 1883 году в Женеве группу «Освобождение труда».</w:t>
      </w:r>
    </w:p>
    <w:p>
      <w:pPr>
        <w:pStyle w:val="BodyText"/>
      </w:pPr>
      <w:r>
        <w:t>Раскол 1879 года произошёл на съезде в Воронеже, которому предшествовало совещание сторонников политической борьбы в Липецке. 26 августа 1879 года Исполнительный комитет «Народной воли» вынес императору смертный приговор. Покушения следовали одно за другим: подкоп под железнодорожное полотно под Москвой в ноябре 1879 года, когда взорван был поезд со свитой, тогда как императорский прошёл раньше; затем последовало покушение в Зимнем дворце.</w:t>
      </w:r>
    </w:p>
    <w:p>
      <w:pPr>
        <w:pStyle w:val="Слайд"/>
      </w:pPr>
      <w:r>
        <w:t>[слайд 38 — 1 марта 1881 года]</w:t>
      </w:r>
    </w:p>
    <w:p>
      <w:pPr>
        <w:pStyle w:val="BodyText"/>
      </w:pPr>
      <w:r>
        <w:t>Николай Кибальчич, химик «Народной воли», изготовивший бомбы для покушения, в ожидании казни разработал проект летательного аппарата с пороховым реактивным двигателем. Проект был передан властям, но приобщён к делу и опубликован лишь в 1918 году. Его имя носит один из кратеров на обратной стороне Луны.</w:t>
      </w:r>
    </w:p>
    <w:p>
      <w:pPr>
        <w:pStyle w:val="BodyText"/>
      </w:pPr>
      <w:r>
        <w:t>Софья Перовская, дочь бывшего петербургского губернатора, руководившая покушением после ареста Желябова, стала первой в России женщиной, казнённой по политическому делу. Геся Гельфман, приговорённая вместе с ними, была беременна, и казнь ей заменили каторгой; она умерла в тюрьме вскоре после родов.</w:t>
      </w:r>
    </w:p>
    <w:p>
      <w:pPr>
        <w:pStyle w:val="BodyText"/>
      </w:pPr>
      <w:r>
        <w:t>На месте гибели императора в 1883–1907 годах был построен храм Воскресения Христова, известный как Спас на Крови. Часть ограды канала и булыжной мостовой, на которую упал раненый государь, сохранена внутри храма.</w:t>
      </w:r>
    </w:p>
    <w:p>
      <w:pPr>
        <w:pStyle w:val="Heading2"/>
      </w:pPr>
      <w:r>
        <w:t>Вопрос шестой. Внешняя политика 1856—1894</w:t>
      </w:r>
    </w:p>
    <w:p>
      <w:pPr>
        <w:pStyle w:val="Слайд"/>
      </w:pPr>
      <w:r>
        <w:t>[слайд 39 — Вопрос шестой]</w:t>
      </w:r>
    </w:p>
    <w:p>
      <w:pPr>
        <w:pStyle w:val="BodyText"/>
      </w:pPr>
      <w:r>
        <w:t>Шестой вопрос посвящён внешней политике от Парижского мира до союза с Францией: восстановлению позиций после поражения, расширению на востоке и юге, последней войне с Турцией XIX века и перестройке союзов в Европе.</w:t>
      </w:r>
    </w:p>
    <w:p>
      <w:pPr>
        <w:pStyle w:val="Слайд"/>
      </w:pPr>
      <w:r>
        <w:t>[слайд 40 — Горчаков и восстановление позиций]</w:t>
      </w:r>
    </w:p>
    <w:p>
      <w:pPr>
        <w:pStyle w:val="BodyText"/>
      </w:pPr>
      <w:r>
        <w:t>Циркуляр Горчакова 1856 года содержал фразу, ставшую знаменитой: «Говорят, что Россия сердится. Россия не сердится, Россия сосредоточивается». Во французском оригинале использован глагол se recueillir, обозначающий сосредоточение мыслей, уход в себя перед важным решением. Русский перевод передаёт смысл, но теряет оттенок, связанный с религиозной практикой созерцания. Фраза стала формулой внешнеполитической стратегии на полтора десятилетия.</w:t>
      </w:r>
    </w:p>
    <w:p>
      <w:pPr>
        <w:pStyle w:val="BodyText"/>
      </w:pPr>
      <w:r>
        <w:t>Приамурье было присоединено благодаря действиям генерал-губернатора Восточной Сибири Н. Н. Муравьёва, получившего титул графа Амурского, и дипломата Н. П. Игнатьева, воспользовавшегося Второй опиумной войной, когда англо-французские войска заняли Пекин. Продажа Аляски объясняется её удалённостью, невозможностью защитить её в случае войны с Британией и убыточностью Российско-американской компании.</w:t>
      </w:r>
    </w:p>
    <w:p>
      <w:pPr>
        <w:pStyle w:val="BodyText"/>
      </w:pPr>
      <w:r>
        <w:t>Южный Урал играл в продвижении в Среднюю Азию роль тыла. Ещё в 1839–1840 годах из Оренбурга под командованием генерала В. А. Перовского выступил зимний поход на Хиву, закончившийся неудачей из-за морозов и гибели верблюдов. В 1853 году Перовский взял кокандскую крепость Ак-Мечеть на Сырдарье. Троицк был одним из центров меновой торговли с казахскими степями и среднеазиатскими ханствами, и через его меновой двор шли караваны с хлопком, шёлком и скотом. Казаки Оренбургского войска, станицы которого располагались по линии от Орска до Троицка, участвовали в среднеазиатских походах.</w:t>
      </w:r>
    </w:p>
    <w:p>
      <w:pPr>
        <w:pStyle w:val="Слайд"/>
      </w:pPr>
      <w:r>
        <w:t>[слайд 41 — Русско-турецкая война]</w:t>
      </w:r>
    </w:p>
    <w:p>
      <w:pPr>
        <w:pStyle w:val="BodyText"/>
      </w:pPr>
      <w:r>
        <w:t>Общественный подъём 1876 года охватил самые разные слои. Генерал М. Г. Черняев, взявший Ташкент, отправился в Сербию и возглавил сербскую армию, туда же поехали тысячи добровольцев. Л. Н. Толстой в последней части «Анны Карениной» отнёсся к этому движению скептически, и издатель «Русского вестника» М. Н. Катков отказался печатать её; Толстому пришлось издать восьмую часть отдельно. В Англии в том же 1876 году лидер либералов У. Гладстон выпустил памфлет «Болгарские ужасы и восточный вопрос», и британское общественное мнение на время отвернулось от Турции.</w:t>
      </w:r>
    </w:p>
    <w:p>
      <w:pPr>
        <w:pStyle w:val="BodyText"/>
      </w:pPr>
      <w:r>
        <w:t>Оборона Плевны турецким генералом Осман-пашой задержала русскую армию на пять месяцев. Три штурма закончились тяжёлыми потерями, и только блокада, организованная Э. И. Тотлебеном, героем Севастопольской обороны, вынудила гарнизон сдаться. Генерал М. Д. Скобелев, прославившийся под Плевной и в Шейновском сражении, стал одним из самых популярных героев войны.</w:t>
      </w:r>
    </w:p>
    <w:p>
      <w:pPr>
        <w:pStyle w:val="BodyText"/>
      </w:pPr>
      <w:r>
        <w:t>Сан-Стефанский мир был подписан 19 февраля 1878 года, ровно через семнадцать лет после манифеста об освобождении крестьян, и это совпадение подчёркивалось официальной печатью как символ освободительной миссии России. Для Болгарии 3 марта, дата Сан-Стефанского мира по новому стилю, стала национальным праздником.</w:t>
      </w:r>
    </w:p>
    <w:p>
      <w:pPr>
        <w:pStyle w:val="Слайд"/>
      </w:pPr>
      <w:r>
        <w:t>[слайд 42 — Спорят историки: Берлинский конгресс]</w:t>
      </w:r>
    </w:p>
    <w:p>
      <w:pPr>
        <w:pStyle w:val="BodyText"/>
      </w:pPr>
      <w:r>
        <w:t>Выражение «честный маклер» (ehrlicher Makler) Бисмарк употребил в речи в рейхстаге в феврале 1878 года, описывая роль, которую Германия была готова играть в урегулировании кризиса. Русская делегация во главе с престарелым Горчаковым и послом в Лондоне П. А. Шуваловым оказалась на конгрессе в изоляции, и в русском обществе итоги были восприняты как предательство. И. С. Аксаков произнёс в Московском славянском комитете речь, в которой назвал Берлинский трактат позором, и был выслан из Москвы.</w:t>
      </w:r>
    </w:p>
    <w:p>
      <w:pPr>
        <w:pStyle w:val="BodyText"/>
      </w:pPr>
      <w:r>
        <w:t>Позиция «вынужденных уступок» опирается прежде всего на состояние русских финансов и армии. Война потребовала огромных расходов, курс рубля упал, армия была истощена болезнями. Британский флот вошёл в Мраморное море, Австро-Венгрия мобилизовала войска. Новая война против коалиции, по оценке военного министра Д. А. Милютина, была невозможна.</w:t>
      </w:r>
    </w:p>
    <w:p>
      <w:pPr>
        <w:pStyle w:val="BodyText"/>
      </w:pPr>
      <w:r>
        <w:t>Спор о мерке, отмеченный на слайде, применим к любым дипломатическим итогам. Историк, сравнивающий Берлинский трактат с Сан-Стефанским, неизбежно видит потерю; историк, сравнивающий его с положением 1875 года, видит независимость Сербии, Черногории и Румынии, автономию Болгарии и возвращение Южной Бессарабии.</w:t>
      </w:r>
    </w:p>
    <w:p>
      <w:pPr>
        <w:pStyle w:val="Слайд"/>
      </w:pPr>
      <w:r>
        <w:t>[слайд 43 — Внешняя политика Александра III]</w:t>
      </w:r>
    </w:p>
    <w:p>
      <w:pPr>
        <w:pStyle w:val="BodyText"/>
      </w:pPr>
      <w:r>
        <w:t>Перемена союзников при Александре III имела экономическое измерение. В ноябре 1887 года Бисмарк запретил Рейхсбанку принимать русские ценные бумаги в залог, и германский рынок капиталов закрылся для России. Французские банки воспользовались этим, и уже в 1888 году первый крупный русский заём был размещён в Париже. Через несколько лет французские вкладчики стали крупнейшими держателями русских бумаг, и финансовая связь предшествовала политической.</w:t>
      </w:r>
    </w:p>
    <w:p>
      <w:pPr>
        <w:pStyle w:val="BodyText"/>
      </w:pPr>
      <w:r>
        <w:t>Символическим началом союза стал визит французской эскадры в Кронштадт в июле 1891 года. Александр III выслушал «Марсельезу» стоя, с обнажённой головой. Революционный гимн, запрещённый к исполнению в России, прозвучал в присутствии самодержца, и современники видели в этом знак того, что интересы государства оказались для императора важнее идеологических симпатий.</w:t>
      </w:r>
    </w:p>
    <w:p>
      <w:pPr>
        <w:pStyle w:val="BodyText"/>
      </w:pPr>
      <w:r>
        <w:t>Слова об армии и флоте как единственных союзниках России приписываются Александру III по воспоминаниям великого князя Александра Михайловича, и точная их формулировка документально не подтверждена. Тем не менее они хорошо передают политику царствования, в течение которого Россия не вела ни одной крупной войны.</w:t>
      </w:r>
    </w:p>
    <w:p>
      <w:pPr>
        <w:pStyle w:val="Слайд"/>
      </w:pPr>
      <w:r>
        <w:t>[слайд 44 — Система блоков]</w:t>
      </w:r>
    </w:p>
    <w:p>
      <w:pPr>
        <w:pStyle w:val="BodyText"/>
      </w:pPr>
      <w:r>
        <w:t>Концерт держав, сложившийся после Венского конгресса 1815 года, предполагал, что крупные вопросы решаются на совместных конференциях, и даже Крымская война не разрушила его окончательно: Парижский и Берлинский конгрессы были проявлениями той же традиции. Система блоков означала переход к иной логике, в которой союзы заключались против определённого противника и сопровождались военными конвенциями с расчётами сроков мобилизации.</w:t>
      </w:r>
    </w:p>
    <w:p>
      <w:pPr>
        <w:pStyle w:val="BodyText"/>
      </w:pPr>
      <w:r>
        <w:t>Опасность блоковой системы проявилась в 1914 году (тема 6.7). Австро-сербский конфликт, местный по своему происхождению, через систему союзных обязательств за несколько дней втянул в войну все великие державы. Историк К. Кларк в книге «Сомнамбулы» (2012) показал, как механизм союзов, заранее рассчитанный на быстрые решения, лишил дипломатов времени для поиска выхода.</w:t>
      </w:r>
    </w:p>
    <w:p>
      <w:pPr>
        <w:pStyle w:val="Heading2"/>
      </w:pPr>
      <w:r>
        <w:t>Заключение</w:t>
      </w:r>
    </w:p>
    <w:p>
      <w:pPr>
        <w:pStyle w:val="Слайд"/>
      </w:pPr>
      <w:r>
        <w:t>[слайд 45 — Цена выбора]</w:t>
      </w:r>
    </w:p>
    <w:p>
      <w:pPr>
        <w:pStyle w:val="BodyText"/>
      </w:pPr>
      <w:r>
        <w:t>Противоречие, сформулированное в нижней строке, позволяет ответить на вопрос, поставленный в начале темы. Реформы создали общество, способное к самостоятельному действию, но не дали ему законного пути к участию в государственных делах. Часть этого общества ушла в подполье, и гибель государя была следствием разрыва, который реформы сами породили и который они не успели преодолеть. Проект Лорис-Меликова был попыткой закрыть этот разрыв, и его отклонение в 1881 году определило путь России на четверть века вперёд, до 1905 года.</w:t>
      </w:r>
    </w:p>
    <w:p>
      <w:pPr>
        <w:pStyle w:val="Слайд"/>
      </w:pPr>
      <w:r>
        <w:t>[слайд 46 — Основные выводы]</w:t>
      </w:r>
    </w:p>
    <w:p>
      <w:pPr>
        <w:pStyle w:val="BodyText"/>
      </w:pPr>
      <w:r>
        <w:t>Восемь выводов темы складываются в цельную картину. Поражение в войне дало толчок преобразованиям, подготовленным людьми николаевского аппарата. Реформы изменили основы социального и правового строя, сохранив неизменной лишь верховную власть. Общество, получив новые учреждения и голос в печати, раскололось на либералов, консерваторов и революционеров. Внешняя политика вернула стране утраченное положение, но завершилась включением России в систему блоков, которая через двадцать лет привела Европу к войне.</w:t>
      </w:r>
    </w:p>
    <w:p>
      <w:pPr>
        <w:pStyle w:val="Слайд"/>
      </w:pPr>
      <w:r>
        <w:t>[слайд 47 — Вопросы и задания]</w:t>
      </w:r>
    </w:p>
    <w:p>
      <w:pPr>
        <w:pStyle w:val="BodyText"/>
      </w:pPr>
      <w:r>
        <w:t>Задание на расчёт выкупа выполняется по формуле, разобранной при обсуждении выкупной операции; полезно дополнительно сравнить полученную сумму с ценой земли в своей губернии по данным земской статистики. Для регионального задания удобным материалом служат опубликованные документы о введении уставных грамот на заводах Златоустовского округа и работы уральских историков о пореформенной судьбе горнозаводского населения.</w:t>
      </w:r>
    </w:p>
    <w:p>
      <w:pPr>
        <w:pStyle w:val="Слайд"/>
      </w:pPr>
      <w:r>
        <w:t>[слайд 48 — Литература]</w:t>
      </w:r>
    </w:p>
    <w:p>
      <w:pPr>
        <w:pStyle w:val="BodyText"/>
      </w:pPr>
      <w:r>
        <w:t>Сборник «Великие реформы в России. 1856–1874», изданный в 1992 году под редакцией Л. Г. Захаровой, Б. Эклофа и Дж. Бушнелла, соединил работы отечественных и американских историков и стал первым опытом совместного осмысления реформ после десятилетий разделённой историографии. Работы П. А. Зайончковского и И. А. Христофорова разделяет полвека, и сопоставление их выводов показывает, как изменились вопросы, которые историки задают реформе 1861 года.</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