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тема-6.4.-россия-на-пороге-xx-века"/>
    <w:p>
      <w:pPr>
        <w:pStyle w:val="Heading1"/>
      </w:pPr>
      <w:r>
        <w:t xml:space="preserve">Тема 6.4. Россия на пороге XX века</w:t>
      </w:r>
    </w:p>
    <w:p>
      <w:pPr>
        <w:pStyle w:val="FirstParagraph"/>
      </w:pPr>
      <w:r>
        <w:rPr>
          <w:bCs/>
          <w:b/>
        </w:rPr>
        <w:t xml:space="preserve">Раздел 6. Российская империя в XIX — начале XX в. · 2 академических часа · УК-5.1, УК-5.2, УК-5.3</w:t>
      </w:r>
    </w:p>
    <w:p>
      <w:pPr>
        <w:pStyle w:val="BodyText"/>
      </w:pPr>
      <w:r>
        <w:t xml:space="preserve">Дисциплина Б1.О.03 «История России» · 45.03.02 Лингвистика · заочная форма</w:t>
      </w:r>
    </w:p>
    <w:p>
      <w:pPr>
        <w:pStyle w:val="BodyText"/>
      </w:pPr>
      <w:r>
        <w:t xml:space="preserve">Колесников Михаил Алексеевич</w:t>
      </w:r>
    </w:p>
    <w:bookmarkEnd w:id="20"/>
    <w:bookmarkStart w:id="25" w:name="час-первый"/>
    <w:p>
      <w:pPr>
        <w:pStyle w:val="Heading1"/>
      </w:pPr>
      <w:r>
        <w:t xml:space="preserve">Час первый</w:t>
      </w:r>
    </w:p>
    <w:bookmarkStart w:id="21" w:name="вводная-часть"/>
    <w:p>
      <w:pPr>
        <w:pStyle w:val="Heading2"/>
      </w:pPr>
      <w:r>
        <w:t xml:space="preserve">Вводная часть</w:t>
      </w:r>
    </w:p>
    <w:p>
      <w:pPr>
        <w:pStyle w:val="FirstParagraph"/>
      </w:pPr>
      <w:r>
        <w:rPr>
          <w:bCs/>
          <w:b/>
        </w:rPr>
        <w:t xml:space="preserve">[слайд 1 — титул]</w:t>
      </w:r>
    </w:p>
    <w:p>
      <w:pPr>
        <w:pStyle w:val="BodyText"/>
      </w:pPr>
      <w:r>
        <w:t xml:space="preserve">Тема 6.3 закончилась внешней политикой Александра III и созданием франко-русского союза. Сегодня мы возвращаемся к внутренней истории страны и доводим её до конца 1904 года — до порога первой русской революции, которой посвящена следующая тема, 6.5.</w:t>
      </w:r>
    </w:p>
    <w:p>
      <w:pPr>
        <w:pStyle w:val="BodyText"/>
      </w:pPr>
      <w:r>
        <w:t xml:space="preserve">Тема рассчитана на два часа. Первый час посвящён власти, экономике и обществу: наследству царствования Александра III, началу царствования Николая II, модернизации, которую в современной историографии принято называть модернизацией Витте — Столыпина, и общественному движению рубежа веков. Второй час — политическим партиям, соперничеству колониальных империй, дальневосточной политике России и нарастанию политического кризиса в 1902–1904 годах.</w:t>
      </w:r>
    </w:p>
    <w:p>
      <w:pPr>
        <w:pStyle w:val="BodyText"/>
      </w:pPr>
      <w:r>
        <w:rPr>
          <w:bCs/>
          <w:b/>
        </w:rPr>
        <w:t xml:space="preserve">[слайд 2 — постановка проблемы]</w:t>
      </w:r>
    </w:p>
    <w:p>
      <w:pPr>
        <w:pStyle w:val="BodyText"/>
      </w:pPr>
      <w:r>
        <w:t xml:space="preserve">Начнём с противоречия, которое и составляет проблему темы. В 1890-е годы Россия строила железные дороги быстрее всех в мире, ввела золотой рубль, вышла на первое место по добыче нефти; темпы роста её промышленности были самыми высокими в Европе. В те же годы в стране появились первые политические партии, студенческие забастовки стали всероссийскими, в 1902 и 1904 годах были убиты два министра внутренних дел подряд. Через десять лет после начала подъёма страна оказалась на пороге революции.</w:t>
      </w:r>
    </w:p>
    <w:p>
      <w:pPr>
        <w:pStyle w:val="BodyText"/>
      </w:pPr>
      <w:r>
        <w:t xml:space="preserve">Как совместить эти два ряда фактов? Ответ мы будем искать в трёх плоскостях: экономика и её цена; общество, которое выросло быстрее государственных учреждений; империя, втянутая в соперничество великих держав. К этому вопросу вернёмся в конце лекции.</w:t>
      </w:r>
    </w:p>
    <w:p>
      <w:pPr>
        <w:pStyle w:val="BodyText"/>
      </w:pPr>
      <w:r>
        <w:t xml:space="preserve">На слайде — картина датского художника Лаурица Туксена «Коронация Николая II в Успенском соборе». Художник присутствовал на церемонии 14 мая 1896 года и писал картину по заказу двора. Это образ власти, какой она хотела себя видеть: сакральной, единой, окружённой всей империей.</w:t>
      </w:r>
    </w:p>
    <w:p>
      <w:pPr>
        <w:pStyle w:val="BodyText"/>
      </w:pPr>
      <w:r>
        <w:rPr>
          <w:bCs/>
          <w:b/>
        </w:rPr>
        <w:t xml:space="preserve">[слайд 3 — план лекции]</w:t>
      </w:r>
    </w:p>
    <w:p>
      <w:pPr>
        <w:pStyle w:val="BodyText"/>
      </w:pPr>
      <w:r>
        <w:t xml:space="preserve">Шесть вопросов. В первом часе — наследство 1880-х годов и начало нового царствования; модернизация Витте — Столыпина; общество рубежа веков. Во втором — протопартийная система; колониальные империи и Дальний Восток; нарастание политического кризиса.</w:t>
      </w:r>
    </w:p>
    <w:p>
      <w:pPr>
        <w:pStyle w:val="BodyText"/>
      </w:pPr>
      <w:r>
        <w:rPr>
          <w:bCs/>
          <w:b/>
        </w:rPr>
        <w:t xml:space="preserve">[слайд 4 — координаты темы]</w:t>
      </w:r>
    </w:p>
    <w:p>
      <w:pPr>
        <w:pStyle w:val="BodyText"/>
      </w:pPr>
      <w:r>
        <w:t xml:space="preserve">Двенадцать опорных дат. 1889–1892 годы — институт земских начальников, новые Земское и Городовое положения. 1891–1892 годы — таможенный тариф и начало строительства Транссибирской магистрали; в июле 1892 года строительство западного участка началось в Челябинске. 1894–1895 годы — воцарение Николая II и его речь о «бессмысленных мечтаниях». 1896 год — коронация и Ходынка; договор с Китаем и концессия на Китайско-Восточную железную дорогу. 1897 год — денежная реформа, закон об ограничении рабочего дня, первая всеобщая перепись населения. 1898–1899 годы — I съезд РСДРП, аренда Порт-Артура, всероссийская студенческая забастовка. 1900–1901 годы — «Искра», восстание ихэтуаней в Китае, «Русское собрание», партия эсеров. 1902 год — Особое совещание о нуждах сельскохозяйственной промышленности, убийство министра внутренних дел Д. С. Сипягина, журнал «Освобождение». 1903 год — Златоустовская трагедия, II съезд РСДРП, отставка Витте из Министерства финансов. Январь 1904 года — «Союз освобождения» и начало войны с Японией. 15 июля 1904 года — убийство В. К. Плеве. Ноябрь — декабрь 1904 года — земский съезд, банкетная кампания и указ 12 декабря.</w:t>
      </w:r>
    </w:p>
    <w:bookmarkEnd w:id="21"/>
    <w:bookmarkStart w:id="22" w:name="Xbd0eba6cb9f94f314936e466332121c0d1acbf8"/>
    <w:p>
      <w:pPr>
        <w:pStyle w:val="Heading2"/>
      </w:pPr>
      <w:r>
        <w:t xml:space="preserve">Вопрос первый. Наследство 1880-х и новое царствование</w:t>
      </w:r>
    </w:p>
    <w:p>
      <w:pPr>
        <w:pStyle w:val="FirstParagraph"/>
      </w:pPr>
      <w:r>
        <w:rPr>
          <w:bCs/>
          <w:b/>
        </w:rPr>
        <w:t xml:space="preserve">[слайд 5 — вопрос первый]</w:t>
      </w:r>
    </w:p>
    <w:p>
      <w:pPr>
        <w:pStyle w:val="BodyText"/>
      </w:pPr>
      <w:r>
        <w:t xml:space="preserve">Программа формулирует первый вопрос так: начало царствования Николая II, общественные настроения и ожидания, земские адреса. Чтобы понять эти ожидания, нужно сначала увидеть, что молодой император унаследовал.</w:t>
      </w:r>
    </w:p>
    <w:p>
      <w:pPr>
        <w:pStyle w:val="BodyText"/>
      </w:pPr>
      <w:r>
        <w:rPr>
          <w:bCs/>
          <w:b/>
        </w:rPr>
        <w:t xml:space="preserve">[слайд 6 — Александр III: охранительный курс и «контрреформы»]</w:t>
      </w:r>
    </w:p>
    <w:p>
      <w:pPr>
        <w:pStyle w:val="BodyText"/>
      </w:pPr>
      <w:r>
        <w:t xml:space="preserve">Царствование Александра III (1881–1894) началось Манифестом 29 апреля 1881 года «о незыблемости самодержавия», о котором мы говорили в теме 6.3. Его главными идеологами были обер-прокурор Синода К. П. Победоносцев и публицист М. Н. Катков, а исполнителями — министр внутренних дел Д. А. Толстой и министр народного просвещения И. Д. Делянов.</w:t>
      </w:r>
    </w:p>
    <w:p>
      <w:pPr>
        <w:pStyle w:val="BodyText"/>
      </w:pPr>
      <w:r>
        <w:t xml:space="preserve">Первым актом нового курса стало Положение о мерах к охранению государственного порядка и общественного спокойствия от 14 августа 1881 года. Оно позволяло объявлять местность на положении усиленной или чрезвычайной охраны, и тогда администрация получала право арестовывать, высылать без суда, закрывать учебные заведения и газеты, передавать дела военным судам. Положение вводилось как временное, на три года, но продлевалось раз за разом и действовало до 1917 года. Важная для нашей темы деталь: к концу XIX века значительная часть империи, включая обе столицы, жила в режиме исключительного управления. Правило, задуманное как исключение, стало нормой.</w:t>
      </w:r>
    </w:p>
    <w:p>
      <w:pPr>
        <w:pStyle w:val="BodyText"/>
      </w:pPr>
      <w:r>
        <w:t xml:space="preserve">Далее последовала корректировка учреждений, созданных Великими реформами. Университетский устав 1884 года отменил автономию университетов: ректоров и профессоров стал назначать министр. Циркуляр Делянова 1887 года рекомендовал не принимать в гимназии «детей кучеров, лакеев, поваров, прачек, мелких лавочников и тому подобных людей» — в обиходе его назвали циркуляром «о кухаркиных детях». Положение о земских участковых начальниках 1889 года поставило над крестьянским самоуправлением чиновника из местных потомственных дворян, соединявшего административную и судебную власть; мировой суд в большинстве уездов был упразднён. Земское положение 1890 года увеличило дворянское представительство в земствах, а крестьянских гласных стал назначать губернатор из числа избранных кандидатов. Городовое положение 1892 года резко повысило имущественный ценз: число избирателей в городских думах сократилось в несколько раз.</w:t>
      </w:r>
    </w:p>
    <w:p>
      <w:pPr>
        <w:pStyle w:val="BodyText"/>
      </w:pPr>
      <w:r>
        <w:t xml:space="preserve">В литературе эти меры принято называть «контрреформами». Термин условен и спорен. Ни одна из Великих реформ отменена не была: земство, суд присяжных, всесословная армия продолжали действовать. Правительство поставило их под надзор и усилило в них роль дворянства и администрации. Историки, изучающие 1880-е годы (например, П. А. Зайончковский, автор классической монографии «Российское самодержавие в конце XIX столетия»), подчёркивают именно охранительный, консервирующий характер курса.</w:t>
      </w:r>
    </w:p>
    <w:p>
      <w:pPr>
        <w:pStyle w:val="BodyText"/>
      </w:pPr>
      <w:r>
        <w:t xml:space="preserve">При этом у царствования была и другая сторона — экономическая. Министр финансов Н. Х. Бунге (1881–1886) провёл перевод всех оставшихся временнообязанных крестьян на обязательный выкуп и снизил выкупные платежи (1881), учредил Крестьянский поземельный банк (1882), отменил подушную подать (1883–1887), ввёл фабричную инспекцию и первый закон о труде малолетних (1882). Бунге начинал ту линию, которую затем продолжат И. А. Вышнеградский и С. Ю. Витте.</w:t>
      </w:r>
    </w:p>
    <w:p>
      <w:pPr>
        <w:pStyle w:val="BodyText"/>
      </w:pPr>
      <w:r>
        <w:t xml:space="preserve">Итог: политическая стабильность 1880-х годов и одновременно экономический поворот, подготовивший рывок 1890-х. С этой двойственностью Николай II и вступил на престол.</w:t>
      </w:r>
    </w:p>
    <w:p>
      <w:pPr>
        <w:pStyle w:val="BodyText"/>
      </w:pPr>
      <w:r>
        <w:rPr>
          <w:bCs/>
          <w:b/>
        </w:rPr>
        <w:t xml:space="preserve">[слайд 7 — коронация и Ходынка]</w:t>
      </w:r>
    </w:p>
    <w:p>
      <w:pPr>
        <w:pStyle w:val="BodyText"/>
      </w:pPr>
      <w:r>
        <w:t xml:space="preserve">Александр III умер 20 октября 1894 года в Ливадии в возрасте 49 лет. Его сыну Николаю было 26 лет. Современники отмечали его образованность, воспитанность, личное обаяние и одновременно неуверенность и нелюбовь к спорам: министры нередко узнавали о своей отставке из письма.</w:t>
      </w:r>
    </w:p>
    <w:p>
      <w:pPr>
        <w:pStyle w:val="BodyText"/>
      </w:pPr>
      <w:r>
        <w:t xml:space="preserve">Общество ждало от молодого царя смягчения курса. Надежды опирались на опыт голода 1891–1892 годов, когда земства, врачи, студенты, писатели организовывали помощь голодающим и власть убедилась, что без общества не справляется. Казалось, что новое царствование позволит превратить это сотрудничество в постоянное.</w:t>
      </w:r>
    </w:p>
    <w:p>
      <w:pPr>
        <w:pStyle w:val="BodyText"/>
      </w:pPr>
      <w:r>
        <w:t xml:space="preserve">Коронация состоялась 14 мая 1896 года в Успенском соборе Московского Кремля. Торжества должны были показать единение царя и народа. 18 мая на Ходынском поле, где устроили народное гулянье с раздачей подарков — кружки с царским вензелем, пряника, колбасы, — собралось несколько сотен тысяч человек. Под утро толпа двинулась к буфетам, и в давке у рвов и колодцев погибли, по официальным данным, 1389 человек, около 1300 получили увечья. Вечером того же дня Николай II присутствовал на балу у французского посла маркиза Монтебелло: отказ от бала, по мнению окружения, мог обидеть союзника.</w:t>
      </w:r>
    </w:p>
    <w:p>
      <w:pPr>
        <w:pStyle w:val="BodyText"/>
      </w:pPr>
      <w:r>
        <w:t xml:space="preserve">Ходынка стала первым символом царствования. В общественном сознании соединились торжество власти, её безразличие к жертвам и беспорядок в управлении: расследование закончилось отставкой московского обер-полицмейстера, а генерал-губернатор великий князь Сергей Александрович остался на посту.</w:t>
      </w:r>
    </w:p>
    <w:p>
      <w:pPr>
        <w:pStyle w:val="BodyText"/>
      </w:pPr>
      <w:r>
        <w:rPr>
          <w:bCs/>
          <w:b/>
        </w:rPr>
        <w:t xml:space="preserve">[слайд 8 — источник крупным планом: речь 17 января 1895 года]</w:t>
      </w:r>
    </w:p>
    <w:p>
      <w:pPr>
        <w:pStyle w:val="BodyText"/>
      </w:pPr>
      <w:r>
        <w:t xml:space="preserve">Главным источником по вопросу об ожиданиях общества служит речь Николая II, произнесённая 17 января 1895 года в Аничковом дворце перед депутациями дворянства, земств и городов, прибывшими поздравить его с бракосочетанием. Приведу её ключевой фрагмент:</w:t>
      </w:r>
    </w:p>
    <w:p>
      <w:pPr>
        <w:pStyle w:val="BodyText"/>
      </w:pPr>
      <w:r>
        <w:t xml:space="preserve">«Мне известно, что в последнее время слышались в некоторых земских собраниях голоса людей, увлекавшихся бессмысленными мечтаниями об участии представителей земства в делах внутреннего управления; пусть все знают, что Я, посвящая все Свои силы благу народному, буду охранять начало самодержавия так же твёрдо и неуклонно, как охранял его Мой незабвенный покойный Родитель».</w:t>
      </w:r>
    </w:p>
    <w:p>
      <w:pPr>
        <w:pStyle w:val="BodyText"/>
      </w:pPr>
      <w:r>
        <w:t xml:space="preserve">На что отвечал царь? Поводом стали адреса нескольких земских собраний, прежде всего тверского. Адрес тверского земства, составленный Ф. И. Родичевым, был выдержан в верноподданнических выражениях. Он выражал надежду, что права отдельных лиц и общественных учреждений будут «незыблемо охраняемы», а голос земских учреждений — выслушан у престола. О конституции в адресе речи не шло.</w:t>
      </w:r>
    </w:p>
    <w:p>
      <w:pPr>
        <w:pStyle w:val="BodyText"/>
      </w:pPr>
      <w:r>
        <w:t xml:space="preserve">Обратите внимание на три обстоятельства. Первое: земцы просили права быть услышанными, и их просьба была названа «бессмысленными мечтаниями». Второе: император публично связал себя с курсом отца, отрезав путь к постепенным уступкам. Третье: речь сразу разошлась в списках и стала аргументом радикалов. Вскоре по рукам пошло анонимное «Открытое письмо Николаю II», написанное молодым П. Б. Струве. Письмо заканчивалось словами: «Вы первый начали борьбу, и борьба не заставит себя ждать». В этом смысле январь 1895 года — точка, с которой либеральное земство начинает переходить от ходатайств к организации.</w:t>
      </w:r>
    </w:p>
    <w:p>
      <w:pPr>
        <w:pStyle w:val="BodyText"/>
      </w:pPr>
      <w:r>
        <w:t xml:space="preserve">Вопросы к тексту — на слайде: чего просили земцы и что им ответили; как слова царя изменили отношение земцев к власти; кто после этой речи мог рассчитывать на диалог с властью.</w:t>
      </w:r>
    </w:p>
    <w:bookmarkEnd w:id="22"/>
    <w:bookmarkStart w:id="23" w:name="Xed5d628d0bb686860b50d039763da2e7aa60b17"/>
    <w:p>
      <w:pPr>
        <w:pStyle w:val="Heading2"/>
      </w:pPr>
      <w:r>
        <w:t xml:space="preserve">Вопрос второй. Модернизация Витте — Столыпина</w:t>
      </w:r>
    </w:p>
    <w:p>
      <w:pPr>
        <w:pStyle w:val="FirstParagraph"/>
      </w:pPr>
      <w:r>
        <w:rPr>
          <w:bCs/>
          <w:b/>
        </w:rPr>
        <w:t xml:space="preserve">[слайд 9 — вопрос второй]</w:t>
      </w:r>
    </w:p>
    <w:p>
      <w:pPr>
        <w:pStyle w:val="BodyText"/>
      </w:pPr>
      <w:r>
        <w:t xml:space="preserve">Второй вопрос — центральный для первого часа. Мы рассмотрим замысел модернизации, её механизмы, её региональное измерение на примере Урала и Челябинска, её цену и то, как она перешла из рук С. Ю. Витте в руки П. А. Столыпина.</w:t>
      </w:r>
    </w:p>
    <w:p>
      <w:pPr>
        <w:pStyle w:val="BodyText"/>
      </w:pPr>
      <w:r>
        <w:rPr>
          <w:bCs/>
          <w:b/>
        </w:rPr>
        <w:t xml:space="preserve">[слайд 10 — один проект, четыре министра: концепция модернизации]</w:t>
      </w:r>
    </w:p>
    <w:p>
      <w:pPr>
        <w:pStyle w:val="BodyText"/>
      </w:pPr>
      <w:r>
        <w:t xml:space="preserve">Понятие «модернизация Витте — Столыпина» ввёл в широкий научный оборот М. А. Давыдов в книге «Двадцать лет до Великой войны: российская модернизация Витте — Столыпина» (2016). Близкую трактовку развивают К. А. Соловьёв и Б. Н. Миронов. Прежде историки изучали эти этапы порознь: индустриализацию 1890-х годов — как политику Министерства финансов, аграрную реформу 1906–1914 годов — как политику Министерства внутренних дел и Совета министров. Давыдов предложил рассматривать период с конца 1880-х годов до 1914 года как единый проект ускоренного развития, которым руководило государство.</w:t>
      </w:r>
    </w:p>
    <w:p>
      <w:pPr>
        <w:pStyle w:val="BodyText"/>
      </w:pPr>
      <w:r>
        <w:t xml:space="preserve">Проект связан с именами четырёх министров. Н. Х. Бунге (министр финансов в 1881–1886 годах) облегчил налоговое бремя крестьян, создал Крестьянский банк и начал фабричное законодательство. И. А. Вышнеградский (1887–1892) добился бездефицитного бюджета и активного торгового баланса, прежде всего за счёт экспорта хлеба; при нём принят высокий таможенный тариф 1891 года. С. Ю. Витте (министр финансов в 1892–1903 годах, председатель Совета министров в 1905–1906 годах) создал промышленную и финансовую систему, о которой пойдёт речь дальше. П. А. Столыпин (председатель Совета министров в 1906–1911 годах) взялся за аграрный строй — общину, собственность, переселение; его реформа продолжалась до начала Первой мировой войны.</w:t>
      </w:r>
    </w:p>
    <w:p>
      <w:pPr>
        <w:pStyle w:val="BodyText"/>
      </w:pPr>
      <w:r>
        <w:t xml:space="preserve">Что объединяет эти этапы? Во-первых, цель: догнать ведущие державы за одно-два поколения. Под этим понимались развитая промышленность и транспорт, устойчивые финансы, а затем — крестьянская собственность и рынок земли. Во-вторых, средство: государство выступало инициатором, заказчиком, банкиром и строителем. Оно устанавливало тариф, строило и выкупало железные дороги, размещало заказы, привлекало иностранный капитал. В-третьих, общий результат, который Давыдов формулирует так: экономически модернизация удалась, а политические учреждения за ней не поспевали.</w:t>
      </w:r>
    </w:p>
    <w:p>
      <w:pPr>
        <w:pStyle w:val="BodyText"/>
      </w:pPr>
      <w:r>
        <w:t xml:space="preserve">Можно сказать образно: Витте начал с верхнего этажа — промышленности и денег; Столыпин взялся за фундамент — землю и права крестьянина. Этот порядок сам по себе стал источником напряжения: двадцать лет промышленность росла в стране, где большинство населения жило в общине и по особому праву.</w:t>
      </w:r>
    </w:p>
    <w:p>
      <w:pPr>
        <w:pStyle w:val="BodyText"/>
      </w:pPr>
      <w:r>
        <w:rPr>
          <w:bCs/>
          <w:b/>
        </w:rPr>
        <w:t xml:space="preserve">[слайд 11 — С. Ю. Витте]</w:t>
      </w:r>
    </w:p>
    <w:p>
      <w:pPr>
        <w:pStyle w:val="BodyText"/>
      </w:pPr>
      <w:r>
        <w:t xml:space="preserve">Сергей Юльевич Витте (1849–1915) — фигура, без которой нельзя понять эпоху. Он родился в Тифлисе в семье чиновника, окончил физико-математический факультет Новороссийского университета в Одессе и пошёл служить на железные дороги. В 1880-е годы он управлял частными Юго-Западными железными дорогами и сделал их доходными. Опыт частного дела дал ему знание того, что обычно плохо знали министры: цену тарифа, кредита, расписания, умение считать издержки.</w:t>
      </w:r>
    </w:p>
    <w:p>
      <w:pPr>
        <w:pStyle w:val="BodyText"/>
      </w:pPr>
      <w:r>
        <w:t xml:space="preserve">В 1892 году Витте стал министром путей сообщения, а в августе того же года — министром финансов. На этом посту он пробыл одиннадцать лет. Ему принадлежала инициатива союзного договора с Китаем и концессии на Китайско-Восточную железную дорогу (1896). В 1899 году он подал царю доклад о программе промышленной политики и составил записку «Самодержавие и земство», в которой доказывал, что выборное самоуправление несовместимо с самодержавием и должно быть ограничено. В августе 1903 года его удалили из Министерства финансов, назначив на почётную, но малозначительную должность председателя Комитета министров. В 1905 году он вернулся: заключил Портсмутский мир с Японией, стал автором Манифеста 17 октября и первым председателем Совета министров. Эти события — предмет темы 6.5.</w:t>
      </w:r>
    </w:p>
    <w:p>
      <w:pPr>
        <w:pStyle w:val="BodyText"/>
      </w:pPr>
      <w:r>
        <w:t xml:space="preserve">Политические взгляды Витте важны для понимания всего проекта. Опорой модернизации он считал сильную самодержавную власть, которая сама проводит реформы и не нуждается в согласии общества. Это была последовательная позиция: экономические свободы — рынок, частное предприятие, устойчивые деньги — под защитой неограниченной монархии. Уже в 1905 году сам Витте убедится, что такая комбинация неустойчива.</w:t>
      </w:r>
    </w:p>
    <w:p>
      <w:pPr>
        <w:pStyle w:val="BodyText"/>
      </w:pPr>
      <w:r>
        <w:rPr>
          <w:bCs/>
          <w:b/>
        </w:rPr>
        <w:t xml:space="preserve">[слайд 12 — «система Витте»: четыре опоры]</w:t>
      </w:r>
    </w:p>
    <w:p>
      <w:pPr>
        <w:pStyle w:val="BodyText"/>
      </w:pPr>
      <w:r>
        <w:t xml:space="preserve">Экономическую политику Витте принято называть «системой Витте». В ней можно выделить четыре опоры.</w:t>
      </w:r>
    </w:p>
    <w:p>
      <w:pPr>
        <w:pStyle w:val="BodyText"/>
      </w:pPr>
      <w:r>
        <w:t xml:space="preserve">Первая — таможенная защита. Тариф 1891 года, в разработке которого участвовал Д. И. Менделеев, был одним из самых высоких в Европе: пошлины на ввоз металлов, машин, угля должны были создать внутренний рынок для отечественной промышленности. Германия ответила повышением пошлин на русский хлеб, началась таможенная война 1893–1894 годов. Она завершилась торговым договором 1894 года, выгодным для России.</w:t>
      </w:r>
    </w:p>
    <w:p>
      <w:pPr>
        <w:pStyle w:val="BodyText"/>
      </w:pPr>
      <w:r>
        <w:t xml:space="preserve">Вторая — устойчивый рубль. Денежная реформа 1897 года ввела свободный размен кредитных билетов на золото. Об её механике скажу подробно на следующем слайде.</w:t>
      </w:r>
    </w:p>
    <w:p>
      <w:pPr>
        <w:pStyle w:val="BodyText"/>
      </w:pPr>
      <w:r>
        <w:t xml:space="preserve">Третья — казна и косвенные налоги. Витте ввёл казённую винную монополию. Она начала действовать с 1 января 1895 года в четырёх восточных губерниях — Пермской, Уфимской, Оренбургской и Самарской, то есть в нашем, уральском регионе, — и к 1902 году распространилась почти на всю империю. Продажа водки стала делом казны; «питейный доход» давал около четверти всех доходов бюджета. Кроме того, росли акцизы на сахар, керосин, табак, спички. Косвенный налог удобен казне: его не нужно взыскивать с каждого двора, он собирается при покупке. Но основную его тяжесть несла деревня.</w:t>
      </w:r>
    </w:p>
    <w:p>
      <w:pPr>
        <w:pStyle w:val="BodyText"/>
      </w:pPr>
      <w:r>
        <w:t xml:space="preserve">Четвёртая — капитал и дороги. Витте активно привлекал иностранные инвестиции — французские, бельгийские, германские, английские. Главным инструментом роста было железнодорожное строительство: государство строило казённые дороги и выкупало частные; к 1900 году около двух третей сети принадлежало казне. Железная дорога создавала спрос на металл, уголь, паровозы и вагоны, то есть работала как огромный государственный заказ.</w:t>
      </w:r>
    </w:p>
    <w:p>
      <w:pPr>
        <w:pStyle w:val="BodyText"/>
      </w:pPr>
      <w:r>
        <w:t xml:space="preserve">Логика системы проста. Тариф создаёт внутренний рынок, дороги — спрос на продукцию тяжёлой промышленности, твёрдый рубль привлекает капитал, монополия и косвенные налоги оплачивают всё это. Слабое звено тоже видно: платёжеспособность крестьянского большинства. Промышленность росла на казённом заказе быстрее, чем внутренний потребительский рынок, и зависела от бюджета. Когда в 1900 году бюджет и внешний кредит сократились, начался кризис.</w:t>
      </w:r>
    </w:p>
    <w:p>
      <w:pPr>
        <w:pStyle w:val="BodyText"/>
      </w:pPr>
      <w:r>
        <w:rPr>
          <w:bCs/>
          <w:b/>
        </w:rPr>
        <w:t xml:space="preserve">[слайд 13 — денежная реформа 1897 года]</w:t>
      </w:r>
    </w:p>
    <w:p>
      <w:pPr>
        <w:pStyle w:val="BodyText"/>
      </w:pPr>
      <w:r>
        <w:t xml:space="preserve">Денежная реформа — самая долговечная часть наследия Витте, поэтому разберём её механику.</w:t>
      </w:r>
    </w:p>
    <w:p>
      <w:pPr>
        <w:pStyle w:val="BodyText"/>
      </w:pPr>
      <w:r>
        <w:t xml:space="preserve">После Крымской и русско-турецкой войн в России ходили бумажные кредитные билеты, не обменивавшиеся на металл. Их курс колебался, и это отпугивало иностранных вкладчиков: вложение в России могло обесцениться вместе с рублём. В 1888–1896 годах Министерство финансов накапливало золото: бездефицитный бюджет, превышение экспорта над импортом, внешние займы. Золотой запас вырос в несколько раз и превысил сумму бумажных денег в обращении.</w:t>
      </w:r>
    </w:p>
    <w:p>
      <w:pPr>
        <w:pStyle w:val="BodyText"/>
      </w:pPr>
      <w:r>
        <w:t xml:space="preserve">3 января 1897 года указ о чеканке золотой монеты установил империал в 15 рублей. Новый золотой рубль был приравнен к двум третям прежнего; иначе говоря, реформа закрепила фактический рыночный курс бумажного рубля и не стала возвращать ему старую стоимость. 29 августа 1897 года были введены правила эмиссии Государственного банка: кредитные билеты на сумму до 600 миллионов рублей должны быть обеспечены золотом не менее чем наполовину, а сверх этой суммы — рубль за рубль. С этого времени любой владелец бумажного рубля мог обменять его в банке на золото. До 1914 года рубль оставался одной из самых устойчивых валют мира.</w:t>
      </w:r>
    </w:p>
    <w:p>
      <w:pPr>
        <w:pStyle w:val="BodyText"/>
      </w:pPr>
      <w:r>
        <w:t xml:space="preserve">У реформы были сторонники и противники. Сторонники доказывали, что твёрдая валюта ограничивает саму казну в печатании денег, защищает сбережения и делает долгосрочные вложения предсказуемыми: капитал идёт туда, где его стоимость не тает. Противниками были многие помещики-экспортёры и сторонники «дешёвых денег»: дорогой рубль удорожал кредит и делал русский хлеб менее конкурентным на внешнем рынке. В Государственном совете реформа встретила сильное сопротивление, и Витте провёл её императорскими указами в обход совета. Сам он позже писал, что против реформы была почти вся образованная Россия.</w:t>
      </w:r>
    </w:p>
    <w:p>
      <w:pPr>
        <w:pStyle w:val="BodyText"/>
      </w:pPr>
      <w:r>
        <w:t xml:space="preserve">Обратите внимание на её институциональный смысл. Реформа 1897 года ввела правило, ограничивающее саму власть: обязанность менять бумагу на золото и выпускать деньги только при наличии покрытия. Именно это самоограничение стало источником доверия к рублю. Отказ от этого правила в 1914 году, с началом войны, открыл путь к инфляции военного времени.</w:t>
      </w:r>
    </w:p>
    <w:p>
      <w:pPr>
        <w:pStyle w:val="BodyText"/>
      </w:pPr>
      <w:r>
        <w:rPr>
          <w:bCs/>
          <w:b/>
        </w:rPr>
        <w:t xml:space="preserve">[слайд 14 — промышленный подъём 1890-х годов]</w:t>
      </w:r>
    </w:p>
    <w:p>
      <w:pPr>
        <w:pStyle w:val="BodyText"/>
      </w:pPr>
      <w:r>
        <w:t xml:space="preserve">Каковы результаты? Приведу несколько показателей, сравнив 1890 и 1900 годы. Протяжённость железных дорог выросла примерно с 30,6 до 53,2 тысячи километров — строили в среднем по две с половиной — три тысячи вёрст в год. Выплавка чугуна увеличилась с 56,6 до 179,1 миллиона пудов, то есть более чем втрое. Добыча угля — с 367 до 986 миллионов пудов. Добыча нефти — примерно с 240 до 631 миллиона пудов; в 1898–1901 годах Россия, прежде всего бакинские промыслы, вышла на первое место в мире по добыче нефти.</w:t>
      </w:r>
    </w:p>
    <w:p>
      <w:pPr>
        <w:pStyle w:val="BodyText"/>
      </w:pPr>
      <w:r>
        <w:t xml:space="preserve">Средний прирост промышленного производства в 1890-е годы составлял около 8 процентов в год — выше, чем в любой европейской стране. Россия вошла в пятёрку крупнейших промышленных держав мира.</w:t>
      </w:r>
    </w:p>
    <w:p>
      <w:pPr>
        <w:pStyle w:val="BodyText"/>
      </w:pPr>
      <w:r>
        <w:t xml:space="preserve">Необходимы и оговорки. Во-первых, в расчёте на душу населения Россия по-прежнему в разы отставала от Англии, Германии и США. Во-вторых, рост был неравномерным: в 1900–1903 годах наступил промышленный кризис, закрылись тысячи предприятий, особенно в металлургии, привыкшей к казённому заказу. В-третьих, значительная доля капитала в новых отраслях была иностранной, что давало технологии и одновременно делало отрасли зависимыми от внешнего кредита.</w:t>
      </w:r>
    </w:p>
    <w:p>
      <w:pPr>
        <w:pStyle w:val="BodyText"/>
      </w:pPr>
      <w:r>
        <w:rPr>
          <w:bCs/>
          <w:b/>
        </w:rPr>
        <w:t xml:space="preserve">[слайд 15 — Транссиб начинался в Челябинске]</w:t>
      </w:r>
    </w:p>
    <w:p>
      <w:pPr>
        <w:pStyle w:val="BodyText"/>
      </w:pPr>
      <w:r>
        <w:t xml:space="preserve">Главный символ модернизации — Великий Сибирский путь, Транссибирская магистраль. Решение о ней было принято в 1891 году. 19 мая 1891 года во Владивостоке наследник-цесаревич Николай, возвращавшийся из путешествия на Восток, заложил начало Уссурийской дороги. В 1892 году Самаро-Златоустовская железная дорога дошла до Челябинска, и 7 июля 1892 года здесь началось строительство Западно-Сибирской линии на восток. В 1896 году движение было открыто до Оби — там, где вырос город Ново-Николаевск, нынешний Новосибирск. В том же году дорога Екатеринбург — Челябинск связала Челябинск с горнозаводским Уралом. Кругобайкальская дорога вступила в строй в 1904 году, уже во время войны с Японией, Амурская — в 1916 году; с этого времени поезд мог пройти от Москвы до Владивостока по русской территории.</w:t>
      </w:r>
    </w:p>
    <w:p>
      <w:pPr>
        <w:pStyle w:val="BodyText"/>
      </w:pPr>
      <w:r>
        <w:t xml:space="preserve">Для Челябинска это был поворот судьбы. Уездный город Оренбургской губернии за десять лет стал узлом двух дорог, хлебным и транзитным центром. По переписи 1897 года в нём жило около 20 тысяч человек; в 1900-е годы в городе появились паровые мельницы, склады, торговые дома, чаеразвесочная фабрика. Вокзал, который вы видите на открытках начала века, стал главными воротами города. Челябинск в эти годы — классический пример города, который создала железная дорога.</w:t>
      </w:r>
    </w:p>
    <w:p>
      <w:pPr>
        <w:pStyle w:val="BodyText"/>
      </w:pPr>
      <w:r>
        <w:rPr>
          <w:bCs/>
          <w:b/>
        </w:rPr>
        <w:t xml:space="preserve">[слайд 16 — переселенческий пункт и тарифный перелом]</w:t>
      </w:r>
    </w:p>
    <w:p>
      <w:pPr>
        <w:pStyle w:val="BodyText"/>
      </w:pPr>
      <w:r>
        <w:t xml:space="preserve">С Челябинском связаны два явления, которые хорошо показывают логику государственной модернизации.</w:t>
      </w:r>
    </w:p>
    <w:p>
      <w:pPr>
        <w:pStyle w:val="BodyText"/>
      </w:pPr>
      <w:r>
        <w:t xml:space="preserve">Первое — переселенческий пункт, открытый в 1893 году. Здесь переселенцев регистрировали, осматривали врачи, делали прививки, давали ночлег и продавали билеты по льготному тарифу. Через Челябинск на восток в 1890–1910-е годы прошли миллионы переселенцев и ходоков — так называли крестьян, которых община посылала выбрать место для переселения. Долгое время правительство переселению препятствовало, опасаясь оставить помещиков без рабочих рук. С 1890-х годов, с постройкой дороги, оно начинает организовывать переселение и вести крестьянина за Урал.</w:t>
      </w:r>
    </w:p>
    <w:p>
      <w:pPr>
        <w:pStyle w:val="BodyText"/>
      </w:pPr>
      <w:r>
        <w:t xml:space="preserve">Второе — так называемый челябинский тарифный перелом, введённый в 1896 году. Для хлеба, шедшего из Сибири на запад, провозная плата в Челябинске исчислялась заново, и дешёвый сквозной тариф, выгодный на дальних расстояниях, прерывался. Цель — защитить хлеборобов Центральной России и прежде всего помещичьи хозяйства от конкуренции дешёвого сибирского зерна. Следствие оказалось неожиданным: Сибирь переключилась с хлеба на масло. К 1900-м годам сибирское сливочное масло в вагонах-ледниках шло в Европу, и масло стало одной из важных статей русского экспорта. То, что закрыл тариф, рынок нашёл обходом.</w:t>
      </w:r>
    </w:p>
    <w:p>
      <w:pPr>
        <w:pStyle w:val="BodyText"/>
      </w:pPr>
      <w:r>
        <w:t xml:space="preserve">Один город показывает обе стороны политики: государство открывает Сибирь для людей и одновременно тарифом ограничивает движение её товаров.</w:t>
      </w:r>
    </w:p>
    <w:p>
      <w:pPr>
        <w:pStyle w:val="BodyText"/>
      </w:pPr>
      <w:r>
        <w:rPr>
          <w:bCs/>
          <w:b/>
        </w:rPr>
        <w:t xml:space="preserve">[слайд 17 — Урал в эпоху модернизации]</w:t>
      </w:r>
    </w:p>
    <w:p>
      <w:pPr>
        <w:pStyle w:val="BodyText"/>
      </w:pPr>
      <w:r>
        <w:t xml:space="preserve">А что происходило со старым горнозаводским Уралом? Парадокс в том, что подъём 1890-х годов обошёл Урал стороной. Центр металлургии переместился на Юг — в Донбасс и Кривой Рог, где соединялись донецкий каменный уголь и криворожская руда, а новые заводы строились с иностранным капиталом и по новейшей технологии. На рубеже 1899–1900 годов Юг обошёл Урал по выплавке чугуна; к 1900 году на Юг приходилось около половины общероссийской выплавки, на Урал — немногим более четверти.</w:t>
      </w:r>
    </w:p>
    <w:p>
      <w:pPr>
        <w:pStyle w:val="BodyText"/>
      </w:pPr>
      <w:r>
        <w:t xml:space="preserve">Почему отстал Урал? Причины в меньшей степени природные и в большей — институциональные. Уральские заводы работали на древесном угле, и переход к минеральному топливу требовал огромных вложений. Заводские округа владели громадными лесными дачами на посессионном или владельческом праве, которые нельзя было свободно продать, заложить или разделить, — рынка земли и леса здесь по существу не было. Заводы несли обязательства перед населением заводских округов, унаследованные от времён крепостного права. Наконец, до прихода железной дороги Урал был удалён от рынков сбыта.</w:t>
      </w:r>
    </w:p>
    <w:p>
      <w:pPr>
        <w:pStyle w:val="BodyText"/>
      </w:pPr>
      <w:r>
        <w:t xml:space="preserve">На Южном Урале продолжали действовать казённый Златоустовский завод, производивший сталь и холодное оружие, заводы в Сатке, Аше, Миньяре. Челябинск и Троицк росли как торговые и хлебные центры при дороге.</w:t>
      </w:r>
    </w:p>
    <w:p>
      <w:pPr>
        <w:pStyle w:val="BodyText"/>
      </w:pPr>
      <w:r>
        <w:t xml:space="preserve">Урал — наглядный пример того, как учреждения, унаследованные от XVIII века, связывали хозяйство сильнее, чем недостаток руды или людей. Мы уже видели это в теме 6.3 на примере реформы 1861 года на горных заводах.</w:t>
      </w:r>
    </w:p>
    <w:p>
      <w:pPr>
        <w:pStyle w:val="BodyText"/>
      </w:pPr>
      <w:r>
        <w:rPr>
          <w:bCs/>
          <w:b/>
        </w:rPr>
        <w:t xml:space="preserve">[слайд 18 — деревня и аграрный вопрос на рубеже веков]</w:t>
      </w:r>
    </w:p>
    <w:p>
      <w:pPr>
        <w:pStyle w:val="BodyText"/>
      </w:pPr>
      <w:r>
        <w:t xml:space="preserve">Перейдём к цене роста. Главным слабым звеном модернизации оставалась деревня, где жило около 85 процентов населения.</w:t>
      </w:r>
    </w:p>
    <w:p>
      <w:pPr>
        <w:pStyle w:val="BodyText"/>
      </w:pPr>
      <w:r>
        <w:t xml:space="preserve">Во-первых, нагрузка. Крестьяне платили выкупные платежи, а косвенные налоги на сахар, керосин, спички, водку ложились на них сильнее всего. В губерниях Центрального черноземья накапливались недоимки. Население быстро росло, и надел на душу мужского пола уменьшался.</w:t>
      </w:r>
    </w:p>
    <w:p>
      <w:pPr>
        <w:pStyle w:val="BodyText"/>
      </w:pPr>
      <w:r>
        <w:t xml:space="preserve">Во-вторых, правовая изоляция, о которой мы говорили в теме 6.3. Крестьянин жил в общине с переделами земли, подлежал волостному суду, действовавшему по обычному праву, и надзору земского начальника. Он оставался «младшим» подданным: без полной собственности на землю и без общего для всех сословий права.</w:t>
      </w:r>
    </w:p>
    <w:p>
      <w:pPr>
        <w:pStyle w:val="BodyText"/>
      </w:pPr>
      <w:r>
        <w:t xml:space="preserve">В-третьих, тревожные сигналы. Голод 1891–1892 годов показал уязвимость черноземных губерний. В 1899 году была создана комиссия для исследования «оскудения центра», то есть благосостояния сельского населения среднеземледельческих губерний. Весной 1902 года крестьяне Полтавской и Харьковской губерний громили помещичьи экономии.</w:t>
      </w:r>
    </w:p>
    <w:p>
      <w:pPr>
        <w:pStyle w:val="BodyText"/>
      </w:pPr>
      <w:r>
        <w:t xml:space="preserve">Правительство разделилось. В 1902 году было создано Особое совещание о нуждах сельскохозяйственной промышленности под председательством Витте. Оно работало до 1905 года и опиралось на свыше 600 местных комитетов, куда входили земские деятели, чиновники, агрономы. Вывод большинства комитетов: крестьян нужно уравнять в правах с другими сословиями, дать им право свободного выхода из общины и собственность на надел. Параллельно в Министерстве внутренних дел под руководством В. К. Плеве готовился пересмотр крестьянского законодательства в противоположном духе — с сохранением общины и сословного строя деревни как опоры порядка. Компромиссом стала отмена круговой поруки указом 12 марта 1903 года.</w:t>
      </w:r>
    </w:p>
    <w:p>
      <w:pPr>
        <w:pStyle w:val="BodyText"/>
      </w:pPr>
      <w:r>
        <w:t xml:space="preserve">Таким образом, в 1902–1904 годах спор министерств о деревне стал спором о пути модернизации: вести ли её дальше к собственности и праву или удерживать деревню в прежнем строе.</w:t>
      </w:r>
    </w:p>
    <w:p>
      <w:pPr>
        <w:pStyle w:val="BodyText"/>
      </w:pPr>
      <w:r>
        <w:rPr>
          <w:bCs/>
          <w:b/>
        </w:rPr>
        <w:t xml:space="preserve">[слайд 19 — спорят историки: кто заплатил за рывок индустриализации]</w:t>
      </w:r>
    </w:p>
    <w:p>
      <w:pPr>
        <w:pStyle w:val="BodyText"/>
      </w:pPr>
      <w:r>
        <w:t xml:space="preserve">Вопрос о цене индустриализации — одна из самых острых дискуссий в историографии. Выделю три позиции.</w:t>
      </w:r>
    </w:p>
    <w:p>
      <w:pPr>
        <w:pStyle w:val="BodyText"/>
      </w:pPr>
      <w:r>
        <w:t xml:space="preserve">Первая: индустриализация за счёт деревни. Эта позиция восходит к народнической публицистике конца XIX века и была господствующей в советской историографии. Её суть: государство вывозило хлеб, чтобы получить золото для займов и реформы, и выжимало средства из крестьян косвенными налогами; деревня центра нищала. Символом стала формула «недоедим, а вывезем», которую приписывают И. А. Вышнеградскому (подлинность её не доказана). Современную, демографическую версию этой позиции развивает С. А. Нефедов: он доказывает, что в центре сложилось аграрное перенаселение и потребление хлеба на душу падало.</w:t>
      </w:r>
    </w:p>
    <w:p>
      <w:pPr>
        <w:pStyle w:val="BodyText"/>
      </w:pPr>
      <w:r>
        <w:t xml:space="preserve">Вторая позиция принадлежит американскому экономическому историку А. Гершенкрону. В книге «Экономическая отсталость в исторической перспективе» он показал, что в отсталой стране государство заменяет недостающие предпосылки роста: капитал, предпринимательский слой, массовый спрос. Рост в России был реальным, но оплачен налогами и сдержанным потреблением крестьян. Основание — сравнение с Германией, Японией, другими странами «догоняющего» развития.</w:t>
      </w:r>
    </w:p>
    <w:p>
      <w:pPr>
        <w:pStyle w:val="BodyText"/>
      </w:pPr>
      <w:r>
        <w:t xml:space="preserve">Третья позиция — М. А. Давыдов и Б. Н. Миронов. Они называют «голодный экспорт» мифом. Давыдов, опираясь на железнодорожную и бюджетную статистику, показывает, что хлеб вывозился прежде всего из излишков южных и восточных губерний, а потребление в стране в целом росло. Миронов, используя антропометрические данные — рост новобранцев, — и данные о продолжительности жизни, доказывает, что благосостояние населения в пореформенный период увеличивалось.</w:t>
      </w:r>
    </w:p>
    <w:p>
      <w:pPr>
        <w:pStyle w:val="BodyText"/>
      </w:pPr>
      <w:r>
        <w:t xml:space="preserve">Спор идёт о том, какая статистика надёжнее и чьё положение считать типичным: губерний центра или страны в целом. Требование к ответу на семинаре — назвать данные, на которые опирается выбранная позиция.</w:t>
      </w:r>
    </w:p>
    <w:p>
      <w:pPr>
        <w:pStyle w:val="BodyText"/>
      </w:pPr>
      <w:r>
        <w:rPr>
          <w:bCs/>
          <w:b/>
        </w:rPr>
        <w:t xml:space="preserve">[слайд 20 — от Витте к Столыпину: вторая половина проекта]</w:t>
      </w:r>
    </w:p>
    <w:p>
      <w:pPr>
        <w:pStyle w:val="BodyText"/>
      </w:pPr>
      <w:r>
        <w:t xml:space="preserve">Концепция модернизации Витте — Столыпина позволяет увидеть преемственность там, где прежде видели противоположность. Витте и Столыпин лично не ладили, а после 1906 года Витте резко критиковал Столыпина. Однако вторая половина проекта была подготовлена первой.</w:t>
      </w:r>
    </w:p>
    <w:p>
      <w:pPr>
        <w:pStyle w:val="BodyText"/>
      </w:pPr>
      <w:r>
        <w:t xml:space="preserve">Что было подготовлено до 1905 года? Выводы Особого совещания и записка Витте «по крестьянскому делу» (1904) формулировали главную мысль: крестьянин должен стать полноправным собственником, а община — перестать быть принудительной. Были созданы инструменты: Крестьянский банк, переселенческое ведомство, железная дорога за Урал с переселенческими пунктами.</w:t>
      </w:r>
    </w:p>
    <w:p>
      <w:pPr>
        <w:pStyle w:val="BodyText"/>
      </w:pPr>
      <w:r>
        <w:t xml:space="preserve">Что было сделано после 1906 года? Указ 9 ноября 1906 года разрешил крестьянам выходить из общины и закреплять надел в личную собственность. Развернулось землеустройство — выделение хуторов и отрубов. Началось массовое переселение в Сибирь и Степной край. Выросла кредитная кооперация.</w:t>
      </w:r>
    </w:p>
    <w:p>
      <w:pPr>
        <w:pStyle w:val="BodyText"/>
      </w:pPr>
      <w:r>
        <w:t xml:space="preserve">Приведу три цифры, чтобы вы представляли масштаб. Около 2,5 миллиона дворов укрепили наделы в собственность к 1915 году. Около 6 миллионов ходатайств о землеустройстве подали крестьяне — это подсчёт Давыдова, и он важен как показатель спроса на реформу снизу. Около 3 миллионов человек переселились за Урал в 1906–1914 годах, и большинство прошло через Челябинск.</w:t>
      </w:r>
    </w:p>
    <w:p>
      <w:pPr>
        <w:pStyle w:val="BodyText"/>
      </w:pPr>
      <w:r>
        <w:t xml:space="preserve">Обе половины проекта объединяет одно: государство ведёт преобразования сверху и быстро. Разница — в объекте: Витте создавал промышленность для крестьянской страны, Столыпин — собственника в самой деревне. Подробно реформа Столыпина будет рассмотрена в теме 6.6.</w:t>
      </w:r>
    </w:p>
    <w:bookmarkEnd w:id="23"/>
    <w:bookmarkStart w:id="24" w:name="вопрос-третий.-общество-рубежа-веков"/>
    <w:p>
      <w:pPr>
        <w:pStyle w:val="Heading2"/>
      </w:pPr>
      <w:r>
        <w:t xml:space="preserve">Вопрос третий. Общество рубежа веков</w:t>
      </w:r>
    </w:p>
    <w:p>
      <w:pPr>
        <w:pStyle w:val="FirstParagraph"/>
      </w:pPr>
      <w:r>
        <w:rPr>
          <w:bCs/>
          <w:b/>
        </w:rPr>
        <w:t xml:space="preserve">[слайд 21 — вопрос третий]</w:t>
      </w:r>
    </w:p>
    <w:p>
      <w:pPr>
        <w:pStyle w:val="BodyText"/>
      </w:pPr>
      <w:r>
        <w:t xml:space="preserve">Третий вопрос — об обществе, которое модернизация вырастила. Программа называет земские адреса и студенческое движение; к ним я добавлю рабочий вопрос.</w:t>
      </w:r>
    </w:p>
    <w:p>
      <w:pPr>
        <w:pStyle w:val="BodyText"/>
      </w:pPr>
      <w:r>
        <w:rPr>
          <w:bCs/>
          <w:b/>
        </w:rPr>
        <w:t xml:space="preserve">[слайд 22 — земский либерализм: от адресов к кружку «Беседа»]</w:t>
      </w:r>
    </w:p>
    <w:p>
      <w:pPr>
        <w:pStyle w:val="BodyText"/>
      </w:pPr>
      <w:r>
        <w:t xml:space="preserve">Голод 1891–1892 годов стал школой общественной самодеятельности. Земства закупали хлеб, врачи и студенты ехали на эпидемии холеры и тифа, Л. Н. Толстой с семьёй открывал бесплатные столовые в Рязанской губернии. Правительство, поначалу запрещавшее даже слово «голод» в печати, было вынуждено принять помощь общества. После речи 1895 года земцы поняли, что ходатайствами ничего не добиться, и перешли к объединению.</w:t>
      </w:r>
    </w:p>
    <w:p>
      <w:pPr>
        <w:pStyle w:val="BodyText"/>
      </w:pPr>
      <w:r>
        <w:t xml:space="preserve">Центром объединения стал кружок «Беседа» (1899–1905) — неформальное собрание земцев-аристократов в Москве. В него входили Д. Н. Шипов, братья Павел и Пётр Долгоруковы, князь Г. Е. Львов, М. А. Стахович, братья Сергей и Евгений Трубецкие, граф П. А. Гейден. История кружка подробно изучена К. А. Соловьёвым в книге «Кружок „Беседа“: в поисках новой политической реальности». «Беседа» была площадкой, где сблизились люди разных взглядов: там обсуждали записки, готовили земские съезды, спорили о будущем устройстве России.</w:t>
      </w:r>
    </w:p>
    <w:p>
      <w:pPr>
        <w:pStyle w:val="BodyText"/>
      </w:pPr>
      <w:r>
        <w:t xml:space="preserve">Внутри земского либерализма сложились два крыла. Славянофильское крыло возглавлял Д. Н. Шипов, председатель Московской губернской земской управы. Он считал, что самодержавие должно сохраниться, но царю нужен законосовещательный орган из выборных людей, через который «мнение страны» будет доходить до престола. Конституционное крыло, во главе которого стоял И. И. Петрункевич, требовало законодательного представительства и гарантий личных прав; в 1903 году его сторонники создали Союз земцев-конституционалистов.</w:t>
      </w:r>
    </w:p>
    <w:p>
      <w:pPr>
        <w:pStyle w:val="BodyText"/>
      </w:pPr>
      <w:r>
        <w:t xml:space="preserve">Ответ власти был однозначным. Записка Витте «Самодержавие и земство» (1899) доказывала, что выборное самоуправление неизбежно ведёт к конституции и потому несовместимо с самодержавием. Закон 1900 года ограничил право земств повышать сборы. В 1902–1904 годах Плеве высылал и отстранял наиболее активных земских деятелей, в том числе Шипова, которого не утвердили в должности председателя управы.</w:t>
      </w:r>
    </w:p>
    <w:p>
      <w:pPr>
        <w:pStyle w:val="BodyText"/>
      </w:pPr>
      <w:r>
        <w:t xml:space="preserve">Главная черта земского либерализма — опыт практического управления. Земец знал школу, больницу и дорогу своего уезда, отвечал за них перед избирателями и требовал права голоса там, где уже нёс ответственность. Это отличало его от радикальной интеллигенции.</w:t>
      </w:r>
    </w:p>
    <w:p>
      <w:pPr>
        <w:pStyle w:val="BodyText"/>
      </w:pPr>
      <w:r>
        <w:rPr>
          <w:bCs/>
          <w:b/>
        </w:rPr>
        <w:t xml:space="preserve">[слайд 23 — студенческое движение рубежа веков]</w:t>
      </w:r>
    </w:p>
    <w:p>
      <w:pPr>
        <w:pStyle w:val="BodyText"/>
      </w:pPr>
      <w:r>
        <w:t xml:space="preserve">Университеты после устава 1884 года утратили самоуправление, студенческие организации были запрещены. Число студентов при этом росло, а среди них всё больше становилось выходцев из небогатых семей.</w:t>
      </w:r>
    </w:p>
    <w:p>
      <w:pPr>
        <w:pStyle w:val="BodyText"/>
      </w:pPr>
      <w:r>
        <w:t xml:space="preserve">8 февраля 1899 года, в день годовщины Петербургского университета, полиция разогнала студентов, выходивших с торжественного акта; в ход пошли нагайки. В ответ началась первая всероссийская студенческая забастовка: около 25 тысяч студентов тридцати учебных заведений прекратили занятия. Требования были академическими: неприкосновенность личности, право собраний, расследование действий полиции.</w:t>
      </w:r>
    </w:p>
    <w:p>
      <w:pPr>
        <w:pStyle w:val="BodyText"/>
      </w:pPr>
      <w:r>
        <w:t xml:space="preserve">Правительство ответило «Временными правилами» 29 июля 1899 года: студентов, участвовавших в «беспорядках», разрешалось отдавать в солдаты. В январе 1901 года 183 студента Киевского университета были отданы в солдаты. 14 февраля 1901 года исключённый студент П. В. Карпович смертельно ранил министра народного просвещения Н. П. Боголепова. Это был первый террористический акт XX века в России.</w:t>
      </w:r>
    </w:p>
    <w:p>
      <w:pPr>
        <w:pStyle w:val="BodyText"/>
      </w:pPr>
      <w:r>
        <w:t xml:space="preserve">Посмотрите на механику эскалации. Академические требования встречали полицейский ответ; студенты других вузов выражали солидарность; движение принимало политические лозунги. Университет, лишённый самоуправления, превратился в место, где молодые люди впервые сталкивались с властью и выходили из этого столкновения политиками. Из студенческой среды вышли кадры всех будущих партий — от эсеров до кадетов.</w:t>
      </w:r>
    </w:p>
    <w:p>
      <w:pPr>
        <w:pStyle w:val="BodyText"/>
      </w:pPr>
      <w:r>
        <w:rPr>
          <w:bCs/>
          <w:b/>
        </w:rPr>
        <w:t xml:space="preserve">[слайд 24 — фабричные законы, стачки и Златоуст 1903 года]</w:t>
      </w:r>
    </w:p>
    <w:p>
      <w:pPr>
        <w:pStyle w:val="BodyText"/>
      </w:pPr>
      <w:r>
        <w:t xml:space="preserve">К 1900 году в России было около 3 миллионов фабрично-заводских, горных и железнодорожных рабочих. Многие из них сохраняли связь с деревней: имели надел, платили подати в общине, уходили летом на полевые работы.</w:t>
      </w:r>
    </w:p>
    <w:p>
      <w:pPr>
        <w:pStyle w:val="BodyText"/>
      </w:pPr>
      <w:r>
        <w:t xml:space="preserve">Государство отвечало на рабочий вопрос законодательством. В 1882 году была учреждена фабричная инспекция и ограничен труд малолетних. Закон 1886 года, принятый после Морозовской стачки, регулировал наём, ограничивал штрафы и вводил расчётные книжки. В 1896 году около 30 тысяч петербургских текстильщиков провели стачку с требованием сократить рабочий день; под её влиянием закон 2 июня 1897 года ограничил рабочий день 11,5 часа, а в субботу и в ночное время — 10 часами. В 1903 году приняты законы о фабричных старостах и о вознаграждении рабочих, пострадавших от несчастных случаев. Летом 1903 года на юге России прошла всеобщая стачка — в Баку, Одессе, Киеве, Екатеринославе.</w:t>
      </w:r>
    </w:p>
    <w:p>
      <w:pPr>
        <w:pStyle w:val="BodyText"/>
      </w:pPr>
      <w:r>
        <w:t xml:space="preserve">Самое трагическое событие рабочего движения этих лет произошло на Южном Урале. В марте 1903 года рабочие казённого Златоустовского завода отказались принимать новые расчётные книжки, ухудшавшие условия найма. 13 марта перед домом горного начальника собралась толпа, требовавшая освободить арестованных депутатов. Уфимский губернатор Н. М. Богданович приказал войскам открыть огонь. Погибли 69 человек, раненых было около 250. 6 мая 1903 года Богданович был убит в Уфе членами Боевой организации партии эсеров.</w:t>
      </w:r>
    </w:p>
    <w:p>
      <w:pPr>
        <w:pStyle w:val="BodyText"/>
      </w:pPr>
      <w:r>
        <w:t xml:space="preserve">Златоуст стал одним из событий, после которых насилие с обеих сторон вошло в политическую норму. Для нашего края это одна из самых памятных дат начала века.</w:t>
      </w:r>
    </w:p>
    <w:p>
      <w:pPr>
        <w:pStyle w:val="BodyText"/>
      </w:pPr>
      <w:r>
        <w:rPr>
          <w:bCs/>
          <w:b/>
        </w:rPr>
        <w:t xml:space="preserve">[слайд 25 — итог первого часа]</w:t>
      </w:r>
    </w:p>
    <w:p>
      <w:pPr>
        <w:pStyle w:val="BodyText"/>
      </w:pPr>
      <w:r>
        <w:t xml:space="preserve">Подведём итог первого часа. Николай II унаследовал охранительный курс и сразу отказал земству в участии в управлении. Модернизация Витте дала рывок промышленности, железных дорог и финансов; Урал уступил первенство Югу, Челябинск стал воротами Сибири. Слабым звеном осталась деревня: спор о её пути подготовил аграрную реформу Столыпина. Земцы, студенты и рабочие выросли в самостоятельные силы быстрее, чем власть создала для них законный канал.</w:t>
      </w:r>
    </w:p>
    <w:bookmarkEnd w:id="24"/>
    <w:bookmarkEnd w:id="25"/>
    <w:bookmarkStart w:id="35" w:name="час-второй"/>
    <w:p>
      <w:pPr>
        <w:pStyle w:val="Heading1"/>
      </w:pPr>
      <w:r>
        <w:t xml:space="preserve">Час второй</w:t>
      </w:r>
    </w:p>
    <w:p>
      <w:pPr>
        <w:pStyle w:val="FirstParagraph"/>
      </w:pPr>
      <w:r>
        <w:rPr>
          <w:bCs/>
          <w:b/>
        </w:rPr>
        <w:t xml:space="preserve">[слайд 26 — час второй]</w:t>
      </w:r>
    </w:p>
    <w:p>
      <w:pPr>
        <w:pStyle w:val="BodyText"/>
      </w:pPr>
      <w:r>
        <w:t xml:space="preserve">Во втором часе — о том, как эти силы оформились в партии, как Россия участвовала в соперничестве колониальных империй и как всё это привело к открытому политическому кризису осенью 1904 года.</w:t>
      </w:r>
    </w:p>
    <w:bookmarkStart w:id="26" w:name="вопрос-четвёртый.-протопартийная-система"/>
    <w:p>
      <w:pPr>
        <w:pStyle w:val="Heading2"/>
      </w:pPr>
      <w:r>
        <w:t xml:space="preserve">Вопрос четвёртый. Протопартийная система</w:t>
      </w:r>
    </w:p>
    <w:p>
      <w:pPr>
        <w:pStyle w:val="FirstParagraph"/>
      </w:pPr>
      <w:r>
        <w:rPr>
          <w:bCs/>
          <w:b/>
        </w:rPr>
        <w:t xml:space="preserve">[слайд 27 — вопрос четвёртый]</w:t>
      </w:r>
    </w:p>
    <w:p>
      <w:pPr>
        <w:pStyle w:val="BodyText"/>
      </w:pPr>
      <w:r>
        <w:t xml:space="preserve">Программа формулирует вопрос так: зарождение политических организаций и партий в России в конце XIX — начале XX века, становление протопартийной системы, второй съезд РСДРП.</w:t>
      </w:r>
    </w:p>
    <w:p>
      <w:pPr>
        <w:pStyle w:val="BodyText"/>
      </w:pPr>
      <w:r>
        <w:rPr>
          <w:bCs/>
          <w:b/>
        </w:rPr>
        <w:t xml:space="preserve">[слайд 28 — протопартийная система: кто появился до 1905 года]</w:t>
      </w:r>
    </w:p>
    <w:p>
      <w:pPr>
        <w:pStyle w:val="BodyText"/>
      </w:pPr>
      <w:r>
        <w:t xml:space="preserve">Начнём с термина. «Протопартийной» систему этих лет называют потому, что легальных партий в России до 1905 года быть не могло: не было ни парламента, ни свободы союзов. Все политические организации, кроме монархических, действовали нелегально или за границей. Партиями в полном смысле они станут после Манифеста 17 октября 1905 года.</w:t>
      </w:r>
    </w:p>
    <w:p>
      <w:pPr>
        <w:pStyle w:val="BodyText"/>
      </w:pPr>
      <w:r>
        <w:t xml:space="preserve">Посмотрите на схему. Слева — революционный социализм: Российская социал-демократическая рабочая партия (I съезд — 1898, II съезд — 1903) и партия социалистов-революционеров (1901–1902). В центре — либералы: журнал «Освобождение» (1902), «Союз освобождения» (январь 1904), земцы из «Беседы» и Союз земцев-конституционалистов. Справа — «Русское собрание» (1900–1901). Раньше других оформились национальные партии: Польская социалистическая партия (1892), армянская «Дашнакцутюн» (1890), Всеобщий еврейский рабочий союз — Бунд (1897). Особое место занимает сама власть с её «зубатовскими» обществами — попыткой создать собственную рабочую организацию.</w:t>
      </w:r>
    </w:p>
    <w:p>
      <w:pPr>
        <w:pStyle w:val="BodyText"/>
      </w:pPr>
      <w:r>
        <w:t xml:space="preserve">Закономерность такая: раньше всех партийную форму получили революционеры и национальные движения, позже всех — правые.</w:t>
      </w:r>
    </w:p>
    <w:p>
      <w:pPr>
        <w:pStyle w:val="BodyText"/>
      </w:pPr>
      <w:r>
        <w:rPr>
          <w:bCs/>
          <w:b/>
        </w:rPr>
        <w:t xml:space="preserve">[слайд 29 — социал-демократы и «Искра»]</w:t>
      </w:r>
    </w:p>
    <w:p>
      <w:pPr>
        <w:pStyle w:val="BodyText"/>
      </w:pPr>
      <w:r>
        <w:t xml:space="preserve">Российский марксизм начался в эмиграции. В 1883 году в Женеве Г. В. Плеханов, П. Б. Аксельрод и В. И. Засулич создали группу «Освобождение труда». Они спорили с народниками: капитализм в России уже наступил, община разлагается, и главной силой будущего станет пролетариат. В 1890-е годы марксизм стал модным среди образованной молодёжи; появились «легальные марксисты» — П. Б. Струве, М. И. Туган-Барановский, — которые использовали марксистский анализ для доказательства прогрессивности капитализма.</w:t>
      </w:r>
    </w:p>
    <w:p>
      <w:pPr>
        <w:pStyle w:val="BodyText"/>
      </w:pPr>
      <w:r>
        <w:t xml:space="preserve">В 1895 году в Петербурге возник «Союз борьбы за освобождение рабочего класса» во главе с В. И. Ульяновым и Ю. О. Мартовым. Он вёл агитацию среди рабочих и участвовал в стачке 1896 года; руководители вскоре были арестованы.</w:t>
      </w:r>
    </w:p>
    <w:p>
      <w:pPr>
        <w:pStyle w:val="BodyText"/>
      </w:pPr>
      <w:r>
        <w:t xml:space="preserve">В марте 1898 года в Минске прошёл I съезд РСДРП — всего 9 делегатов. Съезд провозгласил создание партии, «Манифест» по его поручению написал Струве. Почти все участники были вскоре арестованы, и партия существовала больше на бумаге.</w:t>
      </w:r>
    </w:p>
    <w:p>
      <w:pPr>
        <w:pStyle w:val="BodyText"/>
      </w:pPr>
      <w:r>
        <w:t xml:space="preserve">Реальное создание партии связано с газетой «Искра». Её первый номер вышел в декабре 1900 года в Лейпциге; затем газету печатали в Мюнхене, Лондоне, Женеве. Эпиграф — «Из искры возгорится пламя» — взят из ответа декабриста А. И. Одоевского на послание Пушкина. Редакцию составили Плеханов, Аксельрод, Засулич, Ленин, Мартов, Потресов. Газета была задумана как «коллективный организатор»: вокруг её доставки в Россию складывалась сеть агентов, которая и стала скелетом партии.</w:t>
      </w:r>
    </w:p>
    <w:p>
      <w:pPr>
        <w:pStyle w:val="BodyText"/>
      </w:pPr>
      <w:r>
        <w:rPr>
          <w:bCs/>
          <w:b/>
        </w:rPr>
        <w:t xml:space="preserve">[слайд 30 — II съезд РСДРП: концепция партии нового типа]</w:t>
      </w:r>
    </w:p>
    <w:p>
      <w:pPr>
        <w:pStyle w:val="BodyText"/>
      </w:pPr>
      <w:r>
        <w:t xml:space="preserve">II съезд РСДРП прошёл с 17 июля по 10 августа 1903 года — сначала в Брюсселе, затем, после вмешательства бельгийской полиции, в Лондоне.</w:t>
      </w:r>
    </w:p>
    <w:p>
      <w:pPr>
        <w:pStyle w:val="BodyText"/>
      </w:pPr>
      <w:r>
        <w:t xml:space="preserve">Теоретическую основу подготовила книга Ленина «Что делать?» (1902). Из неё — знаменитая фраза, вынесенная на слайд: «Дайте нам организацию революционеров — и мы перевернём Россию!» Концепция партии нового типа состояла в следующем. Рабочие сами по себе способны выработать только «тред-юнионистское», профсоюзное сознание; социалистическое сознание вносится в рабочее движение «извне» — партией. Партия должна быть централизованной организацией профессиональных революционеров, подчинённых дисциплине и руководству центра. Прообраз такой организации Ленин видел в «Народной воле».</w:t>
      </w:r>
    </w:p>
    <w:p>
      <w:pPr>
        <w:pStyle w:val="BodyText"/>
      </w:pPr>
      <w:r>
        <w:t xml:space="preserve">Съезд принял программу. Программа-минимум требовала свержения самодержавия, демократической республики, 8-часового рабочего дня, возвращения крестьянам отрезков. Программа-максимум провозглашала целью социалистическую революцию и диктатуру пролетариата; РСДРП была тогда единственной социал-демократической партией Европы, записавшей это требование в программу.</w:t>
      </w:r>
    </w:p>
    <w:p>
      <w:pPr>
        <w:pStyle w:val="BodyText"/>
      </w:pPr>
      <w:r>
        <w:t xml:space="preserve">Главный спор вызвал первый параграф устава — о членстве. Ленин предлагал считать членом партии того, кто признаёт программу, поддерживает партию материально и лично участвует в одной из её организаций. Мартов предлагал заменить последнее условие «регулярным личным содействием под руководством одной из её организаций». Большинством голосов была принята формулировка Мартова. Однако после ухода с съезда делегатов Бунда и «экономистов» соотношение сил изменилось, и на выборах в ЦК и редакцию «Искры» сторонники Ленина получили большинство. Отсюда названия — «большевики» и «меньшевики».</w:t>
      </w:r>
    </w:p>
    <w:p>
      <w:pPr>
        <w:pStyle w:val="BodyText"/>
      </w:pPr>
      <w:r>
        <w:t xml:space="preserve">Спор об одном параграфе был спором о природе партии: открытое объединение сторонников или дисциплинированный отряд, где решения принимает центр. Для истории XX века последствия этого спора трудно переоценить.</w:t>
      </w:r>
    </w:p>
    <w:p>
      <w:pPr>
        <w:pStyle w:val="BodyText"/>
      </w:pPr>
      <w:r>
        <w:rPr>
          <w:bCs/>
          <w:b/>
        </w:rPr>
        <w:t xml:space="preserve">[слайд 31 — партия социалистов-революционеров]</w:t>
      </w:r>
    </w:p>
    <w:p>
      <w:pPr>
        <w:pStyle w:val="BodyText"/>
      </w:pPr>
      <w:r>
        <w:t xml:space="preserve">Наследниками народничества стали эсеры. Партия социалистов-революционеров сложилась в конце 1901 — начале 1902 года из объединения народнических групп в России и эмиграции. Её лидер и главный теоретик — В. М. Чернов, центральный орган — газета «Революционная Россия». Эсеры были самой массовой социалистической партией страны, особенно в деревне.</w:t>
      </w:r>
    </w:p>
    <w:p>
      <w:pPr>
        <w:pStyle w:val="BodyText"/>
      </w:pPr>
      <w:r>
        <w:t xml:space="preserve">Программа эсеров (окончательно принята в 1905–1906 годах) исходила из понятия «трудового народа», объединявшего крестьян, рабочих и трудовую интеллигенцию. Главное требование — социализация земли: отмена частной собственности на землю и передача её в распоряжение общин и органов самоуправления для уравнительного трудового пользования. Политические требования — демократическая республика, федеративное устройство, широкое самоуправление.</w:t>
      </w:r>
    </w:p>
    <w:p>
      <w:pPr>
        <w:pStyle w:val="BodyText"/>
      </w:pPr>
      <w:r>
        <w:t xml:space="preserve">Особенностью партии была Боевая организация, отдельная от ЦК. Её возглавлял Г. А. Гершуни, после его ареста в 1903 году — Е. Ф. Азеф, с 1893 года состоявший платным агентом Департамента полиции. Индивидуальный террор эсеры рассматривали как средство агитации и давления на власть. 2 апреля 1902 года С. В. Балмашёв убил министра внутренних дел Д. С. Сипягина; 6 мая 1903 года был убит уфимский губернатор Богданович; 15 июля 1904 года Е. С. Сазонов убил министра внутренних дел В. К. Плеве.</w:t>
      </w:r>
    </w:p>
    <w:p>
      <w:pPr>
        <w:pStyle w:val="BodyText"/>
      </w:pPr>
      <w:r>
        <w:t xml:space="preserve">Эсеры унаследовали от народников веру в общину и в террор; новым было стремление соединить крестьянскую программу с рабочим движением и массовой партией.</w:t>
      </w:r>
    </w:p>
    <w:p>
      <w:pPr>
        <w:pStyle w:val="BodyText"/>
      </w:pPr>
      <w:r>
        <w:rPr>
          <w:bCs/>
          <w:b/>
        </w:rPr>
        <w:t xml:space="preserve">[слайд 32 — освобожденцы и «Русское собрание»]</w:t>
      </w:r>
    </w:p>
    <w:p>
      <w:pPr>
        <w:pStyle w:val="BodyText"/>
      </w:pPr>
      <w:r>
        <w:t xml:space="preserve">Либеральный лагерь оформился в 1902–1904 годах. В июне 1902 года в Штутгарте начал выходить журнал «Освобождение»; его редактором стал П. Б. Струве, бывший «легальный марксист», перешедший на либеральные позиции. Журнал нелегально ввозили в Россию. В 1903 году возник Союз земцев-конституционалистов. В январе 1904 года в Петербурге прошёл учредительный съезд «Союза освобождения»; председателем стал И. И. Петрункевич. В союз вошли земцы и интеллигенция — историк П. Н. Милюков, философы С. Н. Булгаков и Н. А. Бердяев, экономисты, юристы. Цель — конституция и всеобщее избирательное право; средство — давление общества без революционного насилия. Из «Союза освобождения» в 1905 году вырастет Конституционно-демократическая партия.</w:t>
      </w:r>
    </w:p>
    <w:p>
      <w:pPr>
        <w:pStyle w:val="BodyText"/>
      </w:pPr>
      <w:r>
        <w:t xml:space="preserve">На правом фланге первой организацией стало «Русское собрание», возникшее в Петербурге в 1900–1901 годах. Его председателем был князь Д. П. Голицын, членами — литераторы, чиновники, офицеры, духовенство. Лозунгом служила уваровская триада — православие, самодержавие, народность; задачей объявлялось «противодействие космополитизму» в культуре. «Русское собрание» было скорее клубом правой интеллигенции, чем партией.</w:t>
      </w:r>
    </w:p>
    <w:p>
      <w:pPr>
        <w:pStyle w:val="BodyText"/>
      </w:pPr>
      <w:r>
        <w:t xml:space="preserve">Почему правые организовались последними? Их программу выражала сама власть: пока самодержавие было прочным, собственная партия казалась ненужной. Массовые монархические союзы появятся только в 1905 году, когда власть покачнётся.</w:t>
      </w:r>
    </w:p>
    <w:p>
      <w:pPr>
        <w:pStyle w:val="BodyText"/>
      </w:pPr>
      <w:r>
        <w:rPr>
          <w:bCs/>
          <w:b/>
        </w:rPr>
        <w:t xml:space="preserve">[слайд 33 — «полицейский социализм» и В. К. Плеве]</w:t>
      </w:r>
    </w:p>
    <w:p>
      <w:pPr>
        <w:pStyle w:val="BodyText"/>
      </w:pPr>
      <w:r>
        <w:t xml:space="preserve">Власть тоже пыталась организовать общество — по-своему. Начальник Московского охранного отделения С. В. Зубатов, бывший революционер, пришёл к выводу, что рабочих можно отвлечь от революционеров, если дать им легальную организацию под покровительством полиции и помочь в решении экономических вопросов. В 1901 году в Москве было создано Общество взаимного вспомоществования рабочих в механическом производстве. 19 февраля 1902 года, в годовщину отмены крепостного права, около 50 тысяч рабочих прошли к памятнику Александру II в Кремле. Опыт распространили на Минск, Одессу, Киев. Это явление назвали «зубатовщиной» или «полицейским социализмом».</w:t>
      </w:r>
    </w:p>
    <w:p>
      <w:pPr>
        <w:pStyle w:val="BodyText"/>
      </w:pPr>
      <w:r>
        <w:t xml:space="preserve">Опыт провалился. Летом 1903 года «зубатовские» организации в Одессе оказались во главе всеобщей стачки. Фабриканты жаловались в Министерство финансов, что полиция подстрекает рабочих против хозяев. В августе 1903 года Зубатов был отставлен. Продолжением его опыта стало «Собрание русских фабрично-заводских рабочих Санкт-Петербурга» священника Г. А. Гапона, созданное в 1904 году; к нему мы вернёмся в теме 6.5, в рассказе о 9 января.</w:t>
      </w:r>
    </w:p>
    <w:p>
      <w:pPr>
        <w:pStyle w:val="BodyText"/>
      </w:pPr>
      <w:r>
        <w:t xml:space="preserve">Министром внутренних дел после убийства Сипягина стал В. К. Плеве (1902–1904). Его курс — жёсткие меры против земства и печати, русификация в Финляндии и Закавказье, сохранение общины и сословного строя. Плеве приписывают слова о том, что для удержания революции нужна «маленькая победоносная война»; источник этих слов — воспоминания Витте, враждебного Плеве, и их достоверность в историографии оспаривается.</w:t>
      </w:r>
    </w:p>
    <w:p>
      <w:pPr>
        <w:pStyle w:val="BodyText"/>
      </w:pPr>
      <w:r>
        <w:t xml:space="preserve">Опыт Зубатова поучителен: организация, созданная властью для рабочих, неизбежно начинает защищать интересы рабочих — и тогда власть теряет над ней контроль.</w:t>
      </w:r>
    </w:p>
    <w:bookmarkEnd w:id="26"/>
    <w:bookmarkStart w:id="27" w:name="Xb450641181c8b5f9acb6f0c6c31a84df9af744c"/>
    <w:p>
      <w:pPr>
        <w:pStyle w:val="Heading2"/>
      </w:pPr>
      <w:r>
        <w:t xml:space="preserve">Вопрос пятый. Колониальные империи и Дальний Восток</w:t>
      </w:r>
    </w:p>
    <w:p>
      <w:pPr>
        <w:pStyle w:val="FirstParagraph"/>
      </w:pPr>
      <w:r>
        <w:rPr>
          <w:bCs/>
          <w:b/>
        </w:rPr>
        <w:t xml:space="preserve">[слайд 34 — вопрос пятый]</w:t>
      </w:r>
    </w:p>
    <w:p>
      <w:pPr>
        <w:pStyle w:val="BodyText"/>
      </w:pPr>
      <w:r>
        <w:t xml:space="preserve">Пятый вопрос выводит нас за пределы России. Программа называет образование колониальных империй XIX — начала XX века, столкновение интересов великих держав в Африке и Азии и Боксёрское восстание в Китае. Для России эта тема неотделима от дальневосточной политики, которая привела к войне с Японией.</w:t>
      </w:r>
    </w:p>
    <w:p>
      <w:pPr>
        <w:pStyle w:val="BodyText"/>
      </w:pPr>
      <w:r>
        <w:rPr>
          <w:bCs/>
          <w:b/>
        </w:rPr>
        <w:t xml:space="preserve">[слайд 35 — раздел мира и кризисы]</w:t>
      </w:r>
    </w:p>
    <w:p>
      <w:pPr>
        <w:pStyle w:val="BodyText"/>
      </w:pPr>
      <w:r>
        <w:t xml:space="preserve">Последняя четверть XIX века — время завершения раздела мира. Берлинская конференция 1884–1885 годов установила правила «эффективной оккупации» Африки: держава могла претендовать на территорию, если фактически её контролировала. Начался «бег за Африкой», и к 1900 году около 90 процентов континента было поделено между европейскими державами — Англией, Францией, Германией, Бельгией, Португалией, Италией.</w:t>
      </w:r>
    </w:p>
    <w:p>
      <w:pPr>
        <w:pStyle w:val="BodyText"/>
      </w:pPr>
      <w:r>
        <w:t xml:space="preserve">Раздел порождал столкновения. В 1898 году в Фашоде на Верхнем Ниле встретились французский и английский отряды, и державы оказались на грани войны; Франция отступила. В том же году испано-американская война передала США Филиппины, Пуэрто-Рико и Гуам: в клуб колониальных держав вошла Америка. В 1899–1902 годах Англия вела войну с бурскими республиками в Южной Африке; общественное мнение России горячо сочувствовало бурам, в армию буров уходили русские добровольцы. Японо-китайская война 1894–1895 годов показала, что в Азии появилась новая великая держава — Япония.</w:t>
      </w:r>
    </w:p>
    <w:p>
      <w:pPr>
        <w:pStyle w:val="BodyText"/>
      </w:pPr>
      <w:r>
        <w:t xml:space="preserve">Где в этой картине Россия? Россия — континентальная империя без заморских колоний. Её расширение шло по суше: в Среднюю Азию, где в 1880-е годы завершилось присоединение Туркмении, в Сибирь и на Дальний Восток. Именно на Дальнем Востоке интересы России столкнулись с интересами морских держав и Японии.</w:t>
      </w:r>
    </w:p>
    <w:p>
      <w:pPr>
        <w:pStyle w:val="BodyText"/>
      </w:pPr>
      <w:r>
        <w:t xml:space="preserve">На слайде — «Карта колоний» из русского атласа начала XX века с диаграммами площади и населения колониальных владений: так мир начала века видели современники.</w:t>
      </w:r>
    </w:p>
    <w:p>
      <w:pPr>
        <w:pStyle w:val="BodyText"/>
      </w:pPr>
      <w:r>
        <w:rPr>
          <w:bCs/>
          <w:b/>
        </w:rPr>
        <w:t xml:space="preserve">[слайд 36 — китайский «пирог» и Маньчжурия]</w:t>
      </w:r>
    </w:p>
    <w:p>
      <w:pPr>
        <w:pStyle w:val="BodyText"/>
      </w:pPr>
      <w:r>
        <w:t xml:space="preserve">Карикатура Анри Мейера из французской газеты «Le Petit Journal» от 16 января 1898 года называется «В Китае. Пирог королей и… императоров». Королева Виктория, германский император Вильгельм II, русский император Николай II, Марианна — символ Франции — и японский самурай делят пирог с надписью «Chine»; за их спинами в ужасе воздевает руки китайский сановник. Карикатура точно передаёт то, что происходило в 1895–1898 годах, — «битву за концессии».</w:t>
      </w:r>
    </w:p>
    <w:p>
      <w:pPr>
        <w:pStyle w:val="BodyText"/>
      </w:pPr>
      <w:r>
        <w:t xml:space="preserve">Россия вступила в неё в 1895 году. По Симоносекскому договору Япония получила от побеждённого Китая Ляодунский полуостров с Порт-Артуром, но Россия, Германия и Франция совместно потребовали вернуть его — так называемая тройственная интервенция. Япония уступила, но запомнила. В 1896 году Витте заключил с китайским сановником Ли Хунчжаном союзный договор против Японии; Россия получила концессию на строительство Китайско-Восточной железной дороги через Маньчжурию. Путь во Владивосток сокращался на сотни вёрст, а Маньчжурия становилась сферой русского влияния.</w:t>
      </w:r>
    </w:p>
    <w:p>
      <w:pPr>
        <w:pStyle w:val="BodyText"/>
      </w:pPr>
      <w:r>
        <w:t xml:space="preserve">В ноябре 1897 года Германия заняла бухту Цзяочжоу. В ответ Россия в марте 1898 года арендовала у Китая на 25 лет южную часть Ляодунского полуострова с Порт-Артуром и Дальним — тот самый полуостров, который тремя годами раньше заставила Японию вернуть. Англия арендовала Вэйхайвэй, Франция — Гуанчжоувань. В 1899 году США выдвинули доктрину «открытых дверей» — равного доступа всех держав к китайскому рынку.</w:t>
      </w:r>
    </w:p>
    <w:p>
      <w:pPr>
        <w:pStyle w:val="BodyText"/>
      </w:pPr>
      <w:r>
        <w:t xml:space="preserve">Витте рассчитывал на «мирное проникновение»: железную дорогу, Русско-Китайский банк, торговлю. Он возражал против захвата Порт-Артура. Захват превратил экономический проект в военно-морской и сделал Японию противником.</w:t>
      </w:r>
    </w:p>
    <w:p>
      <w:pPr>
        <w:pStyle w:val="BodyText"/>
      </w:pPr>
      <w:r>
        <w:rPr>
          <w:bCs/>
          <w:b/>
        </w:rPr>
        <w:t xml:space="preserve">[слайд 37 — ихэтуаньское восстание]</w:t>
      </w:r>
    </w:p>
    <w:p>
      <w:pPr>
        <w:pStyle w:val="BodyText"/>
      </w:pPr>
      <w:r>
        <w:t xml:space="preserve">Ответом китайского общества на раздел страны стало восстание ихэтуаней (1899–1901). Название движения — «Ихэтуань», «отряды справедливости и мира»; европейцы называли его участников «боксёрами» из-за практики кулачного боя. Движение выступило против иностранцев, миссионеров и китайцев-христиан, против железных дорог и телеграфа как символов чужого присутствия. Правительство императрицы Цыси сначала колебалось, затем поддержало восставших и объявило войну державам. Летом 1900 года повстанцы и правительственные войска 55 дней осаждали посольский квартал Пекина.</w:t>
      </w:r>
    </w:p>
    <w:p>
      <w:pPr>
        <w:pStyle w:val="BodyText"/>
      </w:pPr>
      <w:r>
        <w:t xml:space="preserve">Против Китая выступили восемь держав: Россия, Япония, Англия, Франция, Германия, США, Австро-Венгрия и Италия. 14 августа 1900 года союзные войска взяли Пекин; русские части генерала Н. П. Линевича первыми подошли к городу. Заключительный протокол 1901 года обязал Китай выплатить контрибуцию в 450 миллионов лянов серебра; доля России была наибольшей.</w:t>
      </w:r>
    </w:p>
    <w:p>
      <w:pPr>
        <w:pStyle w:val="BodyText"/>
      </w:pPr>
      <w:r>
        <w:t xml:space="preserve">Для России восстание имело особые последствия. Ихэтуани нападали на строящуюся КВЖД, летом 1900 года с китайского берега был обстрелян Благовещенск, в ответ русские власти провели массовое выселение китайского населения за Амур, сопровождавшееся гибелью многих людей. Русские войска заняли всю Маньчжурию. В апреле 1902 года Россия обязалась вывести их в три этапа в течение полутора лет, однако выполнила лишь первый этап. Невыполненное обещание уйти из Маньчжурии стало главным пунктом спора с Японией.</w:t>
      </w:r>
    </w:p>
    <w:p>
      <w:pPr>
        <w:pStyle w:val="BodyText"/>
      </w:pPr>
      <w:r>
        <w:rPr>
          <w:bCs/>
          <w:b/>
        </w:rPr>
        <w:t xml:space="preserve">[слайд 38 — путь к войне: две политики в Петербурге]</w:t>
      </w:r>
    </w:p>
    <w:p>
      <w:pPr>
        <w:pStyle w:val="BodyText"/>
      </w:pPr>
      <w:r>
        <w:t xml:space="preserve">В 1902–1903 годах в Петербурге боролись две линии дальневосточной политики.</w:t>
      </w:r>
    </w:p>
    <w:p>
      <w:pPr>
        <w:pStyle w:val="BodyText"/>
      </w:pPr>
      <w:r>
        <w:t xml:space="preserve">Линия Витте и министра иностранных дел В. Н. Ламсдорфа — экономическое проникновение, вывод войск из Маньчжурии и договорённость с Японией на основе разграничения сфер: Корея — японская сфера, Маньчжурия — русская.</w:t>
      </w:r>
    </w:p>
    <w:p>
      <w:pPr>
        <w:pStyle w:val="BodyText"/>
      </w:pPr>
      <w:r>
        <w:t xml:space="preserve">Линия так называемой «безобразовской группы». Отставной офицер, затем статс-секретарь А. М. Безобразов и его круг, в который входили контр-адмирал А. М. Абаза и министр внутренних дел Плеве, получили у царя поддержку проекта лесной концессии на реке Ялу в Северной Корее. Это было частное предприятие, финансируемое из казны и охраняемое солдатами. Безобразовцы убеждали царя, что Япония не решится воевать и что твёрдость лучше уступок.</w:t>
      </w:r>
    </w:p>
    <w:p>
      <w:pPr>
        <w:pStyle w:val="BodyText"/>
      </w:pPr>
      <w:r>
        <w:t xml:space="preserve">Смотрите на хронологию. В январе 1902 года был заключён англо-японский союз: Япония получила гарантию, что в случае войны с Россией будет воевать с ней один на один, без вмешательства третьих держав. В июле 1903 года на Дальнем Востоке учреждено наместничество во главе с адмиралом Е. И. Алексеевым, который получил право вести дипломатические переговоры в регионе в обход министерства иностранных дел. В августе 1903 года Витте был удалён из Министерства финансов. Переговоры с Японией 1903 года шли медленно; 24 января 1904 года Япония разорвала дипломатические отношения.</w:t>
      </w:r>
    </w:p>
    <w:p>
      <w:pPr>
        <w:pStyle w:val="BodyText"/>
      </w:pPr>
      <w:r>
        <w:t xml:space="preserve">Главное здесь — механизм принятия решений. В России не было объединённого правительства: министры докладывали царю поодиночке, и неформальный круг у престола оказался сильнее министерств. Решения о войне и мире принимались вне правительства как коллегии. Это отсутствие институционального порядка стоило России войны.</w:t>
      </w:r>
    </w:p>
    <w:p>
      <w:pPr>
        <w:pStyle w:val="BodyText"/>
      </w:pPr>
      <w:r>
        <w:rPr>
          <w:bCs/>
          <w:b/>
        </w:rPr>
        <w:t xml:space="preserve">[слайд 39 — русско-японская война: 1904 год]</w:t>
      </w:r>
    </w:p>
    <w:p>
      <w:pPr>
        <w:pStyle w:val="BodyText"/>
      </w:pPr>
      <w:r>
        <w:t xml:space="preserve">В ночь на 27 января 1904 года японские миноносцы атаковали русскую эскадру на внешнем рейде Порт-Артура. Днём 27 января у корейского порта Чемульпо крейсер «Варяг» и канонерская лодка «Кореец» приняли бой с японской эскадрой; после боя «Варяг» был затоплен, «Кореец» взорван экипажем. Командир «Варяга» В. Ф. Руднев и его экипаж стали национальными героями.</w:t>
      </w:r>
    </w:p>
    <w:p>
      <w:pPr>
        <w:pStyle w:val="BodyText"/>
      </w:pPr>
      <w:r>
        <w:t xml:space="preserve">31 марта 1904 года на мине подорвался броненосец «Петропавловск»; погибли командующий флотом адмирал С. О. Макаров, одарённый флотоводец и учёный-океанограф, и художник-баталист В. В. Верещагин. В августе 1904 года в сражении под Ляояном армия А. Н. Куропаткина отошла на север; началась осада Порт-Артура, продолжавшаяся пять месяцев. 20 декабря 1904 года крепость была сдана. Дальнейшие события — Мукден, Цусима, Портсмутский мир — относятся к 1905 году и рассматриваются в теме 6.5.</w:t>
      </w:r>
    </w:p>
    <w:p>
      <w:pPr>
        <w:pStyle w:val="BodyText"/>
      </w:pPr>
      <w:r>
        <w:t xml:space="preserve">Причины неудач: однопутный Транссиб, пропускавший несколько пар поездов в сутки, отсутствие Кругобайкальского участка в первые месяцы войны, удалённость театра военных действий на 8 тысяч километров от центра страны, недооценка противника, плохое взаимодействие армии и флота. Поражения превратили недовольство общества в прямое обвинение власти в неспособности управлять. Обратите внимание на связь с первым часом: главный символ модернизации, Транссиб, стал и главным ограничением войны.</w:t>
      </w:r>
    </w:p>
    <w:bookmarkEnd w:id="27"/>
    <w:bookmarkStart w:id="28" w:name="X7bd7ddde939d0b9eea4aba56e31ee5d8c031c57"/>
    <w:p>
      <w:pPr>
        <w:pStyle w:val="Heading2"/>
      </w:pPr>
      <w:r>
        <w:t xml:space="preserve">Вопрос шестой. Нарастание политического кризиса</w:t>
      </w:r>
    </w:p>
    <w:p>
      <w:pPr>
        <w:pStyle w:val="FirstParagraph"/>
      </w:pPr>
      <w:r>
        <w:rPr>
          <w:bCs/>
          <w:b/>
        </w:rPr>
        <w:t xml:space="preserve">[слайд 40 — вопрос шестой]</w:t>
      </w:r>
    </w:p>
    <w:p>
      <w:pPr>
        <w:pStyle w:val="BodyText"/>
      </w:pPr>
      <w:r>
        <w:t xml:space="preserve">Шестой вопрос соединяет всё сказанное. Программа называет его «нарастание политического кризиса». Рассмотрим признаки кризиса в 1902–1904 годах и попытку власти изменить курс осенью 1904 года.</w:t>
      </w:r>
    </w:p>
    <w:p>
      <w:pPr>
        <w:pStyle w:val="BodyText"/>
      </w:pPr>
      <w:r>
        <w:rPr>
          <w:bCs/>
          <w:b/>
        </w:rPr>
        <w:t xml:space="preserve">[слайд 41 — признаки кризиса: деревня, улица, подполье, верхи]</w:t>
      </w:r>
    </w:p>
    <w:p>
      <w:pPr>
        <w:pStyle w:val="BodyText"/>
      </w:pPr>
      <w:r>
        <w:t xml:space="preserve">Кризис проявлялся на четырёх уровнях.</w:t>
      </w:r>
    </w:p>
    <w:p>
      <w:pPr>
        <w:pStyle w:val="BodyText"/>
      </w:pPr>
      <w:r>
        <w:t xml:space="preserve">Деревня. Весной 1902 года крестьяне Полтавской и Харьковской губерний громили и растаскивали имущество помещичьих экономий. Власти ответили войсками, поркой, судом; на крестьян наложили взыскание в пользу пострадавших помещиков. Впервые за десятилетия волнения охватили сотни сёл одновременно.</w:t>
      </w:r>
    </w:p>
    <w:p>
      <w:pPr>
        <w:pStyle w:val="BodyText"/>
      </w:pPr>
      <w:r>
        <w:t xml:space="preserve">Улица. В 1902 году в Ростове-на-Дону прошла стачка с митингами под политическими лозунгами; в 1903 году — всеобщие стачки на юге и Златоуст. Экономические требования переходили в политические.</w:t>
      </w:r>
    </w:p>
    <w:p>
      <w:pPr>
        <w:pStyle w:val="BodyText"/>
      </w:pPr>
      <w:r>
        <w:t xml:space="preserve">Подполье. Террор эсеров: два министра внутренних дел убиты за два года. В апреле 1903 года в Кишинёве произошёл еврейский погром, в августе — погром в Гомеле: насилие на национальной почве стало частью политической жизни, а бездействие местных властей вызвало возмущение в России и за рубежом.</w:t>
      </w:r>
    </w:p>
    <w:p>
      <w:pPr>
        <w:pStyle w:val="BodyText"/>
      </w:pPr>
      <w:r>
        <w:t xml:space="preserve">Верхи. В России по-прежнему не было объединённого правительства. Министры докладывали царю поодиночке, открыто враждовали Витте и Плеве, важнейшие решения принимал неформальный круг. Война обнажила управленческий беспорядок.</w:t>
      </w:r>
    </w:p>
    <w:p>
      <w:pPr>
        <w:pStyle w:val="BodyText"/>
      </w:pPr>
      <w:r>
        <w:t xml:space="preserve">После убийства Плеве 15 июля 1904 года курс на подавление исчерпал себя: у власти не оказалось ни людей, ни аргументов для его продолжения. Николай II решил попробовать другой путь.</w:t>
      </w:r>
    </w:p>
    <w:p>
      <w:pPr>
        <w:pStyle w:val="BodyText"/>
      </w:pPr>
      <w:r>
        <w:rPr>
          <w:bCs/>
          <w:b/>
        </w:rPr>
        <w:t xml:space="preserve">[слайд 42 — «весна» Святополк-Мирского]</w:t>
      </w:r>
    </w:p>
    <w:p>
      <w:pPr>
        <w:pStyle w:val="BodyText"/>
      </w:pPr>
      <w:r>
        <w:t xml:space="preserve">26 августа 1904 года министром внутренних дел был назначен князь П. Д. Святополк-Мирский, бывший виленский генерал-губернатор, человек либеральных взглядов. В первой же речи перед чинами министерства он объявил, что основой политики должно стать «доверие» к обществу. Современники назвали осень 1904 года «весной» Святополк-Мирского, а сам этот период — «эпохой доверия».</w:t>
      </w:r>
    </w:p>
    <w:p>
      <w:pPr>
        <w:pStyle w:val="BodyText"/>
      </w:pPr>
      <w:r>
        <w:t xml:space="preserve">Началось смягчение цензуры; печать впервые открыто обсуждала реформы государственного строя. Были возвращены многие высланные земские деятели.</w:t>
      </w:r>
    </w:p>
    <w:p>
      <w:pPr>
        <w:pStyle w:val="BodyText"/>
      </w:pPr>
      <w:r>
        <w:t xml:space="preserve">6–9 ноября 1904 года в Петербурге прошёл частный земский съезд — власть его не разрешила официально, но и не запретила. Съезд принял 11 тезисов: неприкосновенность личности, свобода совести, слова, печати, собраний, равенство сословий. Большинство участников высказалось за народное представительство с законодательными правами, меньшинство во главе с Шиповым — за законосовещательное.</w:t>
      </w:r>
    </w:p>
    <w:p>
      <w:pPr>
        <w:pStyle w:val="BodyText"/>
      </w:pPr>
      <w:r>
        <w:t xml:space="preserve">20 ноября 1904 года, к 40-летию Судебных уставов, «Союз освобождения» начал банкетную кампанию: в городах империи прошли десятки банкетов, на которых произносились речи и поднимались тосты за конституцию. Форма была заимствована из истории Франции — банкетной кампании 1847–1848 годов накануне Февральской революции.</w:t>
      </w:r>
    </w:p>
    <w:p>
      <w:pPr>
        <w:pStyle w:val="BodyText"/>
      </w:pPr>
      <w:r>
        <w:t xml:space="preserve">12 декабря 1904 года был издан указ «О предначертаниях к усовершенствованию государственного порядка». Он обещал веротерпимость, смягчение цензуры, расширение прав земств, уравнение крестьян в правах, пересмотр исключительных положений. Однако пункт о привлечении выборных к законодательной работе, который предлагал Святополк-Мирский, царь вычеркнул по совету Витте и великого князя Сергея Александровича.</w:t>
      </w:r>
    </w:p>
    <w:p>
      <w:pPr>
        <w:pStyle w:val="BodyText"/>
      </w:pPr>
      <w:r>
        <w:t xml:space="preserve">«Весна» показала обществу, что власть готова уступить, и тут же — что уступит не главное. Через месяц наступило 9 января 1905 года. Это уже тема 6.5.</w:t>
      </w:r>
    </w:p>
    <w:p>
      <w:pPr>
        <w:pStyle w:val="BodyText"/>
      </w:pPr>
      <w:r>
        <w:rPr>
          <w:bCs/>
          <w:b/>
        </w:rPr>
        <w:t xml:space="preserve">[слайд 43 — спорят историки: почему кризис начался на подъёме]</w:t>
      </w:r>
    </w:p>
    <w:p>
      <w:pPr>
        <w:pStyle w:val="BodyText"/>
      </w:pPr>
      <w:r>
        <w:t xml:space="preserve">Вернёмся к вопросу, с которого начали. Почему политический кризис наступил после десятилетия быстрого роста, хотя голодным было начало 1890-х? В историографии три основные позиции.</w:t>
      </w:r>
    </w:p>
    <w:p>
      <w:pPr>
        <w:pStyle w:val="BodyText"/>
      </w:pPr>
      <w:r>
        <w:t xml:space="preserve">Первая — кризис системы. Это позиция советской историографии, которая описывала рубеж веков как «революционную ситуацию», созревшую из противоречий капитализма и пережитков крепостничества. Её демографическую версию предлагает С. А. Нефедов: аграрное перенаселение и падение потребления в центре сделали взрыв закономерным.</w:t>
      </w:r>
    </w:p>
    <w:p>
      <w:pPr>
        <w:pStyle w:val="BodyText"/>
      </w:pPr>
      <w:r>
        <w:t xml:space="preserve">Вторая — революция роста. Б. Н. Миронов и М. А. Давыдов доказывают, что благосостояние населения росло. Кризис, по их мнению, вызвали ожидания, опережавшие рост, радикализм интеллигенции, пропаганда оппозиции и поражение в войне. В западной социологии для таких случаев есть модель «J-кривой» Дж. Дэвиса: революция наступает, когда после периода роста ожидания резко расходятся с реальностью.</w:t>
      </w:r>
    </w:p>
    <w:p>
      <w:pPr>
        <w:pStyle w:val="BodyText"/>
      </w:pPr>
      <w:r>
        <w:t xml:space="preserve">Третья — кризис учреждений. К. А. Соловьёв и другие исследователи подчёркивают, что общество усложнилось, появились новые группы с собственными интересами, а самодержавие не создало законного канала для их выражения. Политический конфликт возник из разрыва между экономикой и институтами.</w:t>
      </w:r>
    </w:p>
    <w:p>
      <w:pPr>
        <w:pStyle w:val="BodyText"/>
      </w:pPr>
      <w:r>
        <w:t xml:space="preserve">Позиции расходятся в оценке положения деревни и в том, что считать причиной: бедность, рост ожиданий или устройство власти. Вторая и третья совместимы — именно на их пересечении строится концепция модернизации Витте — Столыпина.</w:t>
      </w:r>
    </w:p>
    <w:bookmarkEnd w:id="28"/>
    <w:bookmarkStart w:id="29" w:name="заключение"/>
    <w:p>
      <w:pPr>
        <w:pStyle w:val="Heading2"/>
      </w:pPr>
      <w:r>
        <w:t xml:space="preserve">Заключение</w:t>
      </w:r>
    </w:p>
    <w:p>
      <w:pPr>
        <w:pStyle w:val="FirstParagraph"/>
      </w:pPr>
      <w:r>
        <w:rPr>
          <w:bCs/>
          <w:b/>
        </w:rPr>
        <w:t xml:space="preserve">[слайд 44 — цена выбора]</w:t>
      </w:r>
    </w:p>
    <w:p>
      <w:pPr>
        <w:pStyle w:val="BodyText"/>
      </w:pPr>
      <w:r>
        <w:t xml:space="preserve">Подведём итог царствования Александра III и первых десяти лет Николая II.</w:t>
      </w:r>
    </w:p>
    <w:p>
      <w:pPr>
        <w:pStyle w:val="BodyText"/>
      </w:pPr>
      <w:r>
        <w:t xml:space="preserve">Что приобретено? Промышленный рывок и Транссиб, золотой рубль и доверие инвесторов. Новые города при дороге — Челябинск, Ново-Николаевск. Переселенческая политика и первый проект крестьянской собственности. Общество, умеющее организоваться: земские съезды, союзы, партии.</w:t>
      </w:r>
    </w:p>
    <w:p>
      <w:pPr>
        <w:pStyle w:val="BodyText"/>
      </w:pPr>
      <w:r>
        <w:t xml:space="preserve">Чем заплачено? Налоговой тяжестью и правовой изоляцией деревни. Отказом земству в голосе — и уходом общества в подполье и оппозицию. Террором, расстрелами, погромами. Дальневосточной авантюрой и войной, начатой без объединённого правительства.</w:t>
      </w:r>
    </w:p>
    <w:p>
      <w:pPr>
        <w:pStyle w:val="BodyText"/>
      </w:pPr>
      <w:r>
        <w:t xml:space="preserve">Ответ на вопрос из начала лекции: рост и кризис не противоречили друг другу. Модернизация создала новых людей и новые интересы — предпринимателей, инженеров, рабочих, студентов, земских специалистов, — а верховная власть оставила за собой монополию на решения и встретила войну без опоры в обществе.</w:t>
      </w:r>
    </w:p>
    <w:p>
      <w:pPr>
        <w:pStyle w:val="BodyText"/>
      </w:pPr>
      <w:r>
        <w:rPr>
          <w:bCs/>
          <w:b/>
        </w:rPr>
        <w:t xml:space="preserve">[слайд 45 — основные выводы]</w:t>
      </w:r>
    </w:p>
    <w:p>
      <w:pPr>
        <w:pStyle w:val="BodyText"/>
      </w:pPr>
      <w:r>
        <w:t xml:space="preserve">Восемь выводов по теме.</w:t>
      </w:r>
    </w:p>
    <w:p>
      <w:pPr>
        <w:numPr>
          <w:ilvl w:val="0"/>
          <w:numId w:val="1001"/>
        </w:numPr>
        <w:pStyle w:val="Compact"/>
      </w:pPr>
      <w:r>
        <w:t xml:space="preserve">Александр III поставил учреждения 1860-х годов под надзор; Николай II в 1895 году подтвердил неприкосновенность самодержавия.</w:t>
      </w:r>
    </w:p>
    <w:p>
      <w:pPr>
        <w:numPr>
          <w:ilvl w:val="0"/>
          <w:numId w:val="1001"/>
        </w:numPr>
        <w:pStyle w:val="Compact"/>
      </w:pPr>
      <w:r>
        <w:t xml:space="preserve">Модернизация Витте — Столыпина — единый государственный проект: сначала промышленность, рубль и дороги, затем земля и собственность.</w:t>
      </w:r>
    </w:p>
    <w:p>
      <w:pPr>
        <w:numPr>
          <w:ilvl w:val="0"/>
          <w:numId w:val="1001"/>
        </w:numPr>
        <w:pStyle w:val="Compact"/>
      </w:pPr>
      <w:r>
        <w:t xml:space="preserve">Рост 1890-х годов был реальным; спор идёт о его цене для деревни и о положении губерний центра.</w:t>
      </w:r>
    </w:p>
    <w:p>
      <w:pPr>
        <w:numPr>
          <w:ilvl w:val="0"/>
          <w:numId w:val="1001"/>
        </w:numPr>
        <w:pStyle w:val="Compact"/>
      </w:pPr>
      <w:r>
        <w:t xml:space="preserve">Челябинск стал воротами Сибири; Урал уступил металлургическое первенство Югу.</w:t>
      </w:r>
    </w:p>
    <w:p>
      <w:pPr>
        <w:numPr>
          <w:ilvl w:val="0"/>
          <w:numId w:val="1001"/>
        </w:numPr>
        <w:pStyle w:val="Compact"/>
      </w:pPr>
      <w:r>
        <w:t xml:space="preserve">До 1905 года сложилась протопартийная система: РСДРП и эсеры, освобожденцы и земцы, «Русское собрание».</w:t>
      </w:r>
    </w:p>
    <w:p>
      <w:pPr>
        <w:numPr>
          <w:ilvl w:val="0"/>
          <w:numId w:val="1001"/>
        </w:numPr>
        <w:pStyle w:val="Compact"/>
      </w:pPr>
      <w:r>
        <w:t xml:space="preserve">II съезд РСДРП сформулировал концепцию партии нового типа и раскололся на большевиков и меньшевиков.</w:t>
      </w:r>
    </w:p>
    <w:p>
      <w:pPr>
        <w:numPr>
          <w:ilvl w:val="0"/>
          <w:numId w:val="1001"/>
        </w:numPr>
        <w:pStyle w:val="Compact"/>
      </w:pPr>
      <w:r>
        <w:t xml:space="preserve">Раздел мира и «битва за концессии» в Китае привели Россию к столкновению с Японией.</w:t>
      </w:r>
    </w:p>
    <w:p>
      <w:pPr>
        <w:numPr>
          <w:ilvl w:val="0"/>
          <w:numId w:val="1001"/>
        </w:numPr>
        <w:pStyle w:val="Compact"/>
      </w:pPr>
      <w:r>
        <w:t xml:space="preserve">К концу 1904 года политический кризис стал открытым: общество требовало представительства, власть уступала частично.</w:t>
      </w:r>
    </w:p>
    <w:p>
      <w:pPr>
        <w:pStyle w:val="FirstParagraph"/>
      </w:pPr>
      <w:r>
        <w:rPr>
          <w:bCs/>
          <w:b/>
        </w:rPr>
        <w:t xml:space="preserve">[слайд 46 — вопросы и задания]</w:t>
      </w:r>
    </w:p>
    <w:p>
      <w:pPr>
        <w:pStyle w:val="BodyText"/>
      </w:pPr>
      <w:r>
        <w:t xml:space="preserve">Вопросы для обсуждения и задания для самостоятельной работы — на слайде и в файле вопросов и заданий к теме. Тестовые задания войдут в общий тест по разделу 6 (тема 6.9).</w:t>
      </w:r>
    </w:p>
    <w:p>
      <w:pPr>
        <w:pStyle w:val="BodyText"/>
      </w:pPr>
      <w:r>
        <w:rPr>
          <w:bCs/>
          <w:b/>
        </w:rPr>
        <w:t xml:space="preserve">[слайд 47 — литература]</w:t>
      </w:r>
    </w:p>
    <w:bookmarkEnd w:id="29"/>
    <w:bookmarkStart w:id="32" w:name="список-литературы"/>
    <w:p>
      <w:pPr>
        <w:pStyle w:val="Heading2"/>
      </w:pPr>
      <w:r>
        <w:t xml:space="preserve">Список литературы</w:t>
      </w:r>
    </w:p>
    <w:bookmarkStart w:id="30" w:name="источники-и-основная"/>
    <w:p>
      <w:pPr>
        <w:pStyle w:val="Heading3"/>
      </w:pPr>
      <w:r>
        <w:t xml:space="preserve">Источники и основная</w:t>
      </w:r>
    </w:p>
    <w:p>
      <w:pPr>
        <w:numPr>
          <w:ilvl w:val="0"/>
          <w:numId w:val="1002"/>
        </w:numPr>
        <w:pStyle w:val="Compact"/>
      </w:pPr>
      <w:r>
        <w:t xml:space="preserve">Витте С. Ю. Воспоминания. Т. 1–3.</w:t>
      </w:r>
    </w:p>
    <w:p>
      <w:pPr>
        <w:numPr>
          <w:ilvl w:val="0"/>
          <w:numId w:val="1002"/>
        </w:numPr>
        <w:pStyle w:val="Compact"/>
      </w:pPr>
      <w:r>
        <w:t xml:space="preserve">Витте С. Ю. Самодержавие и земство: конфиденциальная записка министра финансов статс-секретаря С. Ю. Витте (1899).</w:t>
      </w:r>
    </w:p>
    <w:p>
      <w:pPr>
        <w:numPr>
          <w:ilvl w:val="0"/>
          <w:numId w:val="1002"/>
        </w:numPr>
        <w:pStyle w:val="Compact"/>
      </w:pPr>
      <w:r>
        <w:t xml:space="preserve">Ленин В. И. Что делать? Наболевшие вопросы нашего движения (1902).</w:t>
      </w:r>
    </w:p>
    <w:p>
      <w:pPr>
        <w:numPr>
          <w:ilvl w:val="0"/>
          <w:numId w:val="1002"/>
        </w:numPr>
        <w:pStyle w:val="Compact"/>
      </w:pPr>
      <w:r>
        <w:t xml:space="preserve">Программы политических партий России. Конец XIX — начало XX в.</w:t>
      </w:r>
    </w:p>
    <w:p>
      <w:pPr>
        <w:numPr>
          <w:ilvl w:val="0"/>
          <w:numId w:val="1002"/>
        </w:numPr>
        <w:pStyle w:val="Compact"/>
      </w:pPr>
      <w:r>
        <w:t xml:space="preserve">История России с древнейших времён до наших дней / под ред. А. Н. Сахарова.</w:t>
      </w:r>
    </w:p>
    <w:bookmarkEnd w:id="30"/>
    <w:bookmarkStart w:id="31" w:name="дополнительная"/>
    <w:p>
      <w:pPr>
        <w:pStyle w:val="Heading3"/>
      </w:pPr>
      <w:r>
        <w:t xml:space="preserve">Дополнительная</w:t>
      </w:r>
    </w:p>
    <w:p>
      <w:pPr>
        <w:numPr>
          <w:ilvl w:val="0"/>
          <w:numId w:val="1003"/>
        </w:numPr>
        <w:pStyle w:val="Compact"/>
      </w:pPr>
      <w:r>
        <w:t xml:space="preserve">Давыдов М. А. Двадцать лет до Великой войны: российская модернизация Витте — Столыпина.</w:t>
      </w:r>
    </w:p>
    <w:p>
      <w:pPr>
        <w:numPr>
          <w:ilvl w:val="0"/>
          <w:numId w:val="1003"/>
        </w:numPr>
        <w:pStyle w:val="Compact"/>
      </w:pPr>
      <w:r>
        <w:t xml:space="preserve">Ананьич Б. В., Ганелин Р. Ш. Сергей Юльевич Витте и его время.</w:t>
      </w:r>
    </w:p>
    <w:p>
      <w:pPr>
        <w:numPr>
          <w:ilvl w:val="0"/>
          <w:numId w:val="1003"/>
        </w:numPr>
        <w:pStyle w:val="Compact"/>
      </w:pPr>
      <w:r>
        <w:t xml:space="preserve">Соловьёв К. А. Кружок «Беседа»: в поисках новой политической реальности, 1899–1905.</w:t>
      </w:r>
    </w:p>
    <w:p>
      <w:pPr>
        <w:numPr>
          <w:ilvl w:val="0"/>
          <w:numId w:val="1003"/>
        </w:numPr>
        <w:pStyle w:val="Compact"/>
      </w:pPr>
      <w:r>
        <w:t xml:space="preserve">Гершенкрон А. Экономическая отсталость в исторической перспективе.</w:t>
      </w:r>
    </w:p>
    <w:p>
      <w:pPr>
        <w:numPr>
          <w:ilvl w:val="0"/>
          <w:numId w:val="1003"/>
        </w:numPr>
        <w:pStyle w:val="Compact"/>
      </w:pPr>
      <w:r>
        <w:t xml:space="preserve">Миронов Б. Н. Благосостояние населения и революции в имперской России.</w:t>
      </w:r>
    </w:p>
    <w:p>
      <w:pPr>
        <w:numPr>
          <w:ilvl w:val="0"/>
          <w:numId w:val="1003"/>
        </w:numPr>
        <w:pStyle w:val="Compact"/>
      </w:pPr>
      <w:r>
        <w:t xml:space="preserve">Нефедов С. А. Аграрные и демографические итоги русской революции.</w:t>
      </w:r>
    </w:p>
    <w:p>
      <w:pPr>
        <w:numPr>
          <w:ilvl w:val="0"/>
          <w:numId w:val="1003"/>
        </w:numPr>
        <w:pStyle w:val="Compact"/>
      </w:pPr>
      <w:r>
        <w:t xml:space="preserve">Лукоянов И. В. «Не отстать от держав…»: Россия на Дальнем Востоке в конце XIX — начале XX в.</w:t>
      </w:r>
    </w:p>
    <w:p>
      <w:pPr>
        <w:numPr>
          <w:ilvl w:val="0"/>
          <w:numId w:val="1003"/>
        </w:numPr>
        <w:pStyle w:val="Compact"/>
      </w:pPr>
      <w:r>
        <w:t xml:space="preserve">Зайончковский П. А. Российское самодержавие в конце XIX столетия.</w:t>
      </w:r>
    </w:p>
    <w:p>
      <w:pPr>
        <w:numPr>
          <w:ilvl w:val="0"/>
          <w:numId w:val="1003"/>
        </w:numPr>
        <w:pStyle w:val="Compact"/>
      </w:pPr>
      <w:r>
        <w:t xml:space="preserve">Политические партии России. Конец XIX — первая треть XX века: энциклопедия.</w:t>
      </w:r>
    </w:p>
    <w:p>
      <w:pPr>
        <w:pStyle w:val="FirstParagraph"/>
      </w:pPr>
      <w:r>
        <w:t xml:space="preserve">Выходные данные уточняются по последнему изданию. Книгу М. А. Давыдова полезно читать вместе с работами его оппонентов, прежде всего С. А. Нефедова: они дают разные оценки одной эпохи.</w:t>
      </w:r>
    </w:p>
    <w:bookmarkEnd w:id="31"/>
    <w:bookmarkEnd w:id="32"/>
    <w:bookmarkStart w:id="33" w:name="хронометраж"/>
    <w:p>
      <w:pPr>
        <w:pStyle w:val="Heading2"/>
      </w:pPr>
      <w:r>
        <w:t xml:space="preserve">Хронометраж</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Часть</w:t>
            </w:r>
          </w:p>
        </w:tc>
        <w:tc>
          <w:tcPr/>
          <w:p>
            <w:pPr>
              <w:pStyle w:val="Compact"/>
              <w:jc w:val="left"/>
            </w:pPr>
            <w:r>
              <w:t xml:space="preserve">Слайды</w:t>
            </w:r>
          </w:p>
        </w:tc>
        <w:tc>
          <w:tcPr/>
          <w:p>
            <w:pPr>
              <w:pStyle w:val="Compact"/>
              <w:jc w:val="left"/>
            </w:pPr>
            <w:r>
              <w:t xml:space="preserve">Время</w:t>
            </w:r>
          </w:p>
        </w:tc>
      </w:tr>
      <w:tr>
        <w:tc>
          <w:tcPr/>
          <w:p>
            <w:pPr>
              <w:pStyle w:val="Compact"/>
              <w:jc w:val="left"/>
            </w:pPr>
            <w:r>
              <w:t xml:space="preserve">Вводная часть</w:t>
            </w:r>
          </w:p>
        </w:tc>
        <w:tc>
          <w:tcPr/>
          <w:p>
            <w:pPr>
              <w:pStyle w:val="Compact"/>
              <w:jc w:val="left"/>
            </w:pPr>
            <w:r>
              <w:t xml:space="preserve">1–4</w:t>
            </w:r>
          </w:p>
        </w:tc>
        <w:tc>
          <w:tcPr/>
          <w:p>
            <w:pPr>
              <w:pStyle w:val="Compact"/>
              <w:jc w:val="left"/>
            </w:pPr>
            <w:r>
              <w:t xml:space="preserve">5 мин</w:t>
            </w:r>
          </w:p>
        </w:tc>
      </w:tr>
      <w:tr>
        <w:tc>
          <w:tcPr/>
          <w:p>
            <w:pPr>
              <w:pStyle w:val="Compact"/>
              <w:jc w:val="left"/>
            </w:pPr>
            <w:r>
              <w:t xml:space="preserve">Вопрос первый</w:t>
            </w:r>
          </w:p>
        </w:tc>
        <w:tc>
          <w:tcPr/>
          <w:p>
            <w:pPr>
              <w:pStyle w:val="Compact"/>
              <w:jc w:val="left"/>
            </w:pPr>
            <w:r>
              <w:t xml:space="preserve">5–8</w:t>
            </w:r>
          </w:p>
        </w:tc>
        <w:tc>
          <w:tcPr/>
          <w:p>
            <w:pPr>
              <w:pStyle w:val="Compact"/>
              <w:jc w:val="left"/>
            </w:pPr>
            <w:r>
              <w:t xml:space="preserve">9 мин</w:t>
            </w:r>
          </w:p>
        </w:tc>
      </w:tr>
      <w:tr>
        <w:tc>
          <w:tcPr/>
          <w:p>
            <w:pPr>
              <w:pStyle w:val="Compact"/>
              <w:jc w:val="left"/>
            </w:pPr>
            <w:r>
              <w:t xml:space="preserve">Вопрос второй</w:t>
            </w:r>
          </w:p>
        </w:tc>
        <w:tc>
          <w:tcPr/>
          <w:p>
            <w:pPr>
              <w:pStyle w:val="Compact"/>
              <w:jc w:val="left"/>
            </w:pPr>
            <w:r>
              <w:t xml:space="preserve">9–20</w:t>
            </w:r>
          </w:p>
        </w:tc>
        <w:tc>
          <w:tcPr/>
          <w:p>
            <w:pPr>
              <w:pStyle w:val="Compact"/>
              <w:jc w:val="left"/>
            </w:pPr>
            <w:r>
              <w:t xml:space="preserve">22 мин</w:t>
            </w:r>
          </w:p>
        </w:tc>
      </w:tr>
      <w:tr>
        <w:tc>
          <w:tcPr/>
          <w:p>
            <w:pPr>
              <w:pStyle w:val="Compact"/>
              <w:jc w:val="left"/>
            </w:pPr>
            <w:r>
              <w:t xml:space="preserve">Вопрос третий</w:t>
            </w:r>
          </w:p>
        </w:tc>
        <w:tc>
          <w:tcPr/>
          <w:p>
            <w:pPr>
              <w:pStyle w:val="Compact"/>
              <w:jc w:val="left"/>
            </w:pPr>
            <w:r>
              <w:t xml:space="preserve">21–25</w:t>
            </w:r>
          </w:p>
        </w:tc>
        <w:tc>
          <w:tcPr/>
          <w:p>
            <w:pPr>
              <w:pStyle w:val="Compact"/>
              <w:jc w:val="left"/>
            </w:pPr>
            <w:r>
              <w:t xml:space="preserve">9 мин</w:t>
            </w:r>
          </w:p>
        </w:tc>
      </w:tr>
      <w:tr>
        <w:tc>
          <w:tcPr/>
          <w:p>
            <w:pPr>
              <w:pStyle w:val="Compact"/>
              <w:jc w:val="left"/>
            </w:pPr>
            <w:r>
              <w:t xml:space="preserve">Вопрос четвёртый</w:t>
            </w:r>
          </w:p>
        </w:tc>
        <w:tc>
          <w:tcPr/>
          <w:p>
            <w:pPr>
              <w:pStyle w:val="Compact"/>
              <w:jc w:val="left"/>
            </w:pPr>
            <w:r>
              <w:t xml:space="preserve">26–33</w:t>
            </w:r>
          </w:p>
        </w:tc>
        <w:tc>
          <w:tcPr/>
          <w:p>
            <w:pPr>
              <w:pStyle w:val="Compact"/>
              <w:jc w:val="left"/>
            </w:pPr>
            <w:r>
              <w:t xml:space="preserve">15 мин</w:t>
            </w:r>
          </w:p>
        </w:tc>
      </w:tr>
      <w:tr>
        <w:tc>
          <w:tcPr/>
          <w:p>
            <w:pPr>
              <w:pStyle w:val="Compact"/>
              <w:jc w:val="left"/>
            </w:pPr>
            <w:r>
              <w:t xml:space="preserve">Вопрос пятый</w:t>
            </w:r>
          </w:p>
        </w:tc>
        <w:tc>
          <w:tcPr/>
          <w:p>
            <w:pPr>
              <w:pStyle w:val="Compact"/>
              <w:jc w:val="left"/>
            </w:pPr>
            <w:r>
              <w:t xml:space="preserve">34–39</w:t>
            </w:r>
          </w:p>
        </w:tc>
        <w:tc>
          <w:tcPr/>
          <w:p>
            <w:pPr>
              <w:pStyle w:val="Compact"/>
              <w:jc w:val="left"/>
            </w:pPr>
            <w:r>
              <w:t xml:space="preserve">13 мин</w:t>
            </w:r>
          </w:p>
        </w:tc>
      </w:tr>
      <w:tr>
        <w:tc>
          <w:tcPr/>
          <w:p>
            <w:pPr>
              <w:pStyle w:val="Compact"/>
              <w:jc w:val="left"/>
            </w:pPr>
            <w:r>
              <w:t xml:space="preserve">Вопрос шестой</w:t>
            </w:r>
          </w:p>
        </w:tc>
        <w:tc>
          <w:tcPr/>
          <w:p>
            <w:pPr>
              <w:pStyle w:val="Compact"/>
              <w:jc w:val="left"/>
            </w:pPr>
            <w:r>
              <w:t xml:space="preserve">40–43</w:t>
            </w:r>
          </w:p>
        </w:tc>
        <w:tc>
          <w:tcPr/>
          <w:p>
            <w:pPr>
              <w:pStyle w:val="Compact"/>
              <w:jc w:val="left"/>
            </w:pPr>
            <w:r>
              <w:t xml:space="preserve">11 мин</w:t>
            </w:r>
          </w:p>
        </w:tc>
      </w:tr>
      <w:tr>
        <w:tc>
          <w:tcPr/>
          <w:p>
            <w:pPr>
              <w:pStyle w:val="Compact"/>
              <w:jc w:val="left"/>
            </w:pPr>
            <w:r>
              <w:t xml:space="preserve">Заключение</w:t>
            </w:r>
          </w:p>
        </w:tc>
        <w:tc>
          <w:tcPr/>
          <w:p>
            <w:pPr>
              <w:pStyle w:val="Compact"/>
              <w:jc w:val="left"/>
            </w:pPr>
            <w:r>
              <w:t xml:space="preserve">44–47</w:t>
            </w:r>
          </w:p>
        </w:tc>
        <w:tc>
          <w:tcPr/>
          <w:p>
            <w:pPr>
              <w:pStyle w:val="Compact"/>
              <w:jc w:val="left"/>
            </w:pPr>
            <w:r>
              <w:t xml:space="preserve">6 мин</w:t>
            </w:r>
          </w:p>
        </w:tc>
      </w:tr>
    </w:tbl>
    <w:p>
      <w:pPr>
        <w:pStyle w:val="BodyText"/>
      </w:pPr>
      <w:r>
        <w:t xml:space="preserve">Второй вопрос расширен: на модернизацию Витте — Столыпина отведена почти половина первого часа. При нехватке времени в первом часе сокращаются слайд 13 (денежная реформа излагается одной фразой на слайде 12) и слайд 23 (студенческое движение переносится на семинар), во втором — слайд 32 (либералы и правые даются по схеме слайда 28) и слайд 37 (восстание ихэтуаней излагается кратко). Сокращать слайды 10, 12, 19 и 20 не следует: на них держится концепция модернизации, а слайд 43 отвечает на вопрос, поставленный в начале лекции.</w:t>
      </w:r>
    </w:p>
    <w:bookmarkEnd w:id="33"/>
    <w:bookmarkStart w:id="34" w:name="примечание-об-иллюстрациях"/>
    <w:p>
      <w:pPr>
        <w:pStyle w:val="Heading2"/>
      </w:pPr>
      <w:r>
        <w:t xml:space="preserve">Примечание об иллюстрациях</w:t>
      </w:r>
    </w:p>
    <w:p>
      <w:pPr>
        <w:pStyle w:val="FirstParagraph"/>
      </w:pPr>
      <w:r>
        <w:t xml:space="preserve">Изображения взяты из папки «фото доп» и вшиты в деку. Заполнены слайды:</w:t>
      </w:r>
    </w:p>
    <w:p>
      <w:pPr>
        <w:numPr>
          <w:ilvl w:val="0"/>
          <w:numId w:val="1004"/>
        </w:numPr>
        <w:pStyle w:val="Compact"/>
      </w:pPr>
      <w:r>
        <w:t xml:space="preserve">слайд 2 — Л. Туксен, «Коронация Николая II в Успенском соборе» (1898);</w:t>
      </w:r>
    </w:p>
    <w:p>
      <w:pPr>
        <w:numPr>
          <w:ilvl w:val="0"/>
          <w:numId w:val="1004"/>
        </w:numPr>
        <w:pStyle w:val="Compact"/>
      </w:pPr>
      <w:r>
        <w:t xml:space="preserve">слайд 7 — коронационные торжества в Кремле, май 1896 г., две фотографии;</w:t>
      </w:r>
    </w:p>
    <w:p>
      <w:pPr>
        <w:numPr>
          <w:ilvl w:val="0"/>
          <w:numId w:val="1004"/>
        </w:numPr>
        <w:pStyle w:val="Compact"/>
      </w:pPr>
      <w:r>
        <w:t xml:space="preserve">слайд 11 — С. Ю. Витте;</w:t>
      </w:r>
    </w:p>
    <w:p>
      <w:pPr>
        <w:numPr>
          <w:ilvl w:val="0"/>
          <w:numId w:val="1004"/>
        </w:numPr>
        <w:pStyle w:val="Compact"/>
      </w:pPr>
      <w:r>
        <w:t xml:space="preserve">слайд 15 — вокзал станции Челябинск, две открытки;</w:t>
      </w:r>
    </w:p>
    <w:p>
      <w:pPr>
        <w:numPr>
          <w:ilvl w:val="0"/>
          <w:numId w:val="1004"/>
        </w:numPr>
        <w:pStyle w:val="Compact"/>
      </w:pPr>
      <w:r>
        <w:t xml:space="preserve">слайд 16 — Челябинский вокзал и переселенческий пункт, открытка;</w:t>
      </w:r>
    </w:p>
    <w:p>
      <w:pPr>
        <w:numPr>
          <w:ilvl w:val="0"/>
          <w:numId w:val="1004"/>
        </w:numPr>
        <w:pStyle w:val="Compact"/>
      </w:pPr>
      <w:r>
        <w:t xml:space="preserve">слайд 29 — «Искра», № 1, первая полоса и шапка;</w:t>
      </w:r>
    </w:p>
    <w:p>
      <w:pPr>
        <w:numPr>
          <w:ilvl w:val="0"/>
          <w:numId w:val="1004"/>
        </w:numPr>
        <w:pStyle w:val="Compact"/>
      </w:pPr>
      <w:r>
        <w:t xml:space="preserve">слайд 33 — С. В. Зубатов и В. К. Плеве;</w:t>
      </w:r>
    </w:p>
    <w:p>
      <w:pPr>
        <w:numPr>
          <w:ilvl w:val="0"/>
          <w:numId w:val="1004"/>
        </w:numPr>
        <w:pStyle w:val="Compact"/>
      </w:pPr>
      <w:r>
        <w:t xml:space="preserve">слайд 35 — «Карта колоний» из русского атласа;</w:t>
      </w:r>
    </w:p>
    <w:p>
      <w:pPr>
        <w:numPr>
          <w:ilvl w:val="0"/>
          <w:numId w:val="1004"/>
        </w:numPr>
        <w:pStyle w:val="Compact"/>
      </w:pPr>
      <w:r>
        <w:t xml:space="preserve">слайд 36 — А. Мейер, «В Китае. Пирог королей и… императоров» (1898);</w:t>
      </w:r>
    </w:p>
    <w:p>
      <w:pPr>
        <w:numPr>
          <w:ilvl w:val="0"/>
          <w:numId w:val="1004"/>
        </w:numPr>
        <w:pStyle w:val="Compact"/>
      </w:pPr>
      <w:r>
        <w:t xml:space="preserve">слайд 37 — ихэтуани, фотография и иллюстрация;</w:t>
      </w:r>
    </w:p>
    <w:p>
      <w:pPr>
        <w:numPr>
          <w:ilvl w:val="0"/>
          <w:numId w:val="1004"/>
        </w:numPr>
        <w:pStyle w:val="Compact"/>
      </w:pPr>
      <w:r>
        <w:t xml:space="preserve">слайд 39 — карта русско-японской войны и крейсер «Варяг»;</w:t>
      </w:r>
    </w:p>
    <w:p>
      <w:pPr>
        <w:numPr>
          <w:ilvl w:val="0"/>
          <w:numId w:val="1004"/>
        </w:numPr>
        <w:pStyle w:val="Compact"/>
      </w:pPr>
      <w:r>
        <w:t xml:space="preserve">слайд 42 — П. Д. Святополк-Мирский.</w:t>
      </w:r>
    </w:p>
    <w:p>
      <w:pPr>
        <w:pStyle w:val="FirstParagraph"/>
      </w:pPr>
      <w:r>
        <w:t xml:space="preserve">Не использованы: третье изображение коронации, вторая открытка переселенческого пункта (общий вид 1906 г.), вторая карта колоний, вторая карикатура о Китае, план штурмов Порт-Артура. Файл «6.4_10_банкет_1904_1.jpg» не подходит: на нём приглашение на свадьбу 1908 года; для слайда 42 нужен подлинный пригласительный билет или меню банкета ноября 1904 г. Слоты титульного коллажа не заполняются.</w:t>
      </w:r>
    </w:p>
    <w:bookmarkEnd w:id="34"/>
    <w:bookmarkEnd w:id="35"/>
    <w:sectPr>
      <w:pgSz w:h="16838" w:w="11906"/>
      <w:pgMar w:bottom="1134" w:left="1701" w:right="850"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360" w:lineRule="auto"/>
    </w:pPr>
    <w:rPr>
      <w:rFonts w:ascii="Times New Roman" w:cs="Times New Roman" w:eastAsia="Times New Roman" w:hAnsi="Times New Roman"/>
      <w:color w:val="000000"/>
      <w:sz w:val="28"/>
    </w:rPr>
  </w:style>
  <w:style w:styleId="BodyText" w:type="paragraph">
    <w:name w:val="Body Text"/>
    <w:basedOn w:val="Normal"/>
    <w:link w:val="BodyTextChar"/>
    <w:pPr>
      <w:spacing w:after="0" w:before="0" w:line="360" w:lineRule="auto"/>
      <w:ind w:firstLine="709"/>
      <w:jc w:val="both"/>
    </w:pPr>
    <w:qFormat/>
    <w:rPr>
      <w:rFonts w:ascii="Times New Roman" w:cs="Times New Roman" w:eastAsia="Times New Roman" w:hAnsi="Times New Roman"/>
      <w:color w:val="000000"/>
      <w:sz w:val="28"/>
    </w:rPr>
  </w:style>
  <w:style w:customStyle="1" w:styleId="FirstParagraph" w:type="paragraph">
    <w:name w:val="First Paragraph"/>
    <w:basedOn w:val="BodyText"/>
    <w:next w:val="BodyText"/>
    <w:qFormat/>
    <w:pPr>
      <w:spacing w:after="0" w:before="0" w:line="360" w:lineRule="auto"/>
      <w:ind w:firstLine="709"/>
      <w:jc w:val="both"/>
    </w:pPr>
    <w:rPr>
      <w:rFonts w:ascii="Times New Roman" w:cs="Times New Roman" w:eastAsia="Times New Roman" w:hAnsi="Times New Roman"/>
      <w:color w:val="000000"/>
      <w:sz w:val="28"/>
    </w:rPr>
  </w:style>
  <w:style w:customStyle="1" w:styleId="Compact" w:type="paragraph">
    <w:name w:val="Compact"/>
    <w:basedOn w:val="BodyText"/>
    <w:qFormat/>
    <w:pPr>
      <w:spacing w:after="0" w:before="0" w:line="276" w:lineRule="auto"/>
      <w:ind w:firstLine="0"/>
      <w:jc w:val="left"/>
    </w:pPr>
    <w:rPr>
      <w:rFonts w:ascii="Times New Roman" w:cs="Times New Roman" w:eastAsia="Times New Roman" w:hAnsi="Times New Roman"/>
      <w:color w:val="000000"/>
      <w:sz w:val="24"/>
    </w:rPr>
  </w:style>
  <w:style w:styleId="Title" w:type="paragraph">
    <w:name w:val="Title"/>
    <w:basedOn w:val="Normal"/>
    <w:next w:val="BodyText"/>
    <w:qFormat/>
    <w:pPr>
      <w:keepNext/>
      <w:keepLines/>
      <w:spacing w:after="120" w:before="240"/>
      <w:ind w:firstLine="0"/>
      <w:jc w:val="center"/>
    </w:pPr>
    <w:rPr>
      <w:rFonts w:ascii="Times New Roman" w:cs="Times New Roman" w:eastAsia="Times New Roman" w:hAnsi="Times New Roman"/>
      <w:b/>
      <w:bCs/>
      <w:i w:val="0"/>
      <w:color w:val="000000"/>
      <w:sz w:val="32"/>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240"/>
      <w:ind w:firstLine="0"/>
      <w:jc w:val="center"/>
      <w:outlineLvl w:val="0"/>
    </w:pPr>
    <w:rPr>
      <w:rFonts w:ascii="Times New Roman" w:cs="Times New Roman" w:eastAsia="Times New Roman" w:hAnsi="Times New Roman"/>
      <w:b/>
      <w:bCs/>
      <w:i w:val="0"/>
      <w:color w:val="000000"/>
      <w:sz w:val="32"/>
      <w:szCs w:val="32"/>
    </w:rPr>
  </w:style>
  <w:style w:styleId="Heading2" w:type="paragraph">
    <w:name w:val="Heading 2"/>
    <w:basedOn w:val="Normal"/>
    <w:next w:val="BodyText"/>
    <w:uiPriority w:val="9"/>
    <w:unhideWhenUsed/>
    <w:qFormat/>
    <w:pPr>
      <w:keepNext/>
      <w:keepLines/>
      <w:spacing w:after="120" w:before="240"/>
      <w:ind w:firstLine="0"/>
      <w:jc w:val="left"/>
      <w:outlineLvl w:val="1"/>
    </w:pPr>
    <w:rPr>
      <w:rFonts w:ascii="Times New Roman" w:cs="Times New Roman" w:eastAsia="Times New Roman" w:hAnsi="Times New Roman"/>
      <w:b/>
      <w:bCs/>
      <w:i w:val="0"/>
      <w:color w:val="000000"/>
      <w:sz w:val="30"/>
      <w:szCs w:val="28"/>
    </w:rPr>
  </w:style>
  <w:style w:styleId="Heading3" w:type="paragraph">
    <w:name w:val="Heading 3"/>
    <w:basedOn w:val="Normal"/>
    <w:next w:val="BodyText"/>
    <w:uiPriority w:val="9"/>
    <w:unhideWhenUsed/>
    <w:qFormat/>
    <w:pPr>
      <w:keepNext/>
      <w:keepLines/>
      <w:spacing w:after="120" w:before="240"/>
      <w:ind w:firstLine="0"/>
      <w:jc w:val="left"/>
      <w:outlineLvl w:val="2"/>
    </w:pPr>
    <w:rPr>
      <w:rFonts w:ascii="Times New Roman" w:cs="Times New Roman" w:eastAsia="Times New Roman" w:hAnsi="Times New Roman"/>
      <w:b/>
      <w:bCs/>
      <w:i w:val="0"/>
      <w:color w:val="000000"/>
      <w:sz w:val="28"/>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0" w:before="0" w:line="360" w:lineRule="auto"/>
      <w:ind w:firstLine="0" w:left="480" w:right="480"/>
    </w:pPr>
    <w:rPr>
      <w:rFonts w:ascii="Times New Roman" w:cs="Times New Roman" w:eastAsia="Times New Roman" w:hAnsi="Times New Roman"/>
      <w:color w:val="000000"/>
      <w:sz w:val="28"/>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after="0" w:before="0" w:line="360" w:lineRule="auto"/>
    </w:pPr>
    <w:rPr>
      <w:rFonts w:ascii="Times New Roman" w:cs="Times New Roman" w:eastAsia="Times New Roman" w:hAnsi="Times New Roman"/>
      <w:color w:val="000000"/>
      <w:sz w:val="28"/>
    </w:r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2026-09-30T07:15:57Z</dcterms:created>
  <dcterms:modified xsi:type="dcterms:W3CDTF">2026-09-30T07:15:57Z</dcterms:modified>
</cp:coreProperties>
</file>

<file path=docProps/custom.xml><?xml version="1.0" encoding="utf-8"?>
<Properties xmlns="http://schemas.openxmlformats.org/officeDocument/2006/custom-properties" xmlns:vt="http://schemas.openxmlformats.org/officeDocument/2006/docPropsVTypes"/>
</file>