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тема-6.7.-первая-мировая-война-и-россия"/>
    <w:p>
      <w:pPr>
        <w:pStyle w:val="Heading1"/>
      </w:pPr>
      <w:r>
        <w:t xml:space="preserve">Тема 6.7. Первая мировая война и Россия</w:t>
      </w:r>
    </w:p>
    <w:p>
      <w:pPr>
        <w:pStyle w:val="FirstParagraph"/>
      </w:pPr>
      <w:r>
        <w:rPr>
          <w:bCs/>
          <w:b/>
        </w:rPr>
        <w:t xml:space="preserve">Раздел 6. Российская империя в XIX — начале XX в. · 2 академических часа · УК-5.1, УК-5.2, УК-5.3</w:t>
      </w:r>
    </w:p>
    <w:p>
      <w:pPr>
        <w:pStyle w:val="BodyText"/>
      </w:pPr>
      <w:r>
        <w:t xml:space="preserve">Дисциплина Б1.О.03 «История России» · 45.03.02 Лингвистика · заочная форма</w:t>
      </w:r>
    </w:p>
    <w:p>
      <w:pPr>
        <w:pStyle w:val="BodyText"/>
      </w:pPr>
      <w:r>
        <w:t xml:space="preserve">Колесников Михаил Алексеевич</w:t>
      </w:r>
    </w:p>
    <w:bookmarkEnd w:id="20"/>
    <w:bookmarkStart w:id="25" w:name="час-первый"/>
    <w:p>
      <w:pPr>
        <w:pStyle w:val="Heading1"/>
      </w:pPr>
      <w:r>
        <w:t xml:space="preserve">Час первый</w:t>
      </w:r>
    </w:p>
    <w:bookmarkStart w:id="21" w:name="вводная-часть"/>
    <w:p>
      <w:pPr>
        <w:pStyle w:val="Heading2"/>
      </w:pPr>
      <w:r>
        <w:t xml:space="preserve">Вводная часть</w:t>
      </w:r>
    </w:p>
    <w:p>
      <w:pPr>
        <w:pStyle w:val="FirstParagraph"/>
      </w:pPr>
      <w:r>
        <w:rPr>
          <w:bCs/>
          <w:b/>
        </w:rPr>
        <w:t xml:space="preserve">[слайд 1 — титул]</w:t>
      </w:r>
    </w:p>
    <w:p>
      <w:pPr>
        <w:pStyle w:val="BodyText"/>
      </w:pPr>
      <w:r>
        <w:t xml:space="preserve">Предыдущая тема закончилась июлем 1914 года: в тот момент Россия вступила в войну, которую современники считали короткой. Сегодняшняя тема — Первая мировая война и Россия. Программа выделяет в ней три сюжета. Первый — подготовка к большой европейской войне и спор об ответственности за её начало. Второй — начало войны, российское общественное мнение и события на Восточном фронте в 1914–1915 годах. Третий — значение войны для трансформации политической системы вплоть до февраля 1917 года. Хронологические рамки лекции — от Боснийского кризиса 1908 года до накануне Февральской революции; сама революция составляет предмет темы 7.1.</w:t>
      </w:r>
    </w:p>
    <w:p>
      <w:pPr>
        <w:pStyle w:val="BodyText"/>
      </w:pPr>
      <w:r>
        <w:rPr>
          <w:bCs/>
          <w:b/>
        </w:rPr>
        <w:t xml:space="preserve">[слайд 2 — постановка проблемы]</w:t>
      </w:r>
    </w:p>
    <w:p>
      <w:pPr>
        <w:pStyle w:val="BodyText"/>
      </w:pPr>
      <w:r>
        <w:t xml:space="preserve">Летом 1914 года и в обществе, и в армейских штабах рассчитывали на короткую кампанию и победу. К февралю 1917 года положение выглядело иначе. Империя потеряла миллионы людей убитыми, ранеными и пленными, оставила противнику Польшу, Литву и часть Латвии и Белоруссии, за два с половиной года прошла через четырёх председателей Совета министров и вступила в продовольственный кризис в столице. Военные успехи 1916 года политического кризиса не остановили.</w:t>
      </w:r>
    </w:p>
    <w:p>
      <w:pPr>
        <w:pStyle w:val="BodyText"/>
      </w:pPr>
      <w:r>
        <w:t xml:space="preserve">Отсюда вопрос лекции, к которому мы вернёмся в конце: что в устройстве империи выдержало испытание войной и что оказалось перегружено — представительная власть, исполнительная власть, экономика, армия, доверие к монархии.</w:t>
      </w:r>
    </w:p>
    <w:p>
      <w:pPr>
        <w:pStyle w:val="BodyText"/>
      </w:pPr>
      <w:r>
        <w:t xml:space="preserve">На слайде — юмористическая карта Европы 1914 года. Сатирические карты были популярным жанром накануне и в начале войны и показывают, как современники воспринимали расстановку сил на континенте.</w:t>
      </w:r>
    </w:p>
    <w:p>
      <w:pPr>
        <w:pStyle w:val="BodyText"/>
      </w:pPr>
      <w:r>
        <w:rPr>
          <w:bCs/>
          <w:b/>
        </w:rPr>
        <w:t xml:space="preserve">[слайд 3 — план лекции]</w:t>
      </w:r>
    </w:p>
    <w:p>
      <w:pPr>
        <w:pStyle w:val="BodyText"/>
      </w:pPr>
      <w:r>
        <w:t xml:space="preserve">Шесть вопросов. В первом часе — подготовка к большой войне, июль 1914 года и события на Восточном фронте в 1914–1915 годах. Во втором — политический кризис 1915–1916 годов, военные события и положение тыла в 1916 году и, наконец, период от «думского штурма» ноября 1916 года до продовольственного кризиса в Петрограде.</w:t>
      </w:r>
    </w:p>
    <w:p>
      <w:pPr>
        <w:pStyle w:val="BodyText"/>
      </w:pPr>
      <w:r>
        <w:rPr>
          <w:bCs/>
          <w:b/>
        </w:rPr>
        <w:t xml:space="preserve">[слайд 4 — координаты темы]</w:t>
      </w:r>
    </w:p>
    <w:p>
      <w:pPr>
        <w:pStyle w:val="BodyText"/>
      </w:pPr>
      <w:r>
        <w:t xml:space="preserve">Двенадцать опорных дат. 1907–1909 годы — англо-русское соглашение и Боснийский кризис. 1912–1913 годы — Балканские войны. 15 (28) июня 1914 года — убийство Франца Фердинанда в Сараеве. 19 июля (1 августа) 1914 года — Германия объявляет войну России. Август–сентябрь 1914 года — Восточная Пруссия и Галицийская битва. 16 (29) октября 1914 года — Османская империя вступает в войну. Май–сентябрь 1915 года — Горлицкий прорыв и Великое отступление. 25 августа (7 сентября) 1915 года — образование Прогрессивного блока. 22 мая (4 июня) 1916 года — начало Брусиловского прорыва. 1 (14) ноября 1916 года — речь Милюкова в Думе. 17 (30) декабря 1916 года — убийство Распутина. 23 февраля (8 марта) 1917 года — массовые выступления в Петрограде.</w:t>
      </w:r>
    </w:p>
    <w:p>
      <w:pPr>
        <w:pStyle w:val="BodyText"/>
      </w:pPr>
      <w:r>
        <w:t xml:space="preserve">Договоримся о датировке: события в России я называю по старому стилю, новый стиль даю в скобках.</w:t>
      </w:r>
    </w:p>
    <w:bookmarkEnd w:id="21"/>
    <w:bookmarkStart w:id="22" w:name="X7ae09bdd3c3f49187873397181d43b802acbf94"/>
    <w:p>
      <w:pPr>
        <w:pStyle w:val="Heading2"/>
      </w:pPr>
      <w:r>
        <w:t xml:space="preserve">Вопрос первый. Подготовка к большой европейской войне</w:t>
      </w:r>
    </w:p>
    <w:p>
      <w:pPr>
        <w:pStyle w:val="FirstParagraph"/>
      </w:pPr>
      <w:r>
        <w:rPr>
          <w:bCs/>
          <w:b/>
        </w:rPr>
        <w:t xml:space="preserve">[слайд 5 — вопрос первый]</w:t>
      </w:r>
    </w:p>
    <w:p>
      <w:pPr>
        <w:pStyle w:val="BodyText"/>
      </w:pPr>
      <w:r>
        <w:t xml:space="preserve">Программа формулирует первый вопрос так: подготовка к большой европейской войне, гонка вооружений, Боснийский кризис 1908–1909 годов, Балканские войны, общественные и историографические споры о зачинщике мировой войны. Начнём с международной системы.</w:t>
      </w:r>
    </w:p>
    <w:p>
      <w:pPr>
        <w:pStyle w:val="BodyText"/>
      </w:pPr>
      <w:r>
        <w:rPr>
          <w:bCs/>
          <w:b/>
        </w:rPr>
        <w:t xml:space="preserve">[слайд 6 — блоки и гонка вооружений]</w:t>
      </w:r>
    </w:p>
    <w:p>
      <w:pPr>
        <w:pStyle w:val="BodyText"/>
      </w:pPr>
      <w:r>
        <w:t xml:space="preserve">К 1914 году в Европе сложились два блока. Тройственный союз заключили в 1882 году Германия, Австро-Венгрия и Италия; Италия, правда, в августе 1914 года объявила нейтралитет, а в 1915 году вступила в войну на стороне Антанты. Второй блок складывался медленнее. Союз России и Франции оформили политическим соглашением 1891 года и военной конвенцией 1892 года, ратифицированной в 1894 году. В 1904 году Франция и Великобритания заключили Сердечное согласие, а в 1907 году Россия и Великобритания подписали соглашение о разграничении интересов в Персии, Афганистане и Тибете. Так возникло Тройственное согласие, или Антанта. Обратите внимание: у Великобритании не было союзного договора, обязывавшего её к участию в континентальной войне; этот факт играл заметную роль в июльском кризисе.</w:t>
      </w:r>
    </w:p>
    <w:p>
      <w:pPr>
        <w:pStyle w:val="BodyText"/>
      </w:pPr>
      <w:r>
        <w:t xml:space="preserve">На диаграмме показана численность армий мирного времени. Российская армия была крупнейшей: около 1,4 миллиона человек против примерно 890 тысяч в Германии и 800 тысяч во Франции. Цифры приблизительные, разные справочники дают немного различающиеся значения, но соотношение сохраняется. Британская сухопутная армия составляла около 250 тысяч; сила Великобритании заключалась во флоте.</w:t>
      </w:r>
    </w:p>
    <w:p>
      <w:pPr>
        <w:pStyle w:val="BodyText"/>
      </w:pPr>
      <w:r>
        <w:t xml:space="preserve">Гонка вооружений развивалась по нескольким направлениям. Германия приняла морские программы 1898 и 1900 годов, бросившие вызов британскому флоту; в 1906 году Великобритания спустила на воду «Дредноут», и морское соперничество перешло в новую фазу. В 1913 году Германия и Франция увеличили армии; французский закон о трёхлетней службе повысил численность войск мирного времени. Россия в том же году утвердила «Большую программу по усилению армии», рассчитанную на 1917 год.</w:t>
      </w:r>
    </w:p>
    <w:p>
      <w:pPr>
        <w:pStyle w:val="BodyText"/>
      </w:pPr>
      <w:r>
        <w:t xml:space="preserve">Вопрос для обсуждения: была ли гонка вооружений причиной войны или следствием взаимного недоверия держав? Мы вернёмся к нему при обсуждении историографических позиций.</w:t>
      </w:r>
    </w:p>
    <w:p>
      <w:pPr>
        <w:pStyle w:val="BodyText"/>
      </w:pPr>
      <w:r>
        <w:rPr>
          <w:bCs/>
          <w:b/>
        </w:rPr>
        <w:t xml:space="preserve">[слайд 7 — Россия накануне войны: армия и стратегия]</w:t>
      </w:r>
    </w:p>
    <w:p>
      <w:pPr>
        <w:pStyle w:val="BodyText"/>
      </w:pPr>
      <w:r>
        <w:t xml:space="preserve">Российская армия после поражения в войне с Японией прошла через реформы. Сократили срок службы, перестроили резервы и систему управления, создали Генеральный штаб как самостоятельный орган. «Большая программа по усилению армии» 1913 года по замыслу её авторов предусматривала значительный рост численности к 1917 году и модернизацию артиллерии. Отсюда важный вывод: многие военные и дипломаты понимали, что через три года Россия станет сильнее, и это влияло на оценки момента.</w:t>
      </w:r>
    </w:p>
    <w:p>
      <w:pPr>
        <w:pStyle w:val="BodyText"/>
      </w:pPr>
      <w:r>
        <w:t xml:space="preserve">Планы развёртывания были построены на мобилизационном плане № 19, редакции 1910–1912 годов. План допускал два варианта: главный удар по Австро-Венгрии или по Германии. Оба варианта предполагали сосредоточение главных сил на западной границе.</w:t>
      </w:r>
    </w:p>
    <w:p>
      <w:pPr>
        <w:pStyle w:val="BodyText"/>
      </w:pPr>
      <w:r>
        <w:t xml:space="preserve">Союзнические обязательства перед Францией определялись конвенцией 1892 года. На переговорах штабов в 1913 году Россия согласовала, что начнёт наступление на 15-й день мобилизации. Это условие оказало решающее влияние на начало кампании 1914 года: армии пришлось наступать до завершения сосредоточения.</w:t>
      </w:r>
    </w:p>
    <w:p>
      <w:pPr>
        <w:pStyle w:val="BodyText"/>
      </w:pPr>
      <w:r>
        <w:t xml:space="preserve">Слабые стороны армии были известны. Сеть железных дорог в западных губерниях была заметно реже германской, поэтому сосредоточение шло медленнее, чем у противника. Запасы боеприпасов рассчитывались на кратковременную кампанию, а тяжёлой артиллерии было мало. Оценки историков различаются. Генерал Н. Н. Головин в эмигрантских трудах и британский историк Н. Стоун сходятся в том, что армия была крупнейшей в Европе и уступала германской в технической оснащённости и подготовке резервов; современные авторы обращают внимание и на сильные стороны — лёгкую артиллерию и мобилизационные возможности.</w:t>
      </w:r>
    </w:p>
    <w:p>
      <w:pPr>
        <w:pStyle w:val="BodyText"/>
      </w:pPr>
      <w:r>
        <w:rPr>
          <w:bCs/>
          <w:b/>
        </w:rPr>
        <w:t xml:space="preserve">[слайд 8 — Боснийский кризис 1908–1909 годов]</w:t>
      </w:r>
    </w:p>
    <w:p>
      <w:pPr>
        <w:pStyle w:val="BodyText"/>
      </w:pPr>
      <w:r>
        <w:t xml:space="preserve">Первое серьёзное столкновение блоков — Боснийский кризис. В сентябре 1908 года министр иностранных дел А. П. Извольский встретился с австро-венгерским министром А. Эренталем в замке Бухлау. Достигнутая устная договорённость выглядела так: Россия не возражает против аннексии Боснии и Герцеговины, которые Австро-Венгрия оккупировала с 1878 года, а Австро-Венгрия поддерживает открытие Проливов для русских военных кораблей. Обмен обещаниями не был оформлен документами.</w:t>
      </w:r>
    </w:p>
    <w:p>
      <w:pPr>
        <w:pStyle w:val="BodyText"/>
      </w:pPr>
      <w:r>
        <w:t xml:space="preserve">В октябре 1908 года Австро-Венгрия объявила об аннексии; одновременно Болгария провозгласила независимость. Сербия и Черногория мобилизовали армии: население Боснии было сербским по языку и во многом по самосознанию. Великобритания и Франция не поддержали пересмотр статуса Проливов, и Извольский остался без обещанной компенсации.</w:t>
      </w:r>
    </w:p>
    <w:p>
      <w:pPr>
        <w:pStyle w:val="BodyText"/>
      </w:pPr>
      <w:r>
        <w:t xml:space="preserve">В марте 1909 года Германия поддержала союзницу и потребовала от России признать аннексию; Россия уступила, вслед за ней уступила и Сербия. Итоги кризиса: дипломатическое поражение России, рост панславистских настроений и критики Извольского в Думе и печати, а с 1910 года пост министра иностранных дел занял С. Д. Сазонов. На слайде — юмористическая карта Германии и Австро-Венгрии; сатирические издания рисовали двуединую монархию как силу, зависимую от немецкого союзника.</w:t>
      </w:r>
    </w:p>
    <w:p>
      <w:pPr>
        <w:pStyle w:val="BodyText"/>
      </w:pPr>
      <w:r>
        <w:rPr>
          <w:bCs/>
          <w:b/>
        </w:rPr>
        <w:t xml:space="preserve">[слайд 9 — Балканские войны 1912–1913 годов]</w:t>
      </w:r>
    </w:p>
    <w:p>
      <w:pPr>
        <w:pStyle w:val="BodyText"/>
      </w:pPr>
      <w:r>
        <w:t xml:space="preserve">Следующий этап — Балканские войны. Первая война, с октября 1912 по май 1913 года, была развязана Балканским союзом — Сербией, Болгарией, Грецией и Черногорией. Союз создавали при содействии российской дипломатии; он был направлен против Османской империи. Лондонский мир 30 мая 1913 года лишил Турцию почти всех европейских владений и привёл к образованию Албании.</w:t>
      </w:r>
    </w:p>
    <w:p>
      <w:pPr>
        <w:pStyle w:val="BodyText"/>
      </w:pPr>
      <w:r>
        <w:t xml:space="preserve">Вторая война, с июня по август 1913 года, показала хрупкость союза. Болгария напала на бывших союзников, против неё выступили Сербия, Греция, Румыния и Турция. Бухарестский мир 10 августа 1913 года лишил Болгарию значительной части приобретений.</w:t>
      </w:r>
    </w:p>
    <w:p>
      <w:pPr>
        <w:pStyle w:val="BodyText"/>
      </w:pPr>
      <w:r>
        <w:t xml:space="preserve">Значение этих событий для России состояло в следующем. Балканский союз удержать не удалось; Болгария отошла от России и в 1915 году вступила в войну на стороне Центральных держав. Сербия почти вдвое увеличила территорию — с примерно 48 до 88 тысяч квадратных километров, — и Вена стала видеть в ней главную угрозу на Балканах. Россия, в свою очередь, воспринималась в Вене как покровительница Сербии.</w:t>
      </w:r>
    </w:p>
    <w:p>
      <w:pPr>
        <w:pStyle w:val="BodyText"/>
      </w:pPr>
      <w:r>
        <w:rPr>
          <w:bCs/>
          <w:b/>
        </w:rPr>
        <w:t xml:space="preserve">[слайд 10 — Проливы и экономика империи]</w:t>
      </w:r>
    </w:p>
    <w:p>
      <w:pPr>
        <w:pStyle w:val="BodyText"/>
      </w:pPr>
      <w:r>
        <w:t xml:space="preserve">Отдельное место среди интересов России занимал вопрос о Проливах. Через Босфор и Дарданеллы шло более трети российского экспорта, а для вывоза хлеба их значение было ещё выше. Проливы связывали внешнюю политику с бюджетом и платёжным балансом империи: закрытие означало потерю рынков и валютной выручки.</w:t>
      </w:r>
    </w:p>
    <w:p>
      <w:pPr>
        <w:pStyle w:val="BodyText"/>
      </w:pPr>
      <w:r>
        <w:t xml:space="preserve">В 1912 году, в ходе итало-турецкой войны, Турция на несколько недель закрыла Дарданеллы, вывоз хлеба остановился, и российская печать и деловые круги заговорили о гарантиях свободного прохода. В 1913–1914 годах разразился кризис вокруг миссии Лимана фон Занлерса: германский генерал получил командование корпусом в Константинополе и надзор за реорганизацией турецкой армии. Петербург увидел в этом угрозу контролю над Проливами; конфликт удалось урегулировать компромиссом в январе 1914 года. В феврале 1914 года Особое совещание под председательством Сазонова обсуждало возможный захват Босфора на случай общеевропейской войны, но решение принято не было: флот и транспорт для десанта не были готовы.</w:t>
      </w:r>
    </w:p>
    <w:p>
      <w:pPr>
        <w:pStyle w:val="BodyText"/>
      </w:pPr>
      <w:r>
        <w:rPr>
          <w:bCs/>
          <w:b/>
        </w:rPr>
        <w:t xml:space="preserve">[слайд 11 — спорят историки: ответственность за войну]</w:t>
      </w:r>
    </w:p>
    <w:p>
      <w:pPr>
        <w:pStyle w:val="BodyText"/>
      </w:pPr>
      <w:r>
        <w:t xml:space="preserve">Теперь о споре, который вынесен в программу отдельно, — об ответственности за начало войны. Основные позиции такие.</w:t>
      </w:r>
    </w:p>
    <w:p>
      <w:pPr>
        <w:pStyle w:val="BodyText"/>
      </w:pPr>
      <w:r>
        <w:t xml:space="preserve">Первая связана с именем немецкого историка Фрица Фишера. В книге «Рывок к мировому господству» (1961) он доказывал, что политическая элита Германии сознательно шла на континентальную войну. В качестве доказательств он приводил заседание руководства 8 декабря 1912 года и так называемую «программу сентября 1914 года» с планами территориальных приобретений. Эта позиция продолжает традицию статьи 231 Версальского договора.</w:t>
      </w:r>
    </w:p>
    <w:p>
      <w:pPr>
        <w:pStyle w:val="BodyText"/>
      </w:pPr>
      <w:r>
        <w:t xml:space="preserve">Вторая позиция принадлежит австралийскому историку Кристоферу Кларку. В книге «Лунатики» (2012) европейская система показана как пространство, в котором решения принимались в нескольких центрах, и ответственность делят Сербия, Австро-Венгрия, Россия, Франция, Германия и Великобритания.</w:t>
      </w:r>
    </w:p>
    <w:p>
      <w:pPr>
        <w:pStyle w:val="BodyText"/>
      </w:pPr>
      <w:r>
        <w:t xml:space="preserve">Третья позиция — американский историк Шон Макмикин в книге «Русские истоки Первой мировой войны» (2011) выдвигает Россию как активного участника: решение о мобилизации 17 (30) июля и интерес к Проливам делают Петербург одним из инициаторов эскалации.</w:t>
      </w:r>
    </w:p>
    <w:p>
      <w:pPr>
        <w:pStyle w:val="BodyText"/>
      </w:pPr>
      <w:r>
        <w:t xml:space="preserve">Наконец, советская традиция, восходящая к работам В. И. Ленина, определяла войну как «империалистическую» и возлагала ответственность на все великие державы. Современные российские историки, среди которых А. И. Уткин и О. Р. Айрапетов, подробно изучают цели и возможности России.</w:t>
      </w:r>
    </w:p>
    <w:p>
      <w:pPr>
        <w:pStyle w:val="BodyText"/>
      </w:pPr>
      <w:r>
        <w:t xml:space="preserve">Основные выводы по слайду: позиции расходятся в том, что считать причиной войны — намерения Берлина, систему союзов, решения июльских дней или структурное соперничество империй.</w:t>
      </w:r>
    </w:p>
    <w:bookmarkEnd w:id="22"/>
    <w:bookmarkStart w:id="23" w:name="X0731772a983c0f4d26885d14670ee334a933857"/>
    <w:p>
      <w:pPr>
        <w:pStyle w:val="Heading2"/>
      </w:pPr>
      <w:r>
        <w:t xml:space="preserve">Вопрос второй. Июль 1914 года: Россия вступает в войну</w:t>
      </w:r>
    </w:p>
    <w:p>
      <w:pPr>
        <w:pStyle w:val="FirstParagraph"/>
      </w:pPr>
      <w:r>
        <w:rPr>
          <w:bCs/>
          <w:b/>
        </w:rPr>
        <w:t xml:space="preserve">[слайд 12 — вопрос второй]</w:t>
      </w:r>
    </w:p>
    <w:p>
      <w:pPr>
        <w:pStyle w:val="BodyText"/>
      </w:pPr>
      <w:r>
        <w:t xml:space="preserve">Второй вопрос — июльский кризис и российское общественное мнение в первые недели войны.</w:t>
      </w:r>
    </w:p>
    <w:p>
      <w:pPr>
        <w:pStyle w:val="BodyText"/>
      </w:pPr>
      <w:r>
        <w:rPr>
          <w:bCs/>
          <w:b/>
        </w:rPr>
        <w:t xml:space="preserve">[слайд 13 — Сараево и июльский кризис]</w:t>
      </w:r>
    </w:p>
    <w:p>
      <w:pPr>
        <w:pStyle w:val="BodyText"/>
      </w:pPr>
      <w:r>
        <w:t xml:space="preserve">15 (28) июня 1914 года в Сараеве Гаврило Принцип, член организации «Млада Босна», убил наследника австро-венгерского престола эрцгерцога Франца Фердинанда и его жену Софию Хотек. Сверху — фотография пары перед отъездом из ратуши, снятая в тот день; ниже — иллюстрация к покушению из иллюстрированной печати 1914 года.</w:t>
      </w:r>
    </w:p>
    <w:p>
      <w:pPr>
        <w:pStyle w:val="BodyText"/>
      </w:pPr>
      <w:r>
        <w:t xml:space="preserve">Дальнейшие события я перечислю по слайду. 10 (23) июля Австро-Венгрия предъявила Сербии ультиматум с сорока восемью часами на ответ. 12 (25) июля Сербия приняла почти все требования; в тот же день в России было объявлено начало «периода, предшествующего войне» — комплекса подготовительных мер без формального объявления мобилизации. 15 (28) июля Австро-Венгрия объявила войну Сербии. 16–17 (29–30) июля в России последовательно проведены частичная и общая мобилизации. 18 (31) июля Германия потребовала прекратить мобилизацию под угрозой войны. 19 июля (1 августа) Германия объявила войну России, 21 июля (3 августа) — Франции. Наконец, 22 июля (4 августа) в войну вступила Великобритания после вторжения германских войск в Бельгию.</w:t>
      </w:r>
    </w:p>
    <w:p>
      <w:pPr>
        <w:pStyle w:val="BodyText"/>
      </w:pPr>
      <w:r>
        <w:rPr>
          <w:bCs/>
          <w:b/>
        </w:rPr>
        <w:t xml:space="preserve">[слайд 14 — российские решения июля 1914 года]</w:t>
      </w:r>
    </w:p>
    <w:p>
      <w:pPr>
        <w:pStyle w:val="BodyText"/>
      </w:pPr>
      <w:r>
        <w:t xml:space="preserve">Как принимались решения в России? Сазонов, начальник Генерального штаба Н. Н. Янушкевич и военный министр В. А. Сухомлинов настаивали на общей мобилизации. Голоса против были: в феврале 1914 года бывший министр внутренних дел П. Н. Дурново подал императору записку, в которой предупреждал, что война с Германией поставит Россию под угрозу социальной революции.</w:t>
      </w:r>
    </w:p>
    <w:p>
      <w:pPr>
        <w:pStyle w:val="BodyText"/>
      </w:pPr>
      <w:r>
        <w:t xml:space="preserve">Обратите внимание на механику мобилизации. Частичная мобилизация против Австро-Венгрии, объявленная 16 (29) июля, не предусматривалась планами Генерального штаба и, по мнению военных, могла сорвать общее развёртывание. Николай II отменил её после телеграммы Вильгельма II, но вечером 17 (30) июля под давлением Сазонова и военных подписал указ об общей мобилизации.</w:t>
      </w:r>
    </w:p>
    <w:p>
      <w:pPr>
        <w:pStyle w:val="BodyText"/>
      </w:pPr>
      <w:r>
        <w:t xml:space="preserve">Позицию Германии определял план Шлиффена, требовавший быстро разгромить Францию. Поэтому русскую мобилизацию Берлин расценил как начало войны. Ультиматум 18 (31) июля и объявление войны 19 июля (1 августа) последовали без долгих переговоров.</w:t>
      </w:r>
    </w:p>
    <w:p>
      <w:pPr>
        <w:pStyle w:val="BodyText"/>
      </w:pPr>
      <w:r>
        <w:t xml:space="preserve">Вопрос для обсуждения: можно ли было остановить мобилизацию 17 (30) июля? К. Кларк и Ш. Макмикин оценивают решение Петербурга по-разному: как ответ на угрозу союзнику и как шаг, сознательно ускоривший общеевропейскую войну.</w:t>
      </w:r>
    </w:p>
    <w:p>
      <w:pPr>
        <w:pStyle w:val="BodyText"/>
      </w:pPr>
      <w:r>
        <w:rPr>
          <w:bCs/>
          <w:b/>
        </w:rPr>
        <w:t xml:space="preserve">[слайд 15 — манифест 20 июля 1914 года]</w:t>
      </w:r>
    </w:p>
    <w:p>
      <w:pPr>
        <w:pStyle w:val="BodyText"/>
      </w:pPr>
      <w:r>
        <w:t xml:space="preserve">20 июля (2 августа) 1914 года в Николаевском зале Зимнего дворца был отслужен молебен. Николай II зачитал манифест о войне и повторил слова Александра I 1812 года: мир не будет заключён, пока хотя бы один неприятельский воин остаётся на русской земле. Ключевая фраза манифеста: «…оградить честь, достоинство, целость России и положение её среди Великих Держав».</w:t>
      </w:r>
    </w:p>
    <w:p>
      <w:pPr>
        <w:pStyle w:val="BodyText"/>
      </w:pPr>
      <w:r>
        <w:t xml:space="preserve">Император и императрица вышли на балкон. Собравшиеся на Дворцовой площади опустились на колени и пели «Боже, царя храни». Современники и историки видят в этой сцене символ «священного единения» власти и общества. На нижней фотографии — манифестация в Петрограде в августе 1914 года; на транспаранте написано: «Победа России славянству».</w:t>
      </w:r>
    </w:p>
    <w:p>
      <w:pPr>
        <w:pStyle w:val="BodyText"/>
      </w:pPr>
      <w:r>
        <w:t xml:space="preserve">Заметим, что уже через год разногласия между властью и обществом стали главным политическим фактором. К этому мы вернёмся во втором часе.</w:t>
      </w:r>
    </w:p>
    <w:p>
      <w:pPr>
        <w:pStyle w:val="BodyText"/>
      </w:pPr>
      <w:r>
        <w:rPr>
          <w:bCs/>
          <w:b/>
        </w:rPr>
        <w:t xml:space="preserve">[слайд 16 — общество и Дума в начале войны]</w:t>
      </w:r>
    </w:p>
    <w:p>
      <w:pPr>
        <w:pStyle w:val="BodyText"/>
      </w:pPr>
      <w:r>
        <w:t xml:space="preserve">Как реагировало российское общество? Государственная дума собралась на однодневную сессию 26 июля (8 августа): военные кредиты были одобрены, оппозиция заявила о поддержке обороны; социал-демократы воздержались от голосования. После этого работа Думы прервалась до января 1915 года.</w:t>
      </w:r>
    </w:p>
    <w:p>
      <w:pPr>
        <w:pStyle w:val="BodyText"/>
      </w:pPr>
      <w:r>
        <w:t xml:space="preserve">В столице 22 июля (4 августа) толпа разгромила здание германского посольства; 18 (31) августа Санкт-Петербург переименовали в Петроград. Для лингвистов замечу: изменение названия столицы с немецкого по происхождению слова на славянское составляет яркий пример языковой политики военного времени.</w:t>
      </w:r>
    </w:p>
    <w:p>
      <w:pPr>
        <w:pStyle w:val="BodyText"/>
      </w:pPr>
      <w:r>
        <w:t xml:space="preserve">Всероссийский земский союз и Союз городов, созданные в первые недели войны, организовали санитарную и снабженческую помощь армии; общество получило публичную роль в снабжении фронта. Среди социалистов позиции разошлись: Г. В. Плеханов занял оборонческую позицию, а В. И. Ленин с осени 1914 года выдвинул лозунг поражения своего правительства и превращения империалистической войны в гражданскую. В деревне мобилизация сопровождалась и патриотическими проводами, и погромами винных лавок; запрет продажи водки лишил государственный бюджет около четверти обыкновенных доходов.</w:t>
      </w:r>
    </w:p>
    <w:p>
      <w:pPr>
        <w:pStyle w:val="BodyText"/>
      </w:pPr>
      <w:r>
        <w:t xml:space="preserve">Основные выводы по слайду: «священное единение» не означало прекращения политических различий; оно создавало условия, при которых власть могла выиграть общественное доверие. Эта возможность была использована лишь частично.</w:t>
      </w:r>
    </w:p>
    <w:bookmarkEnd w:id="23"/>
    <w:bookmarkStart w:id="24" w:name="Xa279a848cbd25c484367bba8b2f22ff0367d806"/>
    <w:p>
      <w:pPr>
        <w:pStyle w:val="Heading2"/>
      </w:pPr>
      <w:r>
        <w:t xml:space="preserve">Вопрос третий. Восточный фронт 1914–1915 годов</w:t>
      </w:r>
    </w:p>
    <w:p>
      <w:pPr>
        <w:pStyle w:val="FirstParagraph"/>
      </w:pPr>
      <w:r>
        <w:rPr>
          <w:bCs/>
          <w:b/>
        </w:rPr>
        <w:t xml:space="preserve">[слайд 17 — вопрос третий]</w:t>
      </w:r>
    </w:p>
    <w:p>
      <w:pPr>
        <w:pStyle w:val="BodyText"/>
      </w:pPr>
      <w:r>
        <w:t xml:space="preserve">Третий вопрос — этапы военных действий на Восточном фронте: Восточно-Прусская операция, Галицийская битва, значение битвы на Марне, вступление Османской империи в войну и Великое отступление 1915 года.</w:t>
      </w:r>
    </w:p>
    <w:p>
      <w:pPr>
        <w:pStyle w:val="BodyText"/>
      </w:pPr>
      <w:r>
        <w:rPr>
          <w:bCs/>
          <w:b/>
        </w:rPr>
        <w:t xml:space="preserve">[слайд 18 — планы сторон и развёртывание]</w:t>
      </w:r>
    </w:p>
    <w:p>
      <w:pPr>
        <w:pStyle w:val="BodyText"/>
      </w:pPr>
      <w:r>
        <w:t xml:space="preserve">Германия действовала по плану Шлиффена в редакции Мольтке-младшего: главные силы шли через Бельгию на Францию. На востоке оставалась малочисленная 8-я армия в Восточной Пруссии, задача которой состояла в том, чтобы сдерживать русских до победы на западе.</w:t>
      </w:r>
    </w:p>
    <w:p>
      <w:pPr>
        <w:pStyle w:val="BodyText"/>
      </w:pPr>
      <w:r>
        <w:t xml:space="preserve">Австро-Венгрия под руководством начальника штаба Ф. Конрада фон Хётцендорфа планировала наступление из Галиции на Люблин и Холм. Часть сил была направлена против Сербии, что ослабило удар на востоке.</w:t>
      </w:r>
    </w:p>
    <w:p>
      <w:pPr>
        <w:pStyle w:val="BodyText"/>
      </w:pPr>
      <w:r>
        <w:t xml:space="preserve">Россия развернула два фронта. Верховным главнокомандующим стал великий князь Николай Николаевич. Северо-Западный фронт под командованием Я. Г. Жилинского включал 1-ю армию П. К. Ренненкампфа и 2-ю армию А. В. Самсонова и действовал против Германии. Юго-Западный фронт Н. И. Иванова, в составе 3-й, 4-й, 5-й и 8-й армий, действовал против Австро-Венгрии.</w:t>
      </w:r>
    </w:p>
    <w:p>
      <w:pPr>
        <w:pStyle w:val="BodyText"/>
      </w:pPr>
      <w:r>
        <w:t xml:space="preserve">Обязательства перед Францией заставили русское командование начать наступление до завершения сосредоточения: 1-я армия перешла границу спустя около двух с половиной недель после начала мобилизации.</w:t>
      </w:r>
    </w:p>
    <w:p>
      <w:pPr>
        <w:pStyle w:val="BodyText"/>
      </w:pPr>
      <w:r>
        <w:rPr>
          <w:bCs/>
          <w:b/>
        </w:rPr>
        <w:t xml:space="preserve">[слайд 19 — Восточно-Прусская операция]</w:t>
      </w:r>
    </w:p>
    <w:p>
      <w:pPr>
        <w:pStyle w:val="BodyText"/>
      </w:pPr>
      <w:r>
        <w:t xml:space="preserve">4 (17) августа 1-я армия Ренненкампфа вступила в Восточную Пруссию. 7 (20) августа у Гумбиннена и Гольдапа она отбросила часть 8-й германской армии; в тот же день с юга границу перешла 2-я армия Самсонова. Командующий 8-й армией Притвиц приказал отходить к Висле, и 9 (22) августа его сменили: командующим назначили Гинденбурга, начальником штаба — Людендорфа.</w:t>
      </w:r>
    </w:p>
    <w:p>
      <w:pPr>
        <w:pStyle w:val="BodyText"/>
      </w:pPr>
      <w:r>
        <w:t xml:space="preserve">Армии наступали без согласованных действий. Радиопереговоры русских штабов велись открытым текстом и перехватывались противником. На слайде — схема операции.</w:t>
      </w:r>
    </w:p>
    <w:p>
      <w:pPr>
        <w:pStyle w:val="BodyText"/>
      </w:pPr>
      <w:r>
        <w:rPr>
          <w:bCs/>
          <w:b/>
        </w:rPr>
        <w:t xml:space="preserve">[слайд 20 — Танненберг и Мазурские озёра]</w:t>
      </w:r>
    </w:p>
    <w:p>
      <w:pPr>
        <w:pStyle w:val="BodyText"/>
      </w:pPr>
      <w:r>
        <w:t xml:space="preserve">13–17 (26–30) августа под Танненбергом германские корпуса окружили центр 2-й армии. Самсонов застрелился 16 (29) августа. Потери армии составили десятки тысяч убитыми и, по разным оценкам, от 50 до 90 тысяч пленными. В сентябре 1-я армия после боёв у Мазурских озёр отошла из Восточной Пруссии. На слайде портреты командующих армиями — Ренненкампфа и Самсонова, справа карта операции.</w:t>
      </w:r>
    </w:p>
    <w:p>
      <w:pPr>
        <w:pStyle w:val="BodyText"/>
      </w:pPr>
      <w:r>
        <w:rPr>
          <w:bCs/>
          <w:b/>
        </w:rPr>
        <w:t xml:space="preserve">[слайд 21 — Галицийская битва]</w:t>
      </w:r>
    </w:p>
    <w:p>
      <w:pPr>
        <w:pStyle w:val="BodyText"/>
      </w:pPr>
      <w:r>
        <w:t xml:space="preserve">На юге события развивались иначе. Галицийская битва началась 5 (18) августа. Юго-Западным фронтом командовал Н. И. Иванов, начальником штаба был М. В. Алексеев. На северном фланге, у Красника и Комарова, австро-венгерские армии добились частных успехов против 4-й и 5-й русских армий. На юге 16–18 (29–31) августа при Гнилой Липе 3-я армия Н. В. Рузского и 8-я армия А. А. Брусилова отбросили 3-ю австро-венгерскую армию. 21–22 августа (3–4 сентября) были взяты Львов и Галич. К сентябрю русские войска заняли Восточную Галицию и Буковину, а крепость Перемышль оказалась в осаде.</w:t>
      </w:r>
    </w:p>
    <w:p>
      <w:pPr>
        <w:pStyle w:val="BodyText"/>
      </w:pPr>
      <w:r>
        <w:t xml:space="preserve">Потери оцениваются так: около 400 тысяч у Австро-Венгрии и около 230 тысяч у России. Значение битвы в том, что она стала крупнейшей победой России в 1914 году, лишила австро-венгерскую армию значительной части кадрового состава и вынудила Германию усиливать союзника. Слева на слайде — портрет А. А. Брусилова, командовавшего 8-й армией.</w:t>
      </w:r>
    </w:p>
    <w:p>
      <w:pPr>
        <w:pStyle w:val="BodyText"/>
      </w:pPr>
      <w:r>
        <w:rPr>
          <w:bCs/>
          <w:b/>
        </w:rPr>
        <w:t xml:space="preserve">[слайд 22 — спорят историки: Восточный фронт и Марна]</w:t>
      </w:r>
    </w:p>
    <w:p>
      <w:pPr>
        <w:pStyle w:val="BodyText"/>
      </w:pPr>
      <w:r>
        <w:t xml:space="preserve">Программа называет в этом ряду битву на Марне. 5–12 сентября 1914 года (по новому стилю) сражение на Марне остановило германское наступление во Франции: план Шлиффена провалился, и война приобрела затяжной характер. Вопрос — какова роль русских операций в этом исходе.</w:t>
      </w:r>
    </w:p>
    <w:p>
      <w:pPr>
        <w:pStyle w:val="BodyText"/>
      </w:pPr>
      <w:r>
        <w:t xml:space="preserve">В историографии есть три подхода. Традиция союзной публицистики утверждает, что «русские спасли Францию»: наступление в Восточной Пруссии и Галиции вынудило Германию снять с Западного фронта два корпуса и кавалерийскую дивизию, которые не успели к Марне. Критики этой версии указывают, что два корпуса не решали исхода битвы; главными причинами называют ошибки командования Мольтке и разрыв между 1-й и 2-й германскими армиями. Третий подход, представленный Н. Стоуном (1975), обращает внимание на стратегический результат: русская армия сильнее своей репутации, и главный итог 1914 года — срыв блицкрига и переход к войне на истощение, в которой решали экономика и снабжение.</w:t>
      </w:r>
    </w:p>
    <w:p>
      <w:pPr>
        <w:pStyle w:val="BodyText"/>
      </w:pPr>
      <w:r>
        <w:t xml:space="preserve">Историки согласны в том, что кампания 1914 года не привела к быстрой победе ни одной из сторон и превратила войну в соревнование ресурсов.</w:t>
      </w:r>
    </w:p>
    <w:p>
      <w:pPr>
        <w:pStyle w:val="BodyText"/>
      </w:pPr>
      <w:r>
        <w:rPr>
          <w:bCs/>
          <w:b/>
        </w:rPr>
        <w:t xml:space="preserve">[слайд 23 — Османская империя вступает в войну]</w:t>
      </w:r>
    </w:p>
    <w:p>
      <w:pPr>
        <w:pStyle w:val="BodyText"/>
      </w:pPr>
      <w:r>
        <w:t xml:space="preserve">Осенью 1914 года у России появился новый противник. 16 (29) октября линейный крейсер «Гёбен» и лёгкий крейсер «Бреслау» под турецким флагом обстреляли Одессу, Севастополь, Феодосию и Новороссийск. 20 октября (2 ноября) Россия объявила войну Османской империи. К этому времени Проливы были закрыты для судоходства, и связь России с союзниками по Чёрному морю прервалась.</w:t>
      </w:r>
    </w:p>
    <w:p>
      <w:pPr>
        <w:pStyle w:val="BodyText"/>
      </w:pPr>
      <w:r>
        <w:t xml:space="preserve">На схеме видны каналы связи страны с союзниками и мировыми рынками в 1915 году. Балтика закрыта германским флотом, Чёрное море и Проливы — Турцией. Остаются Архангельск, порт которого зимой замерзает, Мурманск, куда в 1915–1917 годах строилась железная дорога, и очень удалённый Владивосток с Транссибирской магистралью. Внешняя торговля резко сократилась, а союзные поставки шли через отдалённые порты с малой пропускной способностью. Транспортная зависимость стала одной из причин снарядного кризиса.</w:t>
      </w:r>
    </w:p>
    <w:p>
      <w:pPr>
        <w:pStyle w:val="BodyText"/>
      </w:pPr>
      <w:r>
        <w:t xml:space="preserve">На Кавказском фронте Сарыкамышская операция (декабрь 1914 — январь 1915) завершилась разгромом турецкой армии Энвера-паши, а в 1916 году Н. Н. Юденич взял Эрзурум и Трапезунд.</w:t>
      </w:r>
    </w:p>
    <w:p>
      <w:pPr>
        <w:pStyle w:val="BodyText"/>
      </w:pPr>
      <w:r>
        <w:rPr>
          <w:bCs/>
          <w:b/>
        </w:rPr>
        <w:t xml:space="preserve">[слайд 24 — 1915: Горлице и снарядный голод]</w:t>
      </w:r>
    </w:p>
    <w:p>
      <w:pPr>
        <w:pStyle w:val="BodyText"/>
      </w:pPr>
      <w:r>
        <w:t xml:space="preserve">Весной 1915 года инициатива перешла к Центральным державам. 19 апреля (2 мая) ударная группа А. Макензена — 11-я германская и 4-я австро-венгерская армии — после мощной артиллерийской подготовки прорвала фронт 3-й русской армии у Горлице. Превосходство противника в тяжёлой артиллерии было многократным.</w:t>
      </w:r>
    </w:p>
    <w:p>
      <w:pPr>
        <w:pStyle w:val="BodyText"/>
      </w:pPr>
      <w:r>
        <w:t xml:space="preserve">Одновременно обнаружился «снарядный голод»: расход боеприпасов оказался выше довоенных расчётов; заказы размещались преимущественно на казённых заводах, мощности частной промышленности использовались слабо. Общество ответило созданием военно-промышленных комитетов: первый съезд в Москве в мае 1915 года избрал председателем Центрального комитета А. И. Гучкова. Летом возник Объединённый комитет Земского и Городского союзов, Земгор. Государство ответило учреждением в августе 1915 года Особых совещаний по обороне, топливу, перевозкам и продовольствию; в июне были отставлены военный министр Сухомлинов и ряд министров.</w:t>
      </w:r>
    </w:p>
    <w:p>
      <w:pPr>
        <w:pStyle w:val="BodyText"/>
      </w:pPr>
      <w:r>
        <w:t xml:space="preserve">Отдельного упоминания заслуживает дело Мясоедова. Полковник С. Н. Мясоедов был повешен в марте 1915 года по обвинению в шпионаже; современные исследователи, среди них американский историк У. Фуллер, считают обвинение неподтверждённым. Дело усилило шпиономанию и подорвало доверие внутри самой власти.</w:t>
      </w:r>
    </w:p>
    <w:p>
      <w:pPr>
        <w:pStyle w:val="BodyText"/>
      </w:pPr>
      <w:r>
        <w:rPr>
          <w:bCs/>
          <w:b/>
        </w:rPr>
        <w:t xml:space="preserve">[слайд 25 — Великое отступление 1915 года]</w:t>
      </w:r>
    </w:p>
    <w:p>
      <w:pPr>
        <w:pStyle w:val="BodyText"/>
      </w:pPr>
      <w:r>
        <w:t xml:space="preserve">Май–сентябрь 1915 года вошли в историю как Великое отступление. Из Перемышля, взятого русскими 9 (22) марта, войска ушли 22 мая (4 июня), Львов был оставлен 9 (22) июня, Варшава — 22 июля (4 августа). В августе оставили Ковно, Брест-Литовск и Гродно. В сентябре после Свенцянского прорыва фронт стабилизировался на линии Рига — Двинск — Барановичи — Пинск — Тарнополь.</w:t>
      </w:r>
    </w:p>
    <w:p>
      <w:pPr>
        <w:pStyle w:val="BodyText"/>
      </w:pPr>
      <w:r>
        <w:t xml:space="preserve">Потери по разным оценкам составили около двух–двух с половиной миллионов человек убитыми, ранеными и пленными, около миллиона из них — пленными. Была утрачена Польша, Литва, часть Латвии и Белоруссии. Ставка распорядилась вывозить население и имущество, начались принудительные депортации, в частности евреев и немцев. К 1916 году число беженцев исчислялось миллионами.</w:t>
      </w:r>
    </w:p>
    <w:p>
      <w:pPr>
        <w:pStyle w:val="BodyText"/>
      </w:pPr>
      <w:r>
        <w:t xml:space="preserve">23 августа (5 сентября) 1915 года Николай II принял на себя Верховное главнокомандование, заменив великого князя Николая Николаевича; начальником штаба стал М. В. Алексеев. Восемь министров возражали против этого решения, но император его не изменил. Тем самым ответственность за поражения перешла к монарху лично.</w:t>
      </w:r>
    </w:p>
    <w:p>
      <w:pPr>
        <w:pStyle w:val="BodyText"/>
      </w:pPr>
      <w:r>
        <w:rPr>
          <w:bCs/>
          <w:b/>
        </w:rPr>
        <w:t xml:space="preserve">[слайд 26 — итог первого часа]</w:t>
      </w:r>
    </w:p>
    <w:p>
      <w:pPr>
        <w:pStyle w:val="BodyText"/>
      </w:pPr>
      <w:r>
        <w:t xml:space="preserve">Основные выводы первого часа. Первое: система союзов, гонка вооружений и балканские кризисы 1908–1913 годов сделали большую войну вероятной; историки расходятся в оценке ответственности сторон. Второе: решение об общей мобилизации 17 (30) июля 1914 года связало Россию союзническими обязательствами и планами развёртывания, а манифест 20 июля соединил власть и общество. Третье: кампания 1914 года показала силу и слабость русской армии — победа в Галиции, поражение в Восточной Пруссии, Османская империя в числе противников. Четвёртое: отступление 1915 года обнажило кризис снабжения и запустило политический кризис, которому посвящён второй час.</w:t>
      </w:r>
    </w:p>
    <w:bookmarkEnd w:id="24"/>
    <w:bookmarkEnd w:id="25"/>
    <w:bookmarkStart w:id="35" w:name="час-второй"/>
    <w:p>
      <w:pPr>
        <w:pStyle w:val="Heading1"/>
      </w:pPr>
      <w:r>
        <w:t xml:space="preserve">Час второй</w:t>
      </w:r>
    </w:p>
    <w:p>
      <w:pPr>
        <w:pStyle w:val="FirstParagraph"/>
      </w:pPr>
      <w:r>
        <w:rPr>
          <w:bCs/>
          <w:b/>
        </w:rPr>
        <w:t xml:space="preserve">[слайд 27 — час второй]</w:t>
      </w:r>
    </w:p>
    <w:p>
      <w:pPr>
        <w:pStyle w:val="BodyText"/>
      </w:pPr>
      <w:r>
        <w:t xml:space="preserve">Во втором часе мы рассмотрим значение войны для трансформации политической системы: Прогрессивный блок, «министерскую чехарду», военные события 1916 года, положение тыла и, наконец, события от «думского штурма» ноября 1916 года до продовольственного кризиса в Петрограде.</w:t>
      </w:r>
    </w:p>
    <w:bookmarkStart w:id="26" w:name="Xc567402deb7705b307c7e3ff39d99b09b4c3b6e"/>
    <w:p>
      <w:pPr>
        <w:pStyle w:val="Heading2"/>
      </w:pPr>
      <w:r>
        <w:t xml:space="preserve">Вопрос четвёртый. Политический кризис 1915–1916 годов</w:t>
      </w:r>
    </w:p>
    <w:p>
      <w:pPr>
        <w:pStyle w:val="FirstParagraph"/>
      </w:pPr>
      <w:r>
        <w:rPr>
          <w:bCs/>
          <w:b/>
        </w:rPr>
        <w:t xml:space="preserve">[слайд 28 — вопрос четвёртый]</w:t>
      </w:r>
    </w:p>
    <w:p>
      <w:pPr>
        <w:pStyle w:val="BodyText"/>
      </w:pPr>
      <w:r>
        <w:t xml:space="preserve">Четвёртый вопрос — как поражения 1915 года превратились в политический кризис. Программа называет в нём Прогрессивный блок и его требования, отношения Думы и Совета министров, кампанию против «немецкого засилья» и «министерскую чехарду».</w:t>
      </w:r>
    </w:p>
    <w:p>
      <w:pPr>
        <w:pStyle w:val="BodyText"/>
      </w:pPr>
      <w:r>
        <w:rPr>
          <w:bCs/>
          <w:b/>
        </w:rPr>
        <w:t xml:space="preserve">[слайд 29 — лето 1915 года: отставки и сессия Думы]</w:t>
      </w:r>
    </w:p>
    <w:p>
      <w:pPr>
        <w:pStyle w:val="BodyText"/>
      </w:pPr>
      <w:r>
        <w:t xml:space="preserve">Хронология лета 1915 года. В июне были отставлены военный министр В. А. Сухомлинов, министр внутренних дел Н. А. Маклаков, министр юстиции И. Г. Щегловитов и обер-прокурор Синода В. К. Саблер. 19 июля (1 августа) открылась сессия IV Думы, депутаты требовали расследования причин неудач и участия общественности в снабжении армии. 17 (30) августа был принят закон об Особых совещаниях. 23 августа (5 сентября) Николай II принял Верховное главнокомандование. 25 августа (7 сентября) образовался Прогрессивный блок. 3 (16) сентября Дума была распущена на перерыв и вновь собралась в феврале 1916 года. Тогда, 9 (22) февраля 1916 года, Николай II посетил заседание Думы в Таврическом дворце; это единственный визит императора в Думу за всю её историю.</w:t>
      </w:r>
    </w:p>
    <w:p>
      <w:pPr>
        <w:pStyle w:val="BodyText"/>
      </w:pPr>
      <w:r>
        <w:t xml:space="preserve">К лету 1915 года власть объясняла поражения ошибками отдельных чиновников, генералов и «шпионов», а общество требовало участия в управлении. Спор о том, кто отвечает за снабжение армии, определил отношение думского большинства к правительству до февраля 1917 года.</w:t>
      </w:r>
    </w:p>
    <w:p>
      <w:pPr>
        <w:pStyle w:val="BodyText"/>
      </w:pPr>
      <w:r>
        <w:rPr>
          <w:bCs/>
          <w:b/>
        </w:rPr>
        <w:t xml:space="preserve">[слайд 30 — военная экономика: новые институты]</w:t>
      </w:r>
    </w:p>
    <w:p>
      <w:pPr>
        <w:pStyle w:val="BodyText"/>
      </w:pPr>
      <w:r>
        <w:t xml:space="preserve">Схема показывает, кто снабжал армию в 1915–1916 годах. Государство действовало через Особые совещания, в которые входили чиновники, депутаты Думы и Государственного совета и представители промышленности. Промышленники создали военно-промышленные комитеты; председателем Центрального комитета был А. И. Гучков. При нём с 1915 года действовала рабочая группа во главе с К. А. Гвоздевым; она была арестована в январе 1917 года. Общественность действовала через Земгор, который возглавляли князь Г. Е. Львов и М. В. Челноков.</w:t>
      </w:r>
    </w:p>
    <w:p>
      <w:pPr>
        <w:pStyle w:val="BodyText"/>
      </w:pPr>
      <w:r>
        <w:t xml:space="preserve">Общественные организации получили заказы и бюджет, а государство формально сохраняло контроль через Особые совещания. Военно-промышленные комитеты к 1916 году размещали заметную долю заказов на снаряды. Источником конфликта стало то, что часть чиновников видела в общественных организациях политических соперников, а общественность — в бюрократии причину неудач. Взаимное недоверие усилило политизацию тыла.</w:t>
      </w:r>
    </w:p>
    <w:p>
      <w:pPr>
        <w:pStyle w:val="BodyText"/>
      </w:pPr>
      <w:r>
        <w:rPr>
          <w:bCs/>
          <w:b/>
        </w:rPr>
        <w:t xml:space="preserve">[слайд 31 — Прогрессивный блок]</w:t>
      </w:r>
    </w:p>
    <w:p>
      <w:pPr>
        <w:pStyle w:val="BodyText"/>
      </w:pPr>
      <w:r>
        <w:t xml:space="preserve">Прогрессивный блок образовался 25 августа (7 сентября) 1915 года. В него вошли кадеты во главе с П. Н. Милюковым, прогрессисты И. Н. Ефремова, центр, земцы-октябристы С. И. Шидловского, часть националистов В. В. Шульгина и группы Государственного совета. Блок объединил более половины депутатов Думы.</w:t>
      </w:r>
    </w:p>
    <w:p>
      <w:pPr>
        <w:pStyle w:val="BodyText"/>
      </w:pPr>
      <w:r>
        <w:t xml:space="preserve">Цель блока — совместное с правительством ведение войны и создание «министерства общественного доверия», то есть кабинета, состав которого согласован с законодательными палатами. Полноценное ответственное министерство блок не требовал. Программа включала политическую амнистию, смягчение национальных и вероисповедных ограничений, автономию Польши, свободу профессиональных союзов и расширение прав земств и городских дум.</w:t>
      </w:r>
    </w:p>
    <w:p>
      <w:pPr>
        <w:pStyle w:val="BodyText"/>
      </w:pPr>
      <w:r>
        <w:t xml:space="preserve">Реакция власти оказалась жёсткой. Председатель Совета министров И. Л. Горемыкин отказался вести переговоры с блоком; Дума была распущена на перерыв. Министры, сочувствовавшие блоку, — А. В. Кривошеин, А. Д. Самарин, Н. Б. Щербатов — осенью 1915 года ушли в отставку.</w:t>
      </w:r>
    </w:p>
    <w:p>
      <w:pPr>
        <w:pStyle w:val="BodyText"/>
      </w:pPr>
      <w:r>
        <w:rPr>
          <w:bCs/>
          <w:b/>
        </w:rPr>
        <w:t xml:space="preserve">[слайд 32 — источник: декларация Прогрессивного блока]</w:t>
      </w:r>
    </w:p>
    <w:p>
      <w:pPr>
        <w:pStyle w:val="BodyText"/>
      </w:pPr>
      <w:r>
        <w:t xml:space="preserve">Обратимся к тексту декларации, оглашённой 25 августа (7 сентября) 1915 года. Ключевая формула: «…создание объединённого правительства из лиц, пользующихся доверием страны и согласившихся с законодательными учреждениями относительно выполнения в ближайшее время определённой программы».</w:t>
      </w:r>
    </w:p>
    <w:p>
      <w:pPr>
        <w:pStyle w:val="BodyText"/>
      </w:pPr>
      <w:r>
        <w:t xml:space="preserve">Вопросы к тексту. Какой принцип формирования правительства предлагает блок? Чем «министерство доверия» отличается от ответственного министерства? Почему власть отвергла это предложение?</w:t>
      </w:r>
    </w:p>
    <w:p>
      <w:pPr>
        <w:pStyle w:val="BodyText"/>
      </w:pPr>
      <w:r>
        <w:t xml:space="preserve">Историки оценивают блок по-разному. А. Я. Аврех в книге «Распад третьеиюньской системы» (1985) видит в нём отражение раскола правящих кругов. Ф. А. Гайда в работе о либеральной оппозиции (2003) считает блок попыткой договориться с властью без революции, и отказ власти лишил либералов умеренной альтернативы. К. А. Соловьёв, чью книгу «Самодержавие и конституция» вы знаете по предыдущей теме, обращает внимание на политическую повседневность 1915–1917 годов: значимыми оказывались личные связи и закулисные встречи министров и депутатов, а формальные нормы отступали перед практикой.</w:t>
      </w:r>
    </w:p>
    <w:p>
      <w:pPr>
        <w:pStyle w:val="BodyText"/>
      </w:pPr>
      <w:r>
        <w:rPr>
          <w:bCs/>
          <w:b/>
        </w:rPr>
        <w:t xml:space="preserve">[слайд 33 — «министерская чехарда»]</w:t>
      </w:r>
    </w:p>
    <w:p>
      <w:pPr>
        <w:pStyle w:val="BodyText"/>
      </w:pPr>
      <w:r>
        <w:t xml:space="preserve">Слайд показывает смену председателей Совета министров. И. Л. Горемыкин возглавлял правительство с января 1914 года по январь 1916 года. Его сменил Б. В. Штюрмер, остававшийся на посту до ноября 1916 года; затем несколько недель председателем был А. Ф. Трепов; с конца декабря 1916 года до февраля 1917 года — Н. Д. Голицын. На посту министра внутренних дел с 1915 года сменились Н. Б. Щербатов, А. Н. Хвостов, Б. В. Штюрмер и А. Д. Протопопов; иностранных дел — С. Д. Сазонов, Штюрмер и Н. Н. Покровский.</w:t>
      </w:r>
    </w:p>
    <w:p>
      <w:pPr>
        <w:pStyle w:val="BodyText"/>
      </w:pPr>
      <w:r>
        <w:t xml:space="preserve">Причины «чехарды» связаны с тем, что император находился в Ставке, кадровые решения принимались с оглядкой на императрицу и, по свидетельствам современников, на Г. Е. Распутина. Единого кабинета с общей программой не сложилось. Историки спорят о реальном влиянии двора. Б. И. Колоницкий показывает, что образ «немки-императрицы» и «тёмных сил» был политическим мифом; реальное влияние Распутина на назначения историки оценивают осторожнее, чем современники.</w:t>
      </w:r>
    </w:p>
    <w:p>
      <w:pPr>
        <w:pStyle w:val="BodyText"/>
      </w:pPr>
      <w:r>
        <w:rPr>
          <w:bCs/>
          <w:b/>
        </w:rPr>
        <w:t xml:space="preserve">[слайд 34 — «немецкое засилье» и шпиономания]</w:t>
      </w:r>
    </w:p>
    <w:p>
      <w:pPr>
        <w:pStyle w:val="BodyText"/>
      </w:pPr>
      <w:r>
        <w:t xml:space="preserve">Кампания против «немецкого засилья» шла с первых дней войны. В 1914 году Санкт-Петербург переименовали в Петроград, немецкие названия изымались из обихода, закрывались немецкие газеты. В феврале 1915 года приняты ликвидационные законы: ограничения землевладения подданных неприятельских государств, а затем и русских немцев-колонистов. В марте 1915 года казнили Мясоедова. 26–29 мая (8–11 июня) 1915 года в Москве прошёл погром: были разгромлены сотни магазинов, фабрик и квартир, принадлежавших людям с немецкими фамилиями. В 1915–1916 годах кампания переместилась на двор: мишенью слухов стали императрица Александра Фёдоровна, урождённая принцесса Гессенская, и министры с немецкими фамилиями.</w:t>
      </w:r>
    </w:p>
    <w:p>
      <w:pPr>
        <w:pStyle w:val="BodyText"/>
      </w:pPr>
      <w:r>
        <w:t xml:space="preserve">Б. И. Колоницкий в книге «Трагическая эротика» (2010) показывает, что слухи об «измене», «тёмных силах» и «немке-царице» разрушали символический капитал монархии и переносили вину за поражения на власть. У. Фуллер в книге «Внутренний враг» (2006) выявляет иную сторону: шпиономания военных ведомств отвлекала силы и подрывала доверие внутри самой власти.</w:t>
      </w:r>
    </w:p>
    <w:bookmarkEnd w:id="26"/>
    <w:bookmarkStart w:id="27" w:name="вопрос-пятый.-1916-год-фронт-и-тыл"/>
    <w:p>
      <w:pPr>
        <w:pStyle w:val="Heading2"/>
      </w:pPr>
      <w:r>
        <w:t xml:space="preserve">Вопрос пятый. 1916 год: фронт и тыл</w:t>
      </w:r>
    </w:p>
    <w:p>
      <w:pPr>
        <w:pStyle w:val="FirstParagraph"/>
      </w:pPr>
      <w:r>
        <w:rPr>
          <w:bCs/>
          <w:b/>
        </w:rPr>
        <w:t xml:space="preserve">[слайд 35 — вопрос пятый]</w:t>
      </w:r>
    </w:p>
    <w:p>
      <w:pPr>
        <w:pStyle w:val="BodyText"/>
      </w:pPr>
      <w:r>
        <w:t xml:space="preserve">Пятый вопрос — боевые действия 1916 года, Брусиловский прорыв, Верден и Сомма, экономика и положение тыла.</w:t>
      </w:r>
    </w:p>
    <w:p>
      <w:pPr>
        <w:pStyle w:val="BodyText"/>
      </w:pPr>
      <w:r>
        <w:rPr>
          <w:bCs/>
          <w:b/>
        </w:rPr>
        <w:t xml:space="preserve">[слайд 36 — стратегия 1916 года: Верден, Сомма, Нарочь]</w:t>
      </w:r>
    </w:p>
    <w:p>
      <w:pPr>
        <w:pStyle w:val="BodyText"/>
      </w:pPr>
      <w:r>
        <w:t xml:space="preserve">На диаграмме — крупнейшие операции 1916 года по новому стилю. В декабре 1915 года на конференции в Шантильи союзники договорились об одновременных наступлениях в 1916 году на всех фронтах; Россия обязалась атаковать не позднее середины лета. Германия начала с Вердена (февраль — декабрь): потери у обеих сторон достигли около 700 тысяч человек. Сомма (июль — ноябрь) стоила свыше миллиона убитых и раненых. Ни одно сражение не дало прорыва.</w:t>
      </w:r>
    </w:p>
    <w:p>
      <w:pPr>
        <w:pStyle w:val="BodyText"/>
      </w:pPr>
      <w:r>
        <w:t xml:space="preserve">Россия в марте провела Нарочскую операцию Западного фронта А. Е. Эверта для облегчения положения под Верденом. Она закончилась большими потерями и не достигла цели: обнаружилось, что оборону противника нельзя прорвать на узком участке.</w:t>
      </w:r>
    </w:p>
    <w:p>
      <w:pPr>
        <w:pStyle w:val="BodyText"/>
      </w:pPr>
      <w:r>
        <w:rPr>
          <w:bCs/>
          <w:b/>
        </w:rPr>
        <w:t xml:space="preserve">[слайд 37 — Брусиловский прорыв]</w:t>
      </w:r>
    </w:p>
    <w:p>
      <w:pPr>
        <w:pStyle w:val="BodyText"/>
      </w:pPr>
      <w:r>
        <w:t xml:space="preserve">Осенью 1916 года операцию Юго-Западного фронта запомнили как Брусиловский прорыв. Командующий фронтом А. А. Брусилов, портрет которого вы видите, применил новый принцип: 22 мая (4 июня) удар нанесли одновременно четыре армии — 8-я А. М. Каледина, 11-я, 7-я и 9-я — на фронте от Припяти до Румынии. Противник не мог определить главное направление и перебросить резервы. Артиллерийская подготовка была короткой, разведка тщательной. 25 мая (7 июня) взят Луцк. Прорыв достиг глубины 60–100 километров; австро-венгерская армия потеряла, по разным оценкам, от одного до полутора миллионов человек, из них около 400 тысяч пленными.</w:t>
      </w:r>
    </w:p>
    <w:p>
      <w:pPr>
        <w:pStyle w:val="BodyText"/>
      </w:pPr>
      <w:r>
        <w:t xml:space="preserve">Успех опирался на запасы боеприпасов, накопленные за зиму 1915–1916 годов, на аэрофотосъёмку и разведку и на подготовку войск к атаке из передовых окопов, вырытых вплотную к позициям противника. Армия Брусилова показала, что русское командование способно на крупные наступательные операции.</w:t>
      </w:r>
    </w:p>
    <w:p>
      <w:pPr>
        <w:pStyle w:val="BodyText"/>
      </w:pPr>
      <w:r>
        <w:rPr>
          <w:bCs/>
          <w:b/>
        </w:rPr>
        <w:t xml:space="preserve">[слайд 38 — итоги и цена прорыва]</w:t>
      </w:r>
    </w:p>
    <w:p>
      <w:pPr>
        <w:pStyle w:val="BodyText"/>
      </w:pPr>
      <w:r>
        <w:t xml:space="preserve">Что дало наступление? Германия перебросила на восток несколько десятков дивизий, что облегчило положение под Верденом и на Сомме; Австро-Венгрия оказалась на грани поражения; 14 (27) августа в войну вступила Румыния. Что помешало развить успех? Западный (Эверт) и Северный (Куропаткин) фронты не поддержали прорыв; Ставка перебрасывала резервы поздно; наступление на Ковель Особой армии закончилось тяжёлыми потерями на Стоходе. Какова цена? Потери России оцениваются от 0,5 до 0,8 миллиона человек, в том числе значительная часть кадрового состава. Вступление Румынии растянуло фронт почти на 500 километров; Бухарест пал 23 ноября (6 декабря).</w:t>
      </w:r>
    </w:p>
    <w:p>
      <w:pPr>
        <w:pStyle w:val="BodyText"/>
      </w:pPr>
      <w:r>
        <w:t xml:space="preserve">Историки обсуждают, был ли прорыв стратегическим успехом. Одни видят в нём крупнейшую победу России в войне, другие — операцию, не превращённую в решающий результат из-за разногласий в командовании и нехватки резервов.</w:t>
      </w:r>
    </w:p>
    <w:p>
      <w:pPr>
        <w:pStyle w:val="BodyText"/>
      </w:pPr>
      <w:r>
        <w:rPr>
          <w:bCs/>
          <w:b/>
        </w:rPr>
        <w:t xml:space="preserve">[слайд 39 — экономика войны: деньги и займы]</w:t>
      </w:r>
    </w:p>
    <w:p>
      <w:pPr>
        <w:pStyle w:val="BodyText"/>
      </w:pPr>
      <w:r>
        <w:t xml:space="preserve">Перейдём к тылу. На диаграмме — денежная масса. 27 июля 1914 года размен банкнот на золото приостановили, и количество бумажных денег в обращении выросло с примерно 1,6 миллиарда рублей на 1 июля 1914 года до примерно 9,1 миллиарда на 1 января 1917 года. Государство финансировало войну внутренними и внешними займами, налогами и выпуском бумажных денег; питейная монополия, дававшая около четверти обыкновенных доходов, была закрыта запретом продажи водки. На слайде — плакаты «Военный заём» 1915–1916 годов.</w:t>
      </w:r>
    </w:p>
    <w:p>
      <w:pPr>
        <w:pStyle w:val="BodyText"/>
      </w:pPr>
      <w:r>
        <w:t xml:space="preserve">Рост денежной массы при ограниченном предложении товаров вызвал инфляцию: цены на основные продукты выросли к 1917 году в несколько раз, а заработки отставали. Вопрос для обсуждения: как сочетались рост военных заказов, эмиссия и нехватка потребительских товаров, и почему горожане ощутили дефицит раньше, чем фронт?</w:t>
      </w:r>
    </w:p>
    <w:p>
      <w:pPr>
        <w:pStyle w:val="BodyText"/>
      </w:pPr>
      <w:r>
        <w:rPr>
          <w:bCs/>
          <w:b/>
        </w:rPr>
        <w:t xml:space="preserve">[слайд 40 — твёрдые цены, разверстка, транспорт]</w:t>
      </w:r>
    </w:p>
    <w:p>
      <w:pPr>
        <w:pStyle w:val="BodyText"/>
      </w:pPr>
      <w:r>
        <w:t xml:space="preserve">Продовольственная политика 1916 года заслуживает отдельного разбора, потому что на ней виден механизм кризиса. Государство установило твёрдые цены на хлеб для армии и ряд других товаров. На фоне роста цен на промышленные товары продажа хлеба государству по твёрдой цене становилась невыгодной, и производители удерживали зерно. 29 ноября 1916 года министр земледелия А. А. Риттих ввёл разверстку хлеба по губерниям и уездам: заготовку обязательных объёмов вместо покупок по свободной цене.</w:t>
      </w:r>
    </w:p>
    <w:p>
      <w:pPr>
        <w:pStyle w:val="BodyText"/>
      </w:pPr>
      <w:r>
        <w:t xml:space="preserve">Транспорт добавлял проблем. Военные перевозки имели приоритет; износ паровозного парка и нехватка вагонов делали доставку хлеба в города нерегулярной, и Москва с Петроградом получали продовольствие с перебоями. Цепочка на слайде показывает последовательность: твёрдая цена, удержание зерна, дефицит в городе, разверстка. К зиме 1916–1917 годов разрыв между политикой цен, денежной массой и возможностями транспорта привёл к очередям и слухам о нехватке хлеба, хотя запасы в стране существовали.</w:t>
      </w:r>
    </w:p>
    <w:p>
      <w:pPr>
        <w:pStyle w:val="BodyText"/>
      </w:pPr>
      <w:r>
        <w:rPr>
          <w:bCs/>
          <w:b/>
        </w:rPr>
        <w:t xml:space="preserve">[слайд 41 — Урал и Челябинск в годы войны]</w:t>
      </w:r>
    </w:p>
    <w:p>
      <w:pPr>
        <w:pStyle w:val="BodyText"/>
      </w:pPr>
      <w:r>
        <w:t xml:space="preserve">Региональный материал. Военные заказы получили заводы Златоуста, Перми (Мотовилиха), Воткинска и Ижевска; горнозаводской Урал стал одной из баз снабжения армии. Челябинск — узел Самаро-Златоустовской и Сибирской магистралей: здесь проходили эшелоны с призывниками, ранеными, беженцами и грузами. В городах Урала развёртывались госпитали и лазареты, помощь раненым организовывали Земгор и Красный Крест. К 1916 году в России находилось около двух миллионов военнопленных; значительная часть работала на Урале и в Сибири.</w:t>
      </w:r>
    </w:p>
    <w:p>
      <w:pPr>
        <w:pStyle w:val="BodyText"/>
      </w:pPr>
      <w:r>
        <w:t xml:space="preserve">Челябинский переселенческий пункт, ещё недавно принимавший сотни тысяч переселенцев, в военные годы перешёл на военное расписание. На слайде — снимки из подборки о Челябинске в годы Первой мировой войны: операция в госпитале и артиллеристы у орудия. Для темы рекомендуется использовать материалы краеведческих музеев и архивов.</w:t>
      </w:r>
    </w:p>
    <w:bookmarkEnd w:id="27"/>
    <w:bookmarkStart w:id="28" w:name="X370ae5c90985ac2cd151515c632d4dd22432542"/>
    <w:p>
      <w:pPr>
        <w:pStyle w:val="Heading2"/>
      </w:pPr>
      <w:r>
        <w:t xml:space="preserve">Вопрос шестой. От «думского штурма» до Февраля</w:t>
      </w:r>
    </w:p>
    <w:p>
      <w:pPr>
        <w:pStyle w:val="FirstParagraph"/>
      </w:pPr>
      <w:r>
        <w:rPr>
          <w:bCs/>
          <w:b/>
        </w:rPr>
        <w:t xml:space="preserve">[слайд 42 — вопрос шестой]</w:t>
      </w:r>
    </w:p>
    <w:p>
      <w:pPr>
        <w:pStyle w:val="BodyText"/>
      </w:pPr>
      <w:r>
        <w:t xml:space="preserve">Шестой вопрос — «думский штурм» ноября 1916 года, убийство Распутина и нарастание политических противоречий в январе–феврале 1917 года.</w:t>
      </w:r>
    </w:p>
    <w:p>
      <w:pPr>
        <w:pStyle w:val="BodyText"/>
      </w:pPr>
      <w:r>
        <w:rPr>
          <w:bCs/>
          <w:b/>
        </w:rPr>
        <w:t xml:space="preserve">[слайд 43 — ноябрь 1916 года: думский штурм]</w:t>
      </w:r>
    </w:p>
    <w:p>
      <w:pPr>
        <w:pStyle w:val="BodyText"/>
      </w:pPr>
      <w:r>
        <w:t xml:space="preserve">1 (14) ноября 1916 года открылась сессия Думы. П. Н. Милюков, лидер кадетов, выступил против председателя Совета министров Б. В. Штюрмера и придворных кругов; текст речи разошёлся в списках. В течение ноября с критикой выступили А. Ф. Керенский и лидеры других фракций, Дума требовала отставки правительства. 10 (23) ноября Штюрмер ушёл в отставку, председателем назначили А. Ф. Трепова. 19 ноября (2 декабря) монархист В. М. Пуришкевич произнёс речь о «тёмных силах» при дворе. Против «тёмных сил» высказались Совет объединённого дворянства, Земгор и Союз городов.</w:t>
      </w:r>
    </w:p>
    <w:p>
      <w:pPr>
        <w:pStyle w:val="BodyText"/>
      </w:pPr>
      <w:r>
        <w:t xml:space="preserve">Итог месяца: отставка Штюрмера показала, что общественное давление способно менять состав правительства. Замена Штюрмера Треповым общего курса не изменила: императрица и придворный круг сохранили влияние. На слайде — Милюков на трибуне Думы, колоризированная фотография.</w:t>
      </w:r>
    </w:p>
    <w:p>
      <w:pPr>
        <w:pStyle w:val="BodyText"/>
      </w:pPr>
      <w:r>
        <w:rPr>
          <w:bCs/>
          <w:b/>
        </w:rPr>
        <w:t xml:space="preserve">[слайд 44 — источник: речь Милюкова 1 ноября 1916 года]</w:t>
      </w:r>
    </w:p>
    <w:p>
      <w:pPr>
        <w:pStyle w:val="BodyText"/>
      </w:pPr>
      <w:r>
        <w:t xml:space="preserve">Перед нами самая известная речь думского периода. Милюков перечислял действия правительства и после каждого примера повторял один вопрос: «Что это: глупость или измена?» Речь была запрещена к публикации, но широко разошлась в списках, в том числе в армии.</w:t>
      </w:r>
    </w:p>
    <w:p>
      <w:pPr>
        <w:pStyle w:val="BodyText"/>
      </w:pPr>
      <w:r>
        <w:t xml:space="preserve">Оценки различаются. По воспоминаниям самого Милюкова, доказательств измены у него не было, вопрос задавался как риторический. Историки отмечают, что публичное слово «измена» изменило политическую роль Думы: она перестала быть партнёром власти. Вопросы к тексту: какие обвинения выдвигает оратор, на какие источники он ссылается, почему форма вопроса оказалась сильнее прямого обвинения.</w:t>
      </w:r>
    </w:p>
    <w:p>
      <w:pPr>
        <w:pStyle w:val="BodyText"/>
      </w:pPr>
      <w:r>
        <w:rPr>
          <w:bCs/>
          <w:b/>
        </w:rPr>
        <w:t xml:space="preserve">[слайд 45 — Г. Е. Распутин: образ и убийство]</w:t>
      </w:r>
    </w:p>
    <w:p>
      <w:pPr>
        <w:pStyle w:val="BodyText"/>
      </w:pPr>
      <w:r>
        <w:t xml:space="preserve">Григорий Ефимович Распутин (1869–1916) — крестьянин Тобольской губернии, с 1905 года знакомый с императорской семьёй, с 1907 года целитель наследника Алексея, больного гемофилией. В ночь на 17 (30) декабря 1916 года он был убит в Юсуповском дворце на Мойке; в заговоре участвовали Ф. Ф. Юсупов, великий князь Дмитрий Павлович, В. М. Пуришкевич и другие; тело нашли в Малой Невке. Убийство не изменило политики: участники заговора были высланы, кабинет остался прежним.</w:t>
      </w:r>
    </w:p>
    <w:p>
      <w:pPr>
        <w:pStyle w:val="BodyText"/>
      </w:pPr>
      <w:r>
        <w:t xml:space="preserve">Для современников Распутин воплощал «тёмные силы». Историки, и прежде всего Б. И. Колоницкий, показывают, что его образ в печати и слухах вырос до символа разложения власти сильнее, чем реальное влияние на решения.</w:t>
      </w:r>
    </w:p>
    <w:p>
      <w:pPr>
        <w:pStyle w:val="BodyText"/>
      </w:pPr>
      <w:r>
        <w:rPr>
          <w:bCs/>
          <w:b/>
        </w:rPr>
        <w:t xml:space="preserve">[слайд 46 — продовольственный кризис в Петрограде]</w:t>
      </w:r>
    </w:p>
    <w:p>
      <w:pPr>
        <w:pStyle w:val="BodyText"/>
      </w:pPr>
      <w:r>
        <w:t xml:space="preserve">Январь–февраль 1917 года. 9 (22) января, в годовщину Кровавого воскресенья, в Петрограде бастовали более ста тысяч человек. В январе–феврале сильные морозы и снегопады осложнили подвоз муки; у булочных выстраивались очереди. 14 (27) февраля открылась сессия Думы, прошли рабочие демонстрации. 21–22 февраля слухи о введении хлебных карточек привели к скоплению людей у булочных. 23 февраля (8 марта), в Женский день, демонстрации с лозунгом «Хлеба!» перешли в стачку; так начались события Февральской революции, которым посвящена тема 7.1.</w:t>
      </w:r>
    </w:p>
    <w:p>
      <w:pPr>
        <w:pStyle w:val="BodyText"/>
      </w:pPr>
      <w:r>
        <w:t xml:space="preserve">На слайде — очередь у магазина в Петрограде зимой 1916–1917 годов и демонстрация с транспарантом «Прибавку пайка семьям солдат — защитникам народного мира». Итог: хлеб в стране имелся, но перебои возникали в цепочке заготовки, перевозки и распределения, а слухи о карточках ускорили панику. Продовольственный вопрос стал поводом для политического выступления.</w:t>
      </w:r>
    </w:p>
    <w:p>
      <w:pPr>
        <w:pStyle w:val="BodyText"/>
      </w:pPr>
      <w:r>
        <w:rPr>
          <w:bCs/>
          <w:b/>
        </w:rPr>
        <w:t xml:space="preserve">[слайд 47 — спорят историки: война и крах монархии]</w:t>
      </w:r>
    </w:p>
    <w:p>
      <w:pPr>
        <w:pStyle w:val="BodyText"/>
      </w:pPr>
      <w:r>
        <w:t xml:space="preserve">Заключительный историографический слайд. Первая позиция: война как решающий фактор. Эмигрантская историография, в частности Н. Н. Головин, утверждала, что без войны модернизация продолжилась бы, а перегрузка армии и снабжения в 1915–1916 годах вызвала кризис. Вторая: кризис системы. А. Я. Аврех и Р. Пайпс видели в войне событие, обнажившее слабость институтов — Думы, Государственного совета и кабинета — и утрату монархией опоры среди элит. Третья: экономика и снабжение. П. Гатрелл (2005) полагает, что российская экономика выдержала испытание лучше, чем считалось, а кризис вызвали перегрузка транспорта и денежной системы и политика цен. Четвёртая: символы и слухи. Б. И. Колоницкий рассматривает революцию как итог делегитимации, при которой слухи, карикатура и образ «тёмных сил» лишили монархию доверия ещё до восстания.</w:t>
      </w:r>
    </w:p>
    <w:p>
      <w:pPr>
        <w:pStyle w:val="BodyText"/>
      </w:pPr>
      <w:r>
        <w:t xml:space="preserve">Основные выводы по слайду: позиции расходятся в том, что считать главной причиной кризиса — военное поражение, слабость институтов, экономическую перегрузку или утрату доверия к власти.</w:t>
      </w:r>
    </w:p>
    <w:bookmarkEnd w:id="28"/>
    <w:bookmarkStart w:id="29" w:name="заключение"/>
    <w:p>
      <w:pPr>
        <w:pStyle w:val="Heading2"/>
      </w:pPr>
      <w:r>
        <w:t xml:space="preserve">Заключение</w:t>
      </w:r>
    </w:p>
    <w:p>
      <w:pPr>
        <w:pStyle w:val="FirstParagraph"/>
      </w:pPr>
      <w:r>
        <w:rPr>
          <w:bCs/>
          <w:b/>
        </w:rPr>
        <w:t xml:space="preserve">[слайд 48 — война и институты]</w:t>
      </w:r>
    </w:p>
    <w:p>
      <w:pPr>
        <w:pStyle w:val="BodyText"/>
      </w:pPr>
      <w:r>
        <w:t xml:space="preserve">Вернёмся к вопросу из начала лекции. Таблица подводит итог по пяти институтам. Представительная власть: Дума работала, приняла бюджет, создала Прогрессивный блок, но её отношения с правительством были разорваны речью 1 ноября 1916 года. Исполнительная власть: смена председателей Совета министров и министров, единой программы нет; кабинет Н. Д. Голицына не располагал поддержкой ни Думы, ни общественных организаций. Армия: победа 1916 года, но потери 1914–1916 годов выбили кадровый состав; боеспособность сохранена, настроения тыловых гарнизонов неустойчивы. Хозяйство и снабжение: военные заказы выросли, а денежная масса и твёрдые цены разрушили обмен между городом и деревней; следствием стали дефицит хлеба и топлива, очереди, забастовки. Доверие к монархии: слухи, «тёмные силы», кампания против «засилья» привели к утрате символического авторитета в столице и в армии.</w:t>
      </w:r>
    </w:p>
    <w:p>
      <w:pPr>
        <w:pStyle w:val="BodyText"/>
      </w:pPr>
      <w:r>
        <w:t xml:space="preserve">Война выступила испытанием для всех институтов сразу: перегрузка одних (транспорт, финансы) сочеталась с недоверием к другим (кабинет, двор).</w:t>
      </w:r>
    </w:p>
    <w:p>
      <w:pPr>
        <w:pStyle w:val="BodyText"/>
      </w:pPr>
      <w:r>
        <w:rPr>
          <w:bCs/>
          <w:b/>
        </w:rPr>
        <w:t xml:space="preserve">[слайд 49 — основные выводы]</w:t>
      </w:r>
    </w:p>
    <w:p>
      <w:pPr>
        <w:numPr>
          <w:ilvl w:val="0"/>
          <w:numId w:val="1001"/>
        </w:numPr>
        <w:pStyle w:val="Compact"/>
      </w:pPr>
      <w:r>
        <w:t xml:space="preserve">Блоки, гонка вооружений и балканские кризисы 1908–1913 годов сделали большую войну вероятной; ответственность сторон историки оценивают по-разному.</w:t>
      </w:r>
    </w:p>
    <w:p>
      <w:pPr>
        <w:numPr>
          <w:ilvl w:val="0"/>
          <w:numId w:val="1001"/>
        </w:numPr>
        <w:pStyle w:val="Compact"/>
      </w:pPr>
      <w:r>
        <w:t xml:space="preserve">Решение об общей мобилизации в июле 1914 года связало Россию союзническими обязательствами и планами развёртывания; в первые месяцы войны власть и общество были едины.</w:t>
      </w:r>
    </w:p>
    <w:p>
      <w:pPr>
        <w:numPr>
          <w:ilvl w:val="0"/>
          <w:numId w:val="1001"/>
        </w:numPr>
        <w:pStyle w:val="Compact"/>
      </w:pPr>
      <w:r>
        <w:t xml:space="preserve">Кампания 1914 года дала победу в Галиции и поражение в Восточной Пруссии; вступление Османской империи закрыло Проливы.</w:t>
      </w:r>
    </w:p>
    <w:p>
      <w:pPr>
        <w:numPr>
          <w:ilvl w:val="0"/>
          <w:numId w:val="1001"/>
        </w:numPr>
        <w:pStyle w:val="Compact"/>
      </w:pPr>
      <w:r>
        <w:t xml:space="preserve">Великое отступление 1915 года обнажило кризис снабжения и запустило политический кризис; Прогрессивный блок предложил компромисс, власть его отвергла.</w:t>
      </w:r>
    </w:p>
    <w:p>
      <w:pPr>
        <w:numPr>
          <w:ilvl w:val="0"/>
          <w:numId w:val="1001"/>
        </w:numPr>
        <w:pStyle w:val="Compact"/>
      </w:pPr>
      <w:r>
        <w:t xml:space="preserve">1916 год принёс Брусиловский прорыв и рост военной промышленности, но одновременно инфляцию, транспортный кризис и продовольственные трудности.</w:t>
      </w:r>
    </w:p>
    <w:p>
      <w:pPr>
        <w:numPr>
          <w:ilvl w:val="0"/>
          <w:numId w:val="1001"/>
        </w:numPr>
        <w:pStyle w:val="Compact"/>
      </w:pPr>
      <w:r>
        <w:t xml:space="preserve">Речь Милюкова 1 ноября и убийство Распутина показали утрату доверия к власти; правительство не располагало опорой ни в Думе, ни в обществе.</w:t>
      </w:r>
    </w:p>
    <w:p>
      <w:pPr>
        <w:numPr>
          <w:ilvl w:val="0"/>
          <w:numId w:val="1001"/>
        </w:numPr>
        <w:pStyle w:val="Compact"/>
      </w:pPr>
      <w:r>
        <w:t xml:space="preserve">Февраль 1917 года начался как хлебные волнения в столице на фоне перегрузки всех институтов.</w:t>
      </w:r>
    </w:p>
    <w:p>
      <w:pPr>
        <w:pStyle w:val="FirstParagraph"/>
      </w:pPr>
      <w:r>
        <w:rPr>
          <w:bCs/>
          <w:b/>
        </w:rPr>
        <w:t xml:space="preserve">[слайд 50 — вопросы и задания]</w:t>
      </w:r>
    </w:p>
    <w:p>
      <w:pPr>
        <w:pStyle w:val="BodyText"/>
      </w:pPr>
      <w:r>
        <w:t xml:space="preserve">Вопросы для обсуждения и задания — на слайде и в файле вопросов и заданий к теме. Тестовые задания войдут в общий тест по разделу 6 (тема 6.9). Тема 6.8 «Культура России XIX — начала XX в.» вынесена на самостоятельную работу.</w:t>
      </w:r>
    </w:p>
    <w:p>
      <w:pPr>
        <w:pStyle w:val="BodyText"/>
      </w:pPr>
      <w:r>
        <w:rPr>
          <w:bCs/>
          <w:b/>
        </w:rPr>
        <w:t xml:space="preserve">[слайд 51 — литература]</w:t>
      </w:r>
    </w:p>
    <w:bookmarkEnd w:id="29"/>
    <w:bookmarkStart w:id="32" w:name="список-литературы"/>
    <w:p>
      <w:pPr>
        <w:pStyle w:val="Heading2"/>
      </w:pPr>
      <w:r>
        <w:t xml:space="preserve">Список литературы</w:t>
      </w:r>
    </w:p>
    <w:bookmarkStart w:id="30" w:name="источники-и-основная"/>
    <w:p>
      <w:pPr>
        <w:pStyle w:val="Heading3"/>
      </w:pPr>
      <w:r>
        <w:t xml:space="preserve">Источники и основная</w:t>
      </w:r>
    </w:p>
    <w:p>
      <w:pPr>
        <w:numPr>
          <w:ilvl w:val="0"/>
          <w:numId w:val="1002"/>
        </w:numPr>
        <w:pStyle w:val="Compact"/>
      </w:pPr>
      <w:r>
        <w:t xml:space="preserve">Манифест о вступлении России в войну, 20 июля 1914 г.</w:t>
      </w:r>
    </w:p>
    <w:p>
      <w:pPr>
        <w:numPr>
          <w:ilvl w:val="0"/>
          <w:numId w:val="1002"/>
        </w:numPr>
        <w:pStyle w:val="Compact"/>
      </w:pPr>
      <w:r>
        <w:t xml:space="preserve">Декларация Прогрессивного блока, 25 августа 1915 г.</w:t>
      </w:r>
    </w:p>
    <w:p>
      <w:pPr>
        <w:numPr>
          <w:ilvl w:val="0"/>
          <w:numId w:val="1002"/>
        </w:numPr>
        <w:pStyle w:val="Compact"/>
      </w:pPr>
      <w:r>
        <w:t xml:space="preserve">Милюков П. Н. Воспоминания; речь 1 ноября 1916 г.</w:t>
      </w:r>
    </w:p>
    <w:p>
      <w:pPr>
        <w:numPr>
          <w:ilvl w:val="0"/>
          <w:numId w:val="1002"/>
        </w:numPr>
        <w:pStyle w:val="Compact"/>
      </w:pPr>
      <w:r>
        <w:t xml:space="preserve">Брусилов А. А. Мои воспоминания.</w:t>
      </w:r>
    </w:p>
    <w:p>
      <w:pPr>
        <w:numPr>
          <w:ilvl w:val="0"/>
          <w:numId w:val="1002"/>
        </w:numPr>
        <w:pStyle w:val="Compact"/>
      </w:pPr>
      <w:r>
        <w:t xml:space="preserve">Фёдоров В. А. История России 1861–1917.</w:t>
      </w:r>
    </w:p>
    <w:bookmarkEnd w:id="30"/>
    <w:bookmarkStart w:id="31" w:name="дополнительная"/>
    <w:p>
      <w:pPr>
        <w:pStyle w:val="Heading3"/>
      </w:pPr>
      <w:r>
        <w:t xml:space="preserve">Дополнительная</w:t>
      </w:r>
    </w:p>
    <w:p>
      <w:pPr>
        <w:numPr>
          <w:ilvl w:val="0"/>
          <w:numId w:val="1003"/>
        </w:numPr>
        <w:pStyle w:val="Compact"/>
      </w:pPr>
      <w:r>
        <w:t xml:space="preserve">Уткин А. И. Первая мировая война.</w:t>
      </w:r>
    </w:p>
    <w:p>
      <w:pPr>
        <w:numPr>
          <w:ilvl w:val="0"/>
          <w:numId w:val="1003"/>
        </w:numPr>
        <w:pStyle w:val="Compact"/>
      </w:pPr>
      <w:r>
        <w:t xml:space="preserve">Кларк К. Лунатики: как Европа пришла к Первой мировой войне.</w:t>
      </w:r>
    </w:p>
    <w:p>
      <w:pPr>
        <w:numPr>
          <w:ilvl w:val="0"/>
          <w:numId w:val="1003"/>
        </w:numPr>
        <w:pStyle w:val="Compact"/>
      </w:pPr>
      <w:r>
        <w:t xml:space="preserve">Аврех А. Я. Распад третьеиюньской системы.</w:t>
      </w:r>
    </w:p>
    <w:p>
      <w:pPr>
        <w:numPr>
          <w:ilvl w:val="0"/>
          <w:numId w:val="1003"/>
        </w:numPr>
        <w:pStyle w:val="Compact"/>
      </w:pPr>
      <w:r>
        <w:t xml:space="preserve">Колоницкий Б. И. Трагическая эротика: образы императорской семьи в годы Первой мировой войны.</w:t>
      </w:r>
    </w:p>
    <w:p>
      <w:pPr>
        <w:numPr>
          <w:ilvl w:val="0"/>
          <w:numId w:val="1003"/>
        </w:numPr>
        <w:pStyle w:val="Compact"/>
      </w:pPr>
      <w:r>
        <w:t xml:space="preserve">Гатрелл П. Российская экономика и Первая мировая война.</w:t>
      </w:r>
    </w:p>
    <w:p>
      <w:pPr>
        <w:numPr>
          <w:ilvl w:val="0"/>
          <w:numId w:val="1003"/>
        </w:numPr>
        <w:pStyle w:val="Compact"/>
      </w:pPr>
      <w:r>
        <w:t xml:space="preserve">Соловьёв К. А. Самодержавие и конституция: политическая повседневность в 1906–1917 годах.</w:t>
      </w:r>
    </w:p>
    <w:p>
      <w:pPr>
        <w:pStyle w:val="FirstParagraph"/>
      </w:pPr>
      <w:r>
        <w:t xml:space="preserve">Выходные данные уточняются по последнему изданию. Работы Ф. Фишера, К. Кларка и Ш. Макмикина полезно читать вместе: они дают три разные оценки одной и той же июльской развязки.</w:t>
      </w:r>
    </w:p>
    <w:bookmarkEnd w:id="31"/>
    <w:bookmarkEnd w:id="32"/>
    <w:bookmarkStart w:id="33" w:name="хронометраж"/>
    <w:p>
      <w:pPr>
        <w:pStyle w:val="Heading2"/>
      </w:pPr>
      <w:r>
        <w:t xml:space="preserve">Хронометраж</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Часть</w:t>
            </w:r>
          </w:p>
        </w:tc>
        <w:tc>
          <w:tcPr/>
          <w:p>
            <w:pPr>
              <w:pStyle w:val="Compact"/>
              <w:jc w:val="left"/>
            </w:pPr>
            <w:r>
              <w:t xml:space="preserve">Слайды</w:t>
            </w:r>
          </w:p>
        </w:tc>
        <w:tc>
          <w:tcPr/>
          <w:p>
            <w:pPr>
              <w:pStyle w:val="Compact"/>
              <w:jc w:val="left"/>
            </w:pPr>
            <w:r>
              <w:t xml:space="preserve">Время</w:t>
            </w:r>
          </w:p>
        </w:tc>
      </w:tr>
      <w:tr>
        <w:tc>
          <w:tcPr/>
          <w:p>
            <w:pPr>
              <w:pStyle w:val="Compact"/>
              <w:jc w:val="left"/>
            </w:pPr>
            <w:r>
              <w:t xml:space="preserve">Вводная часть</w:t>
            </w:r>
          </w:p>
        </w:tc>
        <w:tc>
          <w:tcPr/>
          <w:p>
            <w:pPr>
              <w:pStyle w:val="Compact"/>
              <w:jc w:val="left"/>
            </w:pPr>
            <w:r>
              <w:t xml:space="preserve">1–4</w:t>
            </w:r>
          </w:p>
        </w:tc>
        <w:tc>
          <w:tcPr/>
          <w:p>
            <w:pPr>
              <w:pStyle w:val="Compact"/>
              <w:jc w:val="left"/>
            </w:pPr>
            <w:r>
              <w:t xml:space="preserve">5 мин</w:t>
            </w:r>
          </w:p>
        </w:tc>
      </w:tr>
      <w:tr>
        <w:tc>
          <w:tcPr/>
          <w:p>
            <w:pPr>
              <w:pStyle w:val="Compact"/>
              <w:jc w:val="left"/>
            </w:pPr>
            <w:r>
              <w:t xml:space="preserve">Вопрос первый</w:t>
            </w:r>
          </w:p>
        </w:tc>
        <w:tc>
          <w:tcPr/>
          <w:p>
            <w:pPr>
              <w:pStyle w:val="Compact"/>
              <w:jc w:val="left"/>
            </w:pPr>
            <w:r>
              <w:t xml:space="preserve">5–11</w:t>
            </w:r>
          </w:p>
        </w:tc>
        <w:tc>
          <w:tcPr/>
          <w:p>
            <w:pPr>
              <w:pStyle w:val="Compact"/>
              <w:jc w:val="left"/>
            </w:pPr>
            <w:r>
              <w:t xml:space="preserve">13 мин</w:t>
            </w:r>
          </w:p>
        </w:tc>
      </w:tr>
      <w:tr>
        <w:tc>
          <w:tcPr/>
          <w:p>
            <w:pPr>
              <w:pStyle w:val="Compact"/>
              <w:jc w:val="left"/>
            </w:pPr>
            <w:r>
              <w:t xml:space="preserve">Вопрос второй</w:t>
            </w:r>
          </w:p>
        </w:tc>
        <w:tc>
          <w:tcPr/>
          <w:p>
            <w:pPr>
              <w:pStyle w:val="Compact"/>
              <w:jc w:val="left"/>
            </w:pPr>
            <w:r>
              <w:t xml:space="preserve">12–16</w:t>
            </w:r>
          </w:p>
        </w:tc>
        <w:tc>
          <w:tcPr/>
          <w:p>
            <w:pPr>
              <w:pStyle w:val="Compact"/>
              <w:jc w:val="left"/>
            </w:pPr>
            <w:r>
              <w:t xml:space="preserve">10 мин</w:t>
            </w:r>
          </w:p>
        </w:tc>
      </w:tr>
      <w:tr>
        <w:tc>
          <w:tcPr/>
          <w:p>
            <w:pPr>
              <w:pStyle w:val="Compact"/>
              <w:jc w:val="left"/>
            </w:pPr>
            <w:r>
              <w:t xml:space="preserve">Вопрос третий</w:t>
            </w:r>
          </w:p>
        </w:tc>
        <w:tc>
          <w:tcPr/>
          <w:p>
            <w:pPr>
              <w:pStyle w:val="Compact"/>
              <w:jc w:val="left"/>
            </w:pPr>
            <w:r>
              <w:t xml:space="preserve">17–26</w:t>
            </w:r>
          </w:p>
        </w:tc>
        <w:tc>
          <w:tcPr/>
          <w:p>
            <w:pPr>
              <w:pStyle w:val="Compact"/>
              <w:jc w:val="left"/>
            </w:pPr>
            <w:r>
              <w:t xml:space="preserve">17 мин</w:t>
            </w:r>
          </w:p>
        </w:tc>
      </w:tr>
      <w:tr>
        <w:tc>
          <w:tcPr/>
          <w:p>
            <w:pPr>
              <w:pStyle w:val="Compact"/>
              <w:jc w:val="left"/>
            </w:pPr>
            <w:r>
              <w:t xml:space="preserve">Вопрос четвёртый</w:t>
            </w:r>
          </w:p>
        </w:tc>
        <w:tc>
          <w:tcPr/>
          <w:p>
            <w:pPr>
              <w:pStyle w:val="Compact"/>
              <w:jc w:val="left"/>
            </w:pPr>
            <w:r>
              <w:t xml:space="preserve">27–34</w:t>
            </w:r>
          </w:p>
        </w:tc>
        <w:tc>
          <w:tcPr/>
          <w:p>
            <w:pPr>
              <w:pStyle w:val="Compact"/>
              <w:jc w:val="left"/>
            </w:pPr>
            <w:r>
              <w:t xml:space="preserve">13 мин</w:t>
            </w:r>
          </w:p>
        </w:tc>
      </w:tr>
      <w:tr>
        <w:tc>
          <w:tcPr/>
          <w:p>
            <w:pPr>
              <w:pStyle w:val="Compact"/>
              <w:jc w:val="left"/>
            </w:pPr>
            <w:r>
              <w:t xml:space="preserve">Вопрос пятый</w:t>
            </w:r>
          </w:p>
        </w:tc>
        <w:tc>
          <w:tcPr/>
          <w:p>
            <w:pPr>
              <w:pStyle w:val="Compact"/>
              <w:jc w:val="left"/>
            </w:pPr>
            <w:r>
              <w:t xml:space="preserve">35–41</w:t>
            </w:r>
          </w:p>
        </w:tc>
        <w:tc>
          <w:tcPr/>
          <w:p>
            <w:pPr>
              <w:pStyle w:val="Compact"/>
              <w:jc w:val="left"/>
            </w:pPr>
            <w:r>
              <w:t xml:space="preserve">13 мин</w:t>
            </w:r>
          </w:p>
        </w:tc>
      </w:tr>
      <w:tr>
        <w:tc>
          <w:tcPr/>
          <w:p>
            <w:pPr>
              <w:pStyle w:val="Compact"/>
              <w:jc w:val="left"/>
            </w:pPr>
            <w:r>
              <w:t xml:space="preserve">Вопрос шестой</w:t>
            </w:r>
          </w:p>
        </w:tc>
        <w:tc>
          <w:tcPr/>
          <w:p>
            <w:pPr>
              <w:pStyle w:val="Compact"/>
              <w:jc w:val="left"/>
            </w:pPr>
            <w:r>
              <w:t xml:space="preserve">42–48</w:t>
            </w:r>
          </w:p>
        </w:tc>
        <w:tc>
          <w:tcPr/>
          <w:p>
            <w:pPr>
              <w:pStyle w:val="Compact"/>
              <w:jc w:val="left"/>
            </w:pPr>
            <w:r>
              <w:t xml:space="preserve">14 мин</w:t>
            </w:r>
          </w:p>
        </w:tc>
      </w:tr>
      <w:tr>
        <w:tc>
          <w:tcPr/>
          <w:p>
            <w:pPr>
              <w:pStyle w:val="Compact"/>
              <w:jc w:val="left"/>
            </w:pPr>
            <w:r>
              <w:t xml:space="preserve">Заключение</w:t>
            </w:r>
          </w:p>
        </w:tc>
        <w:tc>
          <w:tcPr/>
          <w:p>
            <w:pPr>
              <w:pStyle w:val="Compact"/>
              <w:jc w:val="left"/>
            </w:pPr>
            <w:r>
              <w:t xml:space="preserve">49–51</w:t>
            </w:r>
          </w:p>
        </w:tc>
        <w:tc>
          <w:tcPr/>
          <w:p>
            <w:pPr>
              <w:pStyle w:val="Compact"/>
              <w:jc w:val="left"/>
            </w:pPr>
            <w:r>
              <w:t xml:space="preserve">5 мин</w:t>
            </w:r>
          </w:p>
        </w:tc>
      </w:tr>
    </w:tbl>
    <w:p>
      <w:pPr>
        <w:pStyle w:val="BodyText"/>
      </w:pPr>
      <w:r>
        <w:t xml:space="preserve">При нехватке времени в первом часе сокращаются слайд 10 (Проливы излагаются одной фразой) и слайд 18 (планы сторон), во втором — слайд 30 (схема общественных организаций) и слайд 41 (региональный материал выносится в задание). Сокращать слайды 11, 14, 22, 32, 44 и 47 не следует: на них держится историографическая часть темы.</w:t>
      </w:r>
    </w:p>
    <w:bookmarkEnd w:id="33"/>
    <w:bookmarkStart w:id="34" w:name="примечание-об-иллюстрациях"/>
    <w:p>
      <w:pPr>
        <w:pStyle w:val="Heading2"/>
      </w:pPr>
      <w:r>
        <w:t xml:space="preserve">Примечание об иллюстрациях</w:t>
      </w:r>
    </w:p>
    <w:p>
      <w:pPr>
        <w:pStyle w:val="FirstParagraph"/>
      </w:pPr>
      <w:r>
        <w:t xml:space="preserve">Изображения взяты из папки «фото доп» и вшиты в деку. Заполнены слайды:</w:t>
      </w:r>
    </w:p>
    <w:p>
      <w:pPr>
        <w:numPr>
          <w:ilvl w:val="0"/>
          <w:numId w:val="1004"/>
        </w:numPr>
        <w:pStyle w:val="Compact"/>
      </w:pPr>
      <w:r>
        <w:t xml:space="preserve">слайд 2 — юмористическая карта Европы 1914 года;</w:t>
      </w:r>
    </w:p>
    <w:p>
      <w:pPr>
        <w:numPr>
          <w:ilvl w:val="0"/>
          <w:numId w:val="1004"/>
        </w:numPr>
        <w:pStyle w:val="Compact"/>
      </w:pPr>
      <w:r>
        <w:t xml:space="preserve">слайд 8 — юмористическая карта Германии и Австро-Венгрии;</w:t>
      </w:r>
    </w:p>
    <w:p>
      <w:pPr>
        <w:numPr>
          <w:ilvl w:val="0"/>
          <w:numId w:val="1004"/>
        </w:numPr>
        <w:pStyle w:val="Compact"/>
      </w:pPr>
      <w:r>
        <w:t xml:space="preserve">слайд 13 — фотография Франца Фердинанда и Софии Хотек в Сараеве и иллюстрация к покушению;</w:t>
      </w:r>
    </w:p>
    <w:p>
      <w:pPr>
        <w:numPr>
          <w:ilvl w:val="0"/>
          <w:numId w:val="1004"/>
        </w:numPr>
        <w:pStyle w:val="Compact"/>
      </w:pPr>
      <w:r>
        <w:t xml:space="preserve">слайд 15 — балкон Зимнего дворца и манифестация в Петрограде, август 1914 года;</w:t>
      </w:r>
    </w:p>
    <w:p>
      <w:pPr>
        <w:numPr>
          <w:ilvl w:val="0"/>
          <w:numId w:val="1004"/>
        </w:numPr>
        <w:pStyle w:val="Compact"/>
      </w:pPr>
      <w:r>
        <w:t xml:space="preserve">слайд 19 — схема Восточно-Прусской операции (чёрно-белая);</w:t>
      </w:r>
    </w:p>
    <w:p>
      <w:pPr>
        <w:numPr>
          <w:ilvl w:val="0"/>
          <w:numId w:val="1004"/>
        </w:numPr>
        <w:pStyle w:val="Compact"/>
      </w:pPr>
      <w:r>
        <w:t xml:space="preserve">слайд 20 — портреты Ренненкампфа и Самсонова, цветная карта операции;</w:t>
      </w:r>
    </w:p>
    <w:p>
      <w:pPr>
        <w:numPr>
          <w:ilvl w:val="0"/>
          <w:numId w:val="1004"/>
        </w:numPr>
        <w:pStyle w:val="Compact"/>
      </w:pPr>
      <w:r>
        <w:t xml:space="preserve">слайд 21 — портрет А. А. Брусилова;</w:t>
      </w:r>
    </w:p>
    <w:p>
      <w:pPr>
        <w:numPr>
          <w:ilvl w:val="0"/>
          <w:numId w:val="1004"/>
        </w:numPr>
        <w:pStyle w:val="Compact"/>
      </w:pPr>
      <w:r>
        <w:t xml:space="preserve">слайд 37 — фотография А. А. Брусилова и карта Брусиловского прорыва;</w:t>
      </w:r>
    </w:p>
    <w:p>
      <w:pPr>
        <w:numPr>
          <w:ilvl w:val="0"/>
          <w:numId w:val="1004"/>
        </w:numPr>
        <w:pStyle w:val="Compact"/>
      </w:pPr>
      <w:r>
        <w:t xml:space="preserve">слайд 38 — схема из Энциклопедического словаря Гранат;</w:t>
      </w:r>
    </w:p>
    <w:p>
      <w:pPr>
        <w:numPr>
          <w:ilvl w:val="0"/>
          <w:numId w:val="1004"/>
        </w:numPr>
        <w:pStyle w:val="Compact"/>
      </w:pPr>
      <w:r>
        <w:t xml:space="preserve">слайд 39 — плакаты «Военный заём»;</w:t>
      </w:r>
    </w:p>
    <w:p>
      <w:pPr>
        <w:numPr>
          <w:ilvl w:val="0"/>
          <w:numId w:val="1004"/>
        </w:numPr>
        <w:pStyle w:val="Compact"/>
      </w:pPr>
      <w:r>
        <w:t xml:space="preserve">слайд 41 — два снимка из подборки «Челябинск в годы Первой мировой войны»;</w:t>
      </w:r>
    </w:p>
    <w:p>
      <w:pPr>
        <w:numPr>
          <w:ilvl w:val="0"/>
          <w:numId w:val="1004"/>
        </w:numPr>
        <w:pStyle w:val="Compact"/>
      </w:pPr>
      <w:r>
        <w:t xml:space="preserve">слайд 43 — П. Н. Милюков на трибуне Думы;</w:t>
      </w:r>
    </w:p>
    <w:p>
      <w:pPr>
        <w:numPr>
          <w:ilvl w:val="0"/>
          <w:numId w:val="1004"/>
        </w:numPr>
        <w:pStyle w:val="Compact"/>
      </w:pPr>
      <w:r>
        <w:t xml:space="preserve">слайд 44 — портрет П. Н. Милюкова;</w:t>
      </w:r>
    </w:p>
    <w:p>
      <w:pPr>
        <w:numPr>
          <w:ilvl w:val="0"/>
          <w:numId w:val="1004"/>
        </w:numPr>
        <w:pStyle w:val="Compact"/>
      </w:pPr>
      <w:r>
        <w:t xml:space="preserve">слайд 45 — Г. Е. Распутин;</w:t>
      </w:r>
    </w:p>
    <w:p>
      <w:pPr>
        <w:numPr>
          <w:ilvl w:val="0"/>
          <w:numId w:val="1004"/>
        </w:numPr>
        <w:pStyle w:val="Compact"/>
      </w:pPr>
      <w:r>
        <w:t xml:space="preserve">слайд 46 — очередь в Петрограде и демонстрация, февраль — март 1917 года.</w:t>
      </w:r>
    </w:p>
    <w:p>
      <w:pPr>
        <w:pStyle w:val="FirstParagraph"/>
      </w:pPr>
      <w:r>
        <w:t xml:space="preserve">Не использованы вторые варианты обложек и карт, если они дублировали первые. Слоты титульного коллажа не заполняются. Подписи к снимкам слайдов 15 и 41 составлены по названиям файлов; перед лекцией их стоит сверить с описанием источника.</w:t>
      </w:r>
    </w:p>
    <w:bookmarkEnd w:id="34"/>
    <w:bookmarkEnd w:id="35"/>
    <w:sectPr>
      <w:pgSz w:h="16838" w:w="11906"/>
      <w:pgMar w:bottom="1134" w:left="1701" w:right="850"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360" w:lineRule="auto"/>
    </w:pPr>
    <w:rPr>
      <w:rFonts w:ascii="Times New Roman" w:cs="Times New Roman" w:eastAsia="Times New Roman" w:hAnsi="Times New Roman"/>
      <w:color w:val="000000"/>
      <w:sz w:val="28"/>
    </w:rPr>
  </w:style>
  <w:style w:styleId="BodyText" w:type="paragraph">
    <w:name w:val="Body Text"/>
    <w:basedOn w:val="Normal"/>
    <w:link w:val="BodyTextChar"/>
    <w:pPr>
      <w:spacing w:after="0" w:before="0" w:line="360" w:lineRule="auto"/>
      <w:ind w:firstLine="709"/>
      <w:jc w:val="both"/>
    </w:pPr>
    <w:qFormat/>
    <w:rPr>
      <w:rFonts w:ascii="Times New Roman" w:cs="Times New Roman" w:eastAsia="Times New Roman" w:hAnsi="Times New Roman"/>
      <w:color w:val="000000"/>
      <w:sz w:val="28"/>
    </w:rPr>
  </w:style>
  <w:style w:customStyle="1" w:styleId="FirstParagraph" w:type="paragraph">
    <w:name w:val="First Paragraph"/>
    <w:basedOn w:val="BodyText"/>
    <w:next w:val="BodyText"/>
    <w:qFormat/>
    <w:pPr>
      <w:spacing w:after="0" w:before="0" w:line="360" w:lineRule="auto"/>
      <w:ind w:firstLine="709"/>
      <w:jc w:val="both"/>
    </w:pPr>
    <w:rPr>
      <w:rFonts w:ascii="Times New Roman" w:cs="Times New Roman" w:eastAsia="Times New Roman" w:hAnsi="Times New Roman"/>
      <w:color w:val="000000"/>
      <w:sz w:val="28"/>
    </w:rPr>
  </w:style>
  <w:style w:customStyle="1" w:styleId="Compact" w:type="paragraph">
    <w:name w:val="Compact"/>
    <w:basedOn w:val="BodyText"/>
    <w:qFormat/>
    <w:pPr>
      <w:spacing w:after="0" w:before="0" w:line="276" w:lineRule="auto"/>
      <w:ind w:firstLine="0"/>
      <w:jc w:val="left"/>
    </w:pPr>
    <w:rPr>
      <w:rFonts w:ascii="Times New Roman" w:cs="Times New Roman" w:eastAsia="Times New Roman" w:hAnsi="Times New Roman"/>
      <w:color w:val="000000"/>
      <w:sz w:val="24"/>
    </w:rPr>
  </w:style>
  <w:style w:styleId="Title" w:type="paragraph">
    <w:name w:val="Title"/>
    <w:basedOn w:val="Normal"/>
    <w:next w:val="BodyText"/>
    <w:qFormat/>
    <w:pPr>
      <w:keepNext/>
      <w:keepLines/>
      <w:spacing w:after="120" w:before="240"/>
      <w:ind w:firstLine="0"/>
      <w:jc w:val="center"/>
    </w:pPr>
    <w:rPr>
      <w:rFonts w:ascii="Times New Roman" w:cs="Times New Roman" w:eastAsia="Times New Roman" w:hAnsi="Times New Roman"/>
      <w:b/>
      <w:bCs/>
      <w:i w:val="0"/>
      <w:color w:val="000000"/>
      <w:sz w:val="32"/>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240"/>
      <w:ind w:firstLine="0"/>
      <w:jc w:val="center"/>
      <w:outlineLvl w:val="0"/>
    </w:pPr>
    <w:rPr>
      <w:rFonts w:ascii="Times New Roman" w:cs="Times New Roman" w:eastAsia="Times New Roman" w:hAnsi="Times New Roman"/>
      <w:b/>
      <w:bCs/>
      <w:i w:val="0"/>
      <w:color w:val="000000"/>
      <w:sz w:val="32"/>
      <w:szCs w:val="32"/>
    </w:rPr>
  </w:style>
  <w:style w:styleId="Heading2" w:type="paragraph">
    <w:name w:val="Heading 2"/>
    <w:basedOn w:val="Normal"/>
    <w:next w:val="BodyText"/>
    <w:uiPriority w:val="9"/>
    <w:unhideWhenUsed/>
    <w:qFormat/>
    <w:pPr>
      <w:keepNext/>
      <w:keepLines/>
      <w:spacing w:after="120" w:before="240"/>
      <w:ind w:firstLine="0"/>
      <w:jc w:val="left"/>
      <w:outlineLvl w:val="1"/>
    </w:pPr>
    <w:rPr>
      <w:rFonts w:ascii="Times New Roman" w:cs="Times New Roman" w:eastAsia="Times New Roman" w:hAnsi="Times New Roman"/>
      <w:b/>
      <w:bCs/>
      <w:i w:val="0"/>
      <w:color w:val="000000"/>
      <w:sz w:val="30"/>
      <w:szCs w:val="28"/>
    </w:rPr>
  </w:style>
  <w:style w:styleId="Heading3" w:type="paragraph">
    <w:name w:val="Heading 3"/>
    <w:basedOn w:val="Normal"/>
    <w:next w:val="BodyText"/>
    <w:uiPriority w:val="9"/>
    <w:unhideWhenUsed/>
    <w:qFormat/>
    <w:pPr>
      <w:keepNext/>
      <w:keepLines/>
      <w:spacing w:after="120" w:before="240"/>
      <w:ind w:firstLine="0"/>
      <w:jc w:val="left"/>
      <w:outlineLvl w:val="2"/>
    </w:pPr>
    <w:rPr>
      <w:rFonts w:ascii="Times New Roman" w:cs="Times New Roman" w:eastAsia="Times New Roman" w:hAnsi="Times New Roman"/>
      <w:b/>
      <w:bCs/>
      <w:i w:val="0"/>
      <w:color w:val="000000"/>
      <w:sz w:val="28"/>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0" w:before="0" w:line="360" w:lineRule="auto"/>
      <w:ind w:firstLine="0" w:left="480" w:right="480"/>
    </w:pPr>
    <w:rPr>
      <w:rFonts w:ascii="Times New Roman" w:cs="Times New Roman" w:eastAsia="Times New Roman" w:hAnsi="Times New Roman"/>
      <w:color w:val="000000"/>
      <w:sz w:val="28"/>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after="0" w:before="0" w:line="360" w:lineRule="auto"/>
    </w:pPr>
    <w:rPr>
      <w:rFonts w:ascii="Times New Roman" w:cs="Times New Roman" w:eastAsia="Times New Roman" w:hAnsi="Times New Roman"/>
      <w:color w:val="000000"/>
      <w:sz w:val="28"/>
    </w:r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2026-09-30T14:07:43Z</dcterms:created>
  <dcterms:modified xsi:type="dcterms:W3CDTF">2026-09-30T14:07:43Z</dcterms:modified>
</cp:coreProperties>
</file>

<file path=docProps/custom.xml><?xml version="1.0" encoding="utf-8"?>
<Properties xmlns="http://schemas.openxmlformats.org/officeDocument/2006/custom-properties" xmlns:vt="http://schemas.openxmlformats.org/officeDocument/2006/docPropsVTypes"/>
</file>