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e920375e7f03074241ba20f33fb63f00935c79"/>
    <w:p>
      <w:pPr>
        <w:pStyle w:val="Heading1"/>
      </w:pPr>
      <w:r>
        <w:t xml:space="preserve">Тема 6.8. Культура России XIX — начала XX в.</w:t>
      </w:r>
    </w:p>
    <w:p>
      <w:pPr>
        <w:pStyle w:val="FirstParagraph"/>
      </w:pPr>
      <w:r>
        <w:rPr>
          <w:bCs/>
          <w:b/>
        </w:rPr>
        <w:t xml:space="preserve">Раздел 6. Российская империя в XIX — начале XX в. · самостоятельная работа, 6 часов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p>
      <w:pPr>
        <w:pStyle w:val="BodyText"/>
      </w:pPr>
      <w:r>
        <w:rPr>
          <w:iCs/>
          <w:i/>
        </w:rPr>
        <w:t xml:space="preserve">Текст предназначен для самостоятельного чтения вместе с презентацией темы. Отметки [слайд N] указывают на соответствующие слайды.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[слайды 1–4]</w:t>
      </w:r>
    </w:p>
    <w:p>
      <w:pPr>
        <w:pStyle w:val="BodyText"/>
      </w:pPr>
      <w:r>
        <w:t xml:space="preserve">Тема посвящена культуре России XIX — начала XX века. Программа выделяет три группы сюжетов: феномен общественного мнения и салонную культуру; науку, литературу и язык; изобразительное искусство, музыку, театр. К этим сюжетам в презентацию добавлены писатели, художники и режиссёры, которые показывали Россию по-разному: Чехов, Леонтьев, Андреев, Горький, Серов, Рерих, Эйзенштейн, Вертов и авторы второго ряда. Общий вопрос темы: какую Россию видели и показывали современники и как складывалась сама возможность публично говорить о стране.</w:t>
      </w:r>
    </w:p>
    <w:p>
      <w:pPr>
        <w:pStyle w:val="BodyText"/>
      </w:pPr>
      <w:r>
        <w:t xml:space="preserve">Порядок работы изложен на слайде 3: шесть блоков по одному академическому часу. К каждому блоку относятся слайды, соответствующий раздел этого текста, вопросы для обсуждения и элементы теста. Даты внутри блоков даны по старому стилю, если событие происходило в России.</w:t>
      </w:r>
    </w:p>
    <w:p>
      <w:pPr>
        <w:pStyle w:val="BodyText"/>
      </w:pPr>
      <w:r>
        <w:t xml:space="preserve">На слайде 4 приведены двенадцать опорных дат: 1799–1837 годы — жизнь А. С. Пушкина; 1825–1832 годы — «Евгений Онегин»; 1830–1833 годы — «Последний день Помпеи» К. П. Брюллова; 27 ноября (9 декабря) 1836 года — премьера оперы Глинки «Жизнь за царя»; 1837–1857 годы — «Явление Христа народу» А. А. Иванова; 1863–1866 годы — первое издание словаря Даля; 1869 год — периодический закон Менделеева; 1870 год — Товарищество передвижных выставок и Уральское общество любителей естествознания; 1896 год — первые киносеансы; 1898 год — МХТ и журнал «Мир искусства»; 1900 год — Каслинский павильон в Париже; 1908 и 1915 годы — «Понизовая вольница» и «Чёрный квадрат».</w:t>
      </w:r>
    </w:p>
    <w:bookmarkEnd w:id="20"/>
    <w:bookmarkStart w:id="21" w:name="X8b8ef9e5f1af5875403a5e68e0f4131843dbc97"/>
    <w:p>
      <w:pPr>
        <w:pStyle w:val="Heading2"/>
      </w:pPr>
      <w:r>
        <w:t xml:space="preserve">Блок первый. Общественное мнение и салонная культура</w:t>
      </w:r>
    </w:p>
    <w:p>
      <w:pPr>
        <w:pStyle w:val="FirstParagraph"/>
      </w:pPr>
      <w:r>
        <w:rPr>
          <w:bCs/>
          <w:b/>
        </w:rPr>
        <w:t xml:space="preserve">[слайды 5–10]</w:t>
      </w:r>
    </w:p>
    <w:p>
      <w:pPr>
        <w:pStyle w:val="BodyText"/>
      </w:pPr>
      <w:r>
        <w:t xml:space="preserve">Общественное мнение — суждения о делах государства и общества, которые складываются в публичном обсуждении и приобретают значение для власти. Теоретической основой служит концепция публичной сферы Ю. Хабермаса, изложенная в книге «Структурное изменение публичной сферы» (1962). По Хабермасу, публичная сфера возникает там, где частные лица собираются как публика, обсуждают вопросы общего интереса и формируют мнение независимо от власти. Условиями для такого пространства служат печать, читающая публика и места общения.</w:t>
      </w:r>
    </w:p>
    <w:p>
      <w:pPr>
        <w:pStyle w:val="BodyText"/>
      </w:pPr>
      <w:r>
        <w:t xml:space="preserve">В России эти условия появились с конца XVIII века и развивались медленно. Цензура и сословный строй ограничивали публичность, поэтому обсуждение велось в узком кругу образованных людей, а журнал заменял трибуну. Слайд 6 показывает основные площадки: салоны и кружки, журналы («Вестник Европы», «Современник», «Отечественные записки», «Русский вестник»), клубы и общества (Английский клуб, Русское географическое общество, Русское техническое общество), университеты, земства и суд присяжных после реформ 1860-х годов, печать.</w:t>
      </w:r>
    </w:p>
    <w:p>
      <w:pPr>
        <w:pStyle w:val="BodyText"/>
      </w:pPr>
      <w:r>
        <w:t xml:space="preserve">Салон — регулярные приёмы в частном доме, которые ведёт хозяйка. В салоне обсуждали литературу, музыку, новости, читали сочинения до публикации. В Москве конца 1820-х годов собирались поэты, музыканты и учёные в салоне Зинаиды Волконской; здесь бывали А. С. Пушкин, А. Мицкевич, П. А. Вяземский. В Петербурге центром литературного общения был салон Екатерины Андреевны Карамзиной в 1830–1850-х годах: Жуковский, Пушкин, Лермонтов, Гоголь, Вяземский. Салон Елизаветы Хитрово объединял дипломатов и писателей. В Москве дом Авдотьи Петровны Елагиной стал местом собраний будущих славянофилов: братьев Киреевских, А. С. Хомякова. Слайд 7 показывает салонную сцену кисти Г. Г. Мясоедова; название картины указано по имени файла и требует проверки по каталогу музея.</w:t>
      </w:r>
    </w:p>
    <w:p>
      <w:pPr>
        <w:pStyle w:val="BodyText"/>
      </w:pPr>
      <w:r>
        <w:t xml:space="preserve">Кружки 1820–1840-х годов образуют вторую форму общения: общество любомудрия (1823–1825), кружок Н. В. Станкевича, кружки славянофилов и западников, кружок М. В. Петрашевского (1845–1849). Общими чертами служили чтение, философский спор и переписка. К середине XIX века центр обсуждения смещается в журналы и университетские аудитории: салон готовил читателя, журнал делал мнение публичным.</w:t>
      </w:r>
    </w:p>
    <w:p>
      <w:pPr>
        <w:pStyle w:val="BodyText"/>
      </w:pPr>
      <w:r>
        <w:t xml:space="preserve">Слайд 9 предлагает работу с художественным источником. Роман Л. Н. Толстого «Война и мир» начинается сценой в салоне Анны Павловны Шерер в июле 1805 года; первая реплика звучит по-французски. Для историка эта сцена показывает, как обсуждалась политика Наполеона в столичном обществе, а для лингвиста — двуязычие дворянской среды: французский язык служил признаком принадлежности к «свету». Полезно сопоставить это с описанием Ю. М. Лотмана в «Беседах о русской культуре».</w:t>
      </w:r>
    </w:p>
    <w:p>
      <w:pPr>
        <w:pStyle w:val="BodyText"/>
      </w:pPr>
      <w:r>
        <w:t xml:space="preserve">Слайд 10 подводит итог блока. Основные позиции в историографии. Первая: публичная сфера в России складывалась (Хабермас и его последователи), поскольку журналы, клубы, салоны и университет образуют пространство обсуждения. Вторая — Ю. М. Лотман: в «Беседах о русской культуре» (1994) дворянский быт рассматривается как область знаков и поведения, где общение шло по правилам сословной среды. Третья: Дж. Брукс, «Когда Россия научилась читать» (1985): рост грамотности и массовой печати изменил круг читателей в конце XIX — начале XX века. Позиции расходятся в определении публичной сферы: как обсуждения вне контроля власти или как любой практики общения читающей публики.</w:t>
      </w:r>
    </w:p>
    <w:bookmarkEnd w:id="21"/>
    <w:bookmarkStart w:id="22" w:name="блок-второй.-слово-язык-и-литература"/>
    <w:p>
      <w:pPr>
        <w:pStyle w:val="Heading2"/>
      </w:pPr>
      <w:r>
        <w:t xml:space="preserve">Блок второй. Слово: язык и литература</w:t>
      </w:r>
    </w:p>
    <w:p>
      <w:pPr>
        <w:pStyle w:val="FirstParagraph"/>
      </w:pPr>
      <w:r>
        <w:rPr>
          <w:bCs/>
          <w:b/>
        </w:rPr>
        <w:t xml:space="preserve">[слайды 11–19]</w:t>
      </w:r>
    </w:p>
    <w:p>
      <w:pPr>
        <w:pStyle w:val="BodyText"/>
      </w:pPr>
      <w:r>
        <w:t xml:space="preserve">Программа связывает завершение формирования русского литературного языка с творчеством А. С. Пушкина (слайд 11). Пушкин соединил церковнославянскую основу, разговорную речь и заимствования в единую литературную норму; в учебной литературе эту оценку принято повторять. Сопоставьте позиции Пушкина, А. С. Шишкова и Н. М. Карамзина в споре о «новом слоге»: в нём решался вопрос о границе между книжным и живым словом. «Толковый словарь живого великорусского языка» В. И. Даля (первое издание 1863–1866 годов) фиксирует около 200 тысяч слов, в том числе диалектных и народных. Титул на слайде — второго издания 1880 года.</w:t>
      </w:r>
    </w:p>
    <w:p>
      <w:pPr>
        <w:pStyle w:val="BodyText"/>
      </w:pPr>
      <w:r>
        <w:t xml:space="preserve">На слайде 12 даны литературные периоды. «Золотой век» охватывает примерно 1820–1880-е годы: Пушкин, Лермонтов, Гоголь, затем роман середины века — И. С. Тургенев («Отцы и дети», 1862), Ф. М. Достоевский («Преступление и наказание», 1866), Л. Н. Толстой («Война и мир», 1865–1869). Европейский читатель знакомится с русским романом в 1880-е годы. «Серебряный век» — 1890-е — 1910-е годы: символизм (В. Я. Брюсов, А. А. Блок, А. Белый), акмеизм (Н. С. Гумилёв, А. А. Ахматова, О. Э. Мандельштам), футуризм (В. В. Хлебников, В. В. Маяковский), проза И. А. Бунина и А. И. Куприна. Литература в России выполняла роль «второй власти»: цензура, «толстые» журналы и критика превращали её в площадку общественного мнения. Для историка роман и повесть служат источником о представлениях своего времени.</w:t>
      </w:r>
    </w:p>
    <w:p>
      <w:pPr>
        <w:pStyle w:val="BodyText"/>
      </w:pPr>
      <w:r>
        <w:rPr>
          <w:bCs/>
          <w:b/>
        </w:rPr>
        <w:t xml:space="preserve">Чехов (слайд 13).</w:t>
      </w:r>
      <w:r>
        <w:t xml:space="preserve"> </w:t>
      </w:r>
      <w:r>
        <w:t xml:space="preserve">Антон Павлович Чехов (1860–1904) по образованию врач. Провинция, усадьба, уездный город, больница, школа описаны в «Степи» (1888), «Палате № 6» (1892), «Крыжовнике» (1898). В 1890 году он проехал через Урал (Пермь — Екатеринбург — Тюмень) на Сахалин; по итогам поездки написаны очерки «Из Сибири» и книга «Остров Сахалин» (1895), в основе которой перепись каторжного населения. «Вишнёвый сад» (1904) показывает уход дворянской усадьбы; ни герой, ни злодей не объясняют перемен. Постановки в МХТ с 1898 года сделали Чехова автором «нового театра».</w:t>
      </w:r>
    </w:p>
    <w:p>
      <w:pPr>
        <w:pStyle w:val="BodyText"/>
      </w:pPr>
      <w:r>
        <w:rPr>
          <w:bCs/>
          <w:b/>
        </w:rPr>
        <w:t xml:space="preserve">К. Н. Леонтьев (слайд 14).</w:t>
      </w:r>
      <w:r>
        <w:t xml:space="preserve"> </w:t>
      </w:r>
      <w:r>
        <w:t xml:space="preserve">Константин Николаевич Леонтьев (1831–1891) — врач, дипломат-консул на Балканах и Востоке, писатель и мыслитель-консерватор. Главный труд — «Византизм и славянство» (1875). Общество, по Леонтьеву, проходит три стадии: первичную простоту, «цветущую сложность» и вторичное смесительное упрощение. Равенство и «средний европеец» он рассматривал как признак упадка. Россию он показывал как самобытную «византийскую» цивилизацию, отличную и от Европы, и от славянской общности. Оценки различаются: от «реакционера» до предшественника цивилизационного подхода (Н. Я. Данилевский, «Россия и Европа», 1869).</w:t>
      </w:r>
    </w:p>
    <w:p>
      <w:pPr>
        <w:pStyle w:val="BodyText"/>
      </w:pPr>
      <w:r>
        <w:rPr>
          <w:bCs/>
          <w:b/>
        </w:rPr>
        <w:t xml:space="preserve">Л. Н. Андреев (слайд 15).</w:t>
      </w:r>
      <w:r>
        <w:t xml:space="preserve"> </w:t>
      </w:r>
      <w:r>
        <w:t xml:space="preserve">Леонид Николаевич Андреев (1871–1919) — писатель и драматург Серебряного века, работавший в русле экспрессионизма. Повесть «Красный смех» (1904) написана как отклик на русско-японскую войну: война показана как безумие, а красный смех служит образом ужаса, охватившего людей. Автор не участвовал в боевых действиях, и текст построен как впечатление, а не как репортаж. Другие сочинения: «Рассказ о семи повешенных» (1908) — о смертной казни и о людях перед ней; пьеса «Жизнь человека» (1906, поставлена в МХТ в 1907 году); «Иуда Искариот» (1907). После 1917 года Андреев жил в Финляндии и умер в 1919 году.</w:t>
      </w:r>
    </w:p>
    <w:p>
      <w:pPr>
        <w:pStyle w:val="BodyText"/>
      </w:pPr>
      <w:r>
        <w:rPr>
          <w:bCs/>
          <w:b/>
        </w:rPr>
        <w:t xml:space="preserve">М. Горький до 1917 года (слайд 16).</w:t>
      </w:r>
      <w:r>
        <w:t xml:space="preserve"> </w:t>
      </w:r>
      <w:r>
        <w:t xml:space="preserve">Максим Горький (1868–1936) вошёл в литературу рассказами «Челкаш» и «Старуха Изергиль» (1895). Он показывал героев, которых до него редко выводили на сцену: босяков, ночлежников, купцов и мещан. Пьеса «На дне» была поставлена в МХТ 18 (31) декабря 1902 года; реплика Сатина «Человек — вот правда!» стала одной из самых известных. «Песня о Буревестнике» (1901) принесла ему репутацию писателя-революционера; в январе 1905 года он был арестован и заключён в Петропавловскую крепость; роман «Мать» (1906–1907) стал одним из главных сочинений революционной литературы. Издательство «Знание» выпускало сборники реалистов: Андреева, Бунина, Куприна. С 1906 по 1913 год Горький жил на Капри и вернулся в Россию по амнистии к 300-летию дома Романовых. Автобиографическая проза «Детство» (1913–1914) показывает купеческий и мещанский быт.</w:t>
      </w:r>
    </w:p>
    <w:p>
      <w:pPr>
        <w:pStyle w:val="BodyText"/>
      </w:pPr>
      <w:r>
        <w:rPr>
          <w:bCs/>
          <w:b/>
        </w:rPr>
        <w:t xml:space="preserve">М. Горький после 1917 года (слайд 17).</w:t>
      </w:r>
      <w:r>
        <w:t xml:space="preserve"> </w:t>
      </w:r>
      <w:r>
        <w:t xml:space="preserve">В 1917–1918 годах Горький публикует в газете «Новая жизнь» статьи «Несвоевременные мысли», в которых критикует методы новой власти. В 1918 году он организует издательство «Всемирная литература», а в 1919 году участвует в комиссии по улучшению быта учёных и помогает интеллигенции в голодные годы. В 1921 году Горький уезжает на лечение за границу, живёт в Германии и Италии (Сорренто); в эмиграции написаны «Дело Артамоновых» (1925) и начата «Жизнь Клима Самгина» (1925–1936). В 1932 году он возвращается в СССР и руководит Союзом писателей; на Первом съезде писателей (1934) утверждается метод социалистического реализма. Историки расходятся в оценке: одни видят в Горьком критика власти и защитника интеллигенции в 1917–1921 годах, другие подчёркивают его участие в создании советской литературной системы; обе позиции опираются на документы и переписку. Задание: сопоставьте образ России в «На дне» (1902) и в «Несвоевременных мыслях» (1917–1918).</w:t>
      </w:r>
    </w:p>
    <w:p>
      <w:pPr>
        <w:pStyle w:val="BodyText"/>
      </w:pPr>
      <w:r>
        <w:rPr>
          <w:bCs/>
          <w:b/>
        </w:rPr>
        <w:t xml:space="preserve">Менее известные авторы (слайд 18).</w:t>
      </w:r>
      <w:r>
        <w:t xml:space="preserve"> </w:t>
      </w:r>
      <w:r>
        <w:t xml:space="preserve">Н. Г. Помяловский («Очерки бурсы», 1862–1863) описал духовное училище как школу насилия и зубрёжки. Ф. М. Решетников («Подлиповцы», 1864) показал нищую деревню Пермской губернии и бурлацкий труд; автор родился в Екатеринбурге в 1841 году. Д. Н. Мамин-Сибиряк («Приваловские миллионы», 1883; «Горное гнездо», 1884; «Хлеб», 1895) описал уральские заводы, золото, купцов и хлебную торговлю. А. Н. Энгельгардт («Из деревни», письма с 1872 года) — агрохимик, сосланный в имение Батищево, описал крестьянское хозяйство и работу помещика-практика. Г. И. Успенский («Нравы Растеряевой улицы», 1866; «Власть земли», 1882) и П. И. Мельников-Печерский («В лесах», 1871–1874; «На горах», 1875–1881) описали мелкий город, крестьянскую общину и старообрядческое Заволжье. Для самостоятельной работы выберите одного автора и определите, какой слой общества и какой регион он показывает.</w:t>
      </w:r>
    </w:p>
    <w:p>
      <w:pPr>
        <w:pStyle w:val="BodyText"/>
      </w:pPr>
      <w:r>
        <w:rPr>
          <w:bCs/>
          <w:b/>
        </w:rPr>
        <w:t xml:space="preserve">Печать и читатель (слайд 19).</w:t>
      </w:r>
      <w:r>
        <w:t xml:space="preserve"> </w:t>
      </w:r>
      <w:r>
        <w:t xml:space="preserve">По переписи 1897 года грамотными были около 21 % жителей империи: около 29 % мужчин и около 13 % женщин. В городах доля выше, на окраинах ниже; по оценкам, к 1914 году грамотных было около 40 %. Журнал «Нива» (1870–1918) с приложениями сочинений, «толстые» журналы и книготорговля И. Д. Сытина создали массовый рынок чтения; параллельно существовал лубок. Предварительная цензура смягчена в 1865 году, но система взысканий и «Временные правила» 1882 года сохраняли контроль.</w:t>
      </w:r>
    </w:p>
    <w:bookmarkEnd w:id="22"/>
    <w:bookmarkStart w:id="23" w:name="блок-третий.-наука-и-образование"/>
    <w:p>
      <w:pPr>
        <w:pStyle w:val="Heading2"/>
      </w:pPr>
      <w:r>
        <w:t xml:space="preserve">Блок третий. Наука и образование</w:t>
      </w:r>
    </w:p>
    <w:p>
      <w:pPr>
        <w:pStyle w:val="FirstParagraph"/>
      </w:pPr>
      <w:r>
        <w:rPr>
          <w:bCs/>
          <w:b/>
        </w:rPr>
        <w:t xml:space="preserve">[слайды 20–23]</w:t>
      </w:r>
    </w:p>
    <w:p>
      <w:pPr>
        <w:pStyle w:val="BodyText"/>
      </w:pPr>
      <w:r>
        <w:t xml:space="preserve">Программа называет вклад российских учёных в мировую науку: работы Н. И. Лобачевского, периодическую систему химических элементов Д. И. Менделеева, физиологию И. П. Павлова. Слайд 20 показывает институциональную основу науки. Университеты: Московский (1755), Казанский и Харьковский (1804–1805), Петербургский (1819). Университетские уставы 1863 и 1884 годов то расширяли, то сокращали самоуправление. Высшие женские курсы В. И. Герье в Москве (1872) и Бестужевские курсы в Петербурге (1878) сделали образование доступным женщинам, но без права на государственную службу. Академия наук (1724), Пулковская обсерватория (1839), Русское географическое общество (1845), Русское техническое общество (1866) соединяли казённую и общественную инициативу.</w:t>
      </w:r>
    </w:p>
    <w:p>
      <w:pPr>
        <w:pStyle w:val="BodyText"/>
      </w:pPr>
      <w:r>
        <w:t xml:space="preserve">Слайд 21. Н. И. Лобачевский (1792–1856), ректор Казанского университета, сделал доклад о «воображаемой геометрии» в 1826 году; статьи опубликованы в 1829–1830 годах. Неевклидова геометрия оценена современниками с опозданием и признана в 1860-х годах. И. П. Павлов (1849–1936) в 1904 году получил Нобелевскую премию по физиологии и медицине за исследования пищеварения; позже разработал учение об условных рефлексах. Среди других имён: А. С. Попов (радио, 1895), И. И. Мечников (Нобелевская премия 1908 года), К. Э. Циолковский (теория ракетного движения, 1903), В. И. Вернадский.</w:t>
      </w:r>
    </w:p>
    <w:p>
      <w:pPr>
        <w:pStyle w:val="BodyText"/>
      </w:pPr>
      <w:r>
        <w:t xml:space="preserve">Слайд 22. Периодический закон Д. И. Менделеева сформулирован в 1869 году: элементы, расположенные по атомному весу, периодически повторяют свойства. Пустые клетки таблицы Менделеев оставил для ещё не открытых элементов и описал их свойства. Открытие галлия (1875), скандия (1879) и германия (1886) совпало с предсказанным. «Основы химии» (1869–1871) стали первым в России учебником, построенным вокруг периодического закона.</w:t>
      </w:r>
    </w:p>
    <w:p>
      <w:pPr>
        <w:pStyle w:val="BodyText"/>
      </w:pPr>
      <w:r>
        <w:t xml:space="preserve">Слайд 23 переносит тему на Урал. Уральское общество любителей естествознания основано в Екатеринбурге в 1870 году и изучало природу, горное дело и историю края; его музей стал одним из первых научных собраний Урала. Уральские заводы служили местом инженерной практики. Челябинский краеведческий музей открыт в 1913 году; город, ставший железнодорожным узлом, получает первые культурные учреждения. Детали следует уточнить по местным источникам.</w:t>
      </w:r>
    </w:p>
    <w:bookmarkEnd w:id="23"/>
    <w:bookmarkStart w:id="24" w:name="X2e0854707a32a010cd65abfc8de9cb573dd3e06"/>
    <w:p>
      <w:pPr>
        <w:pStyle w:val="Heading2"/>
      </w:pPr>
      <w:r>
        <w:t xml:space="preserve">Блок четвёртый. Изобразительное искусство</w:t>
      </w:r>
    </w:p>
    <w:p>
      <w:pPr>
        <w:pStyle w:val="FirstParagraph"/>
      </w:pPr>
      <w:r>
        <w:rPr>
          <w:bCs/>
          <w:b/>
        </w:rPr>
        <w:t xml:space="preserve">[слайды 24–30]</w:t>
      </w:r>
    </w:p>
    <w:p>
      <w:pPr>
        <w:pStyle w:val="BodyText"/>
      </w:pPr>
      <w:r>
        <w:t xml:space="preserve">Слайд 24. Расцвет академической живописи представлен тремя картинами. К. П. Брюллов (1799–1852) создал «Последний день Помпеи» (1830–1833), принесший автору европейскую славу. А. А. Иванов (1806–1858) двадцать лет работал в Риме над «Явлением Христа народу» (1837–1857). И. К. Айвазовский (1817–1900) написал «Девятый вал» (1850). Академия художеств задавала жанры и образцы: античность, Библию и историю.</w:t>
      </w:r>
    </w:p>
    <w:p>
      <w:pPr>
        <w:pStyle w:val="BodyText"/>
      </w:pPr>
      <w:r>
        <w:t xml:space="preserve">Слайд 25. Товарищество передвижных художественных выставок учреждено в 1870 году (первая выставка 1871 года) И. Н. Крамским, Г. Г. Мясоедовым, В. Г. Перовым, Н. Н. Ге и другими. Выставки ездили по губернским городам, и искусство выходило за пределы столиц. Перов («Тройка», 1866), Репин («Бурлаки на Волге», 1870–1873), Суриков («Боярыня Морозова», 1887) показали труд, нищету, старообрядческий раскол и историю как драму людей. П. М. Третьяков передал коллекцию Москве в 1892 году.</w:t>
      </w:r>
    </w:p>
    <w:p>
      <w:pPr>
        <w:pStyle w:val="BodyText"/>
      </w:pPr>
      <w:r>
        <w:rPr>
          <w:bCs/>
          <w:b/>
        </w:rPr>
        <w:t xml:space="preserve">Серов (слайды 26–27).</w:t>
      </w:r>
      <w:r>
        <w:t xml:space="preserve"> </w:t>
      </w:r>
      <w:r>
        <w:t xml:space="preserve">Валентин Александрович Серов (1865–1911) учился у И. Е. Репина и П. П. Чистякова, преподавал в Московском училище живописи, ваяния и зодчества, участвовал в «Мире искусства». Ранние работы — «Девочка с персиками» (1887) и «Девушка, освещённая солнцем» (1888) — построены на свете, воздухе и непосредственности модели; пейзаж «Октябрь. Домотканово» (1895) дал образ русской усадьбы. Портретная галерея включает Ермолову (1905), Шаляпина, Горького, Морозова, Иду Рубинштейн (1910): это люди, формировавшие художественную жизнь эпохи. После расстрела 9 (22) января 1905 года Серов вышел из состава Академии художеств, выразив несогласие с позицией Академии. Портрет Николая II (1900) и график 1905 года показывают, как художник видит человека и режим: без парадности, в сдержанном письме. Задание: сопоставьте парадные портреты эпохи с портретами Серова.</w:t>
      </w:r>
    </w:p>
    <w:p>
      <w:pPr>
        <w:pStyle w:val="BodyText"/>
      </w:pPr>
      <w:r>
        <w:rPr>
          <w:bCs/>
          <w:b/>
        </w:rPr>
        <w:t xml:space="preserve">Рерих (слайд 28).</w:t>
      </w:r>
      <w:r>
        <w:t xml:space="preserve"> </w:t>
      </w:r>
      <w:r>
        <w:t xml:space="preserve">Николай Константинович Рерих (1874–1947) — ученик А. И. Куинджи, участник археологических раскопок в Новгородской и Тверской губерниях, педагог, сотрудник «Мира искусства». «Гонец» (1897), «Заморские гости» (1901), «Славяне на Днепре» (1905) показывают дохристианскую и раннехристианскую Русь как мир камня, дружины и лодок. В 1903–1904 годах Рерих объехал древние города и создал серию «Русские города». Декорации к «Князю Игорю» (Русские сезоны, Париж, 1909) и к «Весне священной» Стравинского (1913) соединили археологию и театр.</w:t>
      </w:r>
    </w:p>
    <w:p>
      <w:pPr>
        <w:pStyle w:val="BodyText"/>
      </w:pPr>
      <w:r>
        <w:t xml:space="preserve">Слайд 29. «Мир искусства» (1898–1904) — объединение и журнал А. Н. Бенуа, С. П. Дягилева, Л. С. Бакста, К. А. Сомова. Программой служили художественное качество, интерес к истории и европейской культуре, книжная графика. К. С. Малевич показал «Чёрный квадрат» на выставке «0,10» в Петрограде в декабре 1915 года и назвал направление супрематизмом. Обложки журнала на слайде — 1901 года (№ 8) и V года издания.</w:t>
      </w:r>
    </w:p>
    <w:p>
      <w:pPr>
        <w:pStyle w:val="BodyText"/>
      </w:pPr>
      <w:r>
        <w:t xml:space="preserve">Слайд 30. Менее известные художники: Н. А. Ярошенко («Кочегар», 1878; «Курсистка», 1883), Н. А. Касаткин («Шахтёрка», 1894; «Углекопы. Смена», 1895), Н. В. Неврев («Торг. Из недавнего прошлого», 1866), В. В. Пукирев («Неравный брак», 1862). Рабочий, учащаяся женщина, шахтёр, проданный крепостной — новые герои картины, показывающие социальные вопросы эпохи.</w:t>
      </w:r>
    </w:p>
    <w:bookmarkEnd w:id="24"/>
    <w:bookmarkStart w:id="25" w:name="блок-пятый.-музыка-сцена-и-экран"/>
    <w:p>
      <w:pPr>
        <w:pStyle w:val="Heading2"/>
      </w:pPr>
      <w:r>
        <w:t xml:space="preserve">Блок пятый. Музыка, сцена и экран</w:t>
      </w:r>
    </w:p>
    <w:p>
      <w:pPr>
        <w:pStyle w:val="FirstParagraph"/>
      </w:pPr>
      <w:r>
        <w:rPr>
          <w:bCs/>
          <w:b/>
        </w:rPr>
        <w:t xml:space="preserve">[слайды 31–38]</w:t>
      </w:r>
    </w:p>
    <w:p>
      <w:pPr>
        <w:pStyle w:val="BodyText"/>
      </w:pPr>
      <w:r>
        <w:t xml:space="preserve">Слайд 31. Опера М. И. Глинки «Жизнь за царя» поставлена 27 ноября (9 декабря) 1836 года в Петербурге; сюжет — подвиг Ивана Сусанина в 1613 году. Название и сюжет отвечали идее «официальной народности»; музыка соединила крестьянскую песню, итальянскую и русскую оперные традиции. «Руслан и Людмила» (1842) даёт вторую линию — сказочную оперу. В XX веке опера шла под названием «Иван Сусанин».</w:t>
      </w:r>
    </w:p>
    <w:p>
      <w:pPr>
        <w:pStyle w:val="BodyText"/>
      </w:pPr>
      <w:r>
        <w:t xml:space="preserve">Слайд 32. Балакирев, Кюи, Мусоргский, Римский-Корсаков и Бородин объединились в 1850–1860-х годах; название «Могучая кучка» закрепилось после статьи В. В. Стасова (1867). «Борис Годунов» Мусоргского (1874), «Князь Игорь» Бородина и оперы Римского-Корсакова показывают Россию как историю народа и власти. Петербургская (1862, А. Г. Рубинштейн) и Московская (1866) консерватории создали профессиональное музыкальное образование. Название картины «Музыкальный вечер» на слайде дано по имени файла.</w:t>
      </w:r>
    </w:p>
    <w:p>
      <w:pPr>
        <w:pStyle w:val="BodyText"/>
      </w:pPr>
      <w:r>
        <w:t xml:space="preserve">Слайд 33. Русские сезоны С. П. Дягилева: в 1908 году в Париже показан «Борис Годунов», с 1909 года идут балетные сезоны (М. М. Фокин, В. Ф. Нижинский, А. П. Павлова; оформление Л. С. Бакста и А. Н. Бенуа). Музыку писал И. Ф. Стравинский: «Жар-птица» (1910), «Петрушка» (1911), «Весна священная» (1913). Европа увидела Россию как страну красок, ритуала и энергии; сезоны финансировала частная антреприза.</w:t>
      </w:r>
    </w:p>
    <w:p>
      <w:pPr>
        <w:pStyle w:val="BodyText"/>
      </w:pPr>
      <w:r>
        <w:t xml:space="preserve">Слайд 34. Московский художественный общедоступный театр основан в 1898 году К. С. Станиславским и В. И. Немировичем-Данченко; первым спектаклем стал «Царь Фёдор Иоаннович» А. К. Толстого. Постановка «Чайки» А. П. Чехова 17 (29) декабря 1898 года закрепила успех театра, а чайка стала эмблемой на занавесе. Режиссёр отвечает за спектакль как целое, а актёр работает над внутренней правдой роли: так складывается «режиссёрский» театр.</w:t>
      </w:r>
    </w:p>
    <w:p>
      <w:pPr>
        <w:pStyle w:val="BodyText"/>
      </w:pPr>
      <w:r>
        <w:rPr>
          <w:bCs/>
          <w:b/>
        </w:rPr>
        <w:t xml:space="preserve">Кино (слайды 35–38).</w:t>
      </w:r>
      <w:r>
        <w:t xml:space="preserve"> </w:t>
      </w:r>
      <w:r>
        <w:t xml:space="preserve">Первые публичные киносеансы состоялись 4 (16) мая 1896 года в Петербурге и летом на Нижегородской ярмарке. Оператор Камилл Серф снимал коронационные торжества Николая II в Москве: хроника показывала империю как церемонию. «Понизовая вольница» (1908) — первый русский игровой фильм А. Дранкова (Ромашков) о Стеньке Разине по песне «Из-за острова на стрежень»: историю показывали как народную легенду. А. Ханжонков создал студию в Москве в 1906–1908 годах, а иллюзионы появились в каждом крупном городе. «Оборона Севастополя» (1911) и «Двенадцатый год» (1912) показывали историю как патриотическое зрелище к юбилеям. «Уход великого старца» (1912) — фильм о последних днях Л. Н. Толстого. Я. А. Протазанов снял «Пиковую даму» (1916). В. А. Старевич создал «Прекрасную Люканиду» и «Месть кинематографического оператора» (1912): кукольная анимация мирового уровня. В годы войны Ханжонков снимал хронику фронта; в кино работали И. И. Мозжухин и В. В. Холодная.</w:t>
      </w:r>
    </w:p>
    <w:p>
      <w:pPr>
        <w:pStyle w:val="BodyText"/>
      </w:pPr>
      <w:r>
        <w:t xml:space="preserve">Эйзенштейн и Вертов (слайды 37–38) выходят за хронологические рамки темы и показывают, как кино стало источником и инструментом политики. Сергей Михайлович Эйзенштейн (1898–1948) снял «Стачку» (1925), «Броненосец „Потёмкин“» (1925), «Октябрь» (1927), «Александра Невского» (1938), «Ивана Грозного» (1944–1946). Теория монтажа аттракционов: смысл возникает из столкновения кадров. «Броненосец „Потёмкин“» посвящён восстанию на броненосце в июне 1905 года. Одесская лестница создана режиссёром; расстрел на лестнице в такой форме документами не подтверждён. Дзига Вертов (Давид Абелевич Кауфман, 1896–1954) создал «Киноправду» (1922–1925), «Киноглаз» (1924), «Шагай, Совет!» (1926) и «Человека с киноаппаратом» (1929). Он предлагал кино без сценария и актёров: камера фиксирует жизнь «врасплох», монтаж организует её в смысл. Хроника Вертова показывает городскую Россию 1920-х годов: заводы, улицы, транспорт, быт.</w:t>
      </w:r>
    </w:p>
    <w:bookmarkEnd w:id="25"/>
    <w:bookmarkStart w:id="26" w:name="блок-шестой.-культура-урала"/>
    <w:p>
      <w:pPr>
        <w:pStyle w:val="Heading2"/>
      </w:pPr>
      <w:r>
        <w:t xml:space="preserve">Блок шестой. Культура Урала</w:t>
      </w:r>
    </w:p>
    <w:p>
      <w:pPr>
        <w:pStyle w:val="FirstParagraph"/>
      </w:pPr>
      <w:r>
        <w:rPr>
          <w:bCs/>
          <w:b/>
        </w:rPr>
        <w:t xml:space="preserve">[слайд 39]</w:t>
      </w:r>
    </w:p>
    <w:p>
      <w:pPr>
        <w:pStyle w:val="BodyText"/>
      </w:pPr>
      <w:r>
        <w:t xml:space="preserve">Каслинский павильон — ажурный павильон из чугуна, созданный мастерами Каслинского завода на Урале. На Всемирной выставке в Париже 1900 года он получил Гран-при. Каслинское литьё соединило заводскую технологию и скульптурную школу: решётки, статуэтки, интерьерные предметы; изделия украшали города империи и продавались за границей. Павильон сохранился и экспонируется в Екатеринбурге. Сведения о мастерах и авторах проекта уточняйте по музейным изданиям. Сопоставьте выставочный образ России (техника, ремесло или национальный стиль?) с тем, что показывали писатели и художники блоков второго и четвёртого.</w:t>
      </w:r>
    </w:p>
    <w:bookmarkEnd w:id="26"/>
    <w:bookmarkStart w:id="27" w:name="итоги"/>
    <w:p>
      <w:pPr>
        <w:pStyle w:val="Heading2"/>
      </w:pPr>
      <w:r>
        <w:t xml:space="preserve">Итоги</w:t>
      </w:r>
    </w:p>
    <w:p>
      <w:pPr>
        <w:pStyle w:val="FirstParagraph"/>
      </w:pPr>
      <w:r>
        <w:rPr>
          <w:bCs/>
          <w:b/>
        </w:rPr>
        <w:t xml:space="preserve">[слайды 40–42]</w:t>
      </w:r>
    </w:p>
    <w:p>
      <w:pPr>
        <w:pStyle w:val="BodyText"/>
      </w:pPr>
      <w:r>
        <w:t xml:space="preserve">Основные выводы темы изложены на слайде 40. Общественное мнение в России XIX века формировалось в салонах, кружках, журналах и университетах и оставалось ограниченным цензурой и сословным строем. Слово стало главной площадкой обсуждения, и писатели показывали Россию провинциальную, деревенскую, имперскую и уральскую. Русская наука дала мировые результаты. Академизм, передвижники, Серов, Рерих, «Мир искусства» и авангард образуют последовательность выставок и школ, где Россия показана как история, быт и проблема. Глинка, «Могучая кучка», Русские сезоны и МХТ сделали русскую музыку и сцену частью европейской культуры. Кино прошло путь от хроники до игрового и анимационного фильма. Урал участвовал в общей культуре: Каслинский павильон, краеведение, музеи.</w:t>
      </w:r>
    </w:p>
    <w:p>
      <w:pPr>
        <w:pStyle w:val="BodyText"/>
      </w:pPr>
      <w:r>
        <w:t xml:space="preserve">Вопросы и задания (слайд 41) выполняются письменно; методические указания и тест находятся в файле «вопросы и задания» к теме. Список литературы приведён на слайде 42.</w:t>
      </w:r>
    </w:p>
    <w:bookmarkEnd w:id="27"/>
    <w:bookmarkStart w:id="28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В презентацию вставлены изображения из подборки к теме 6.8 (в «фото доп» и в корне папки с материалами), два изображения из подборок к темам 6.3 и 6.5 в ранних версиях заменены файлами темы 6.8. Для слайдов 16–17 (Горький) рамок под изображения нет. Подписи к слайдам 7, 13, 15, 23, 32 и 33 составлены по названиям файлов и по внешнему виду изображений; перед использованием их следует сверить с описанием источника.</w:t>
      </w:r>
    </w:p>
    <w:bookmarkEnd w:id="28"/>
    <w:bookmarkStart w:id="29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FirstParagraph"/>
      </w:pPr>
      <w:r>
        <w:rPr>
          <w:bCs/>
          <w:b/>
        </w:rPr>
        <w:t xml:space="preserve">Источники и основная</w:t>
      </w:r>
    </w:p>
    <w:p>
      <w:pPr>
        <w:numPr>
          <w:ilvl w:val="0"/>
          <w:numId w:val="1001"/>
        </w:numPr>
        <w:pStyle w:val="Compact"/>
      </w:pPr>
      <w:r>
        <w:t xml:space="preserve">Толстой Л. Н. Война и мир. Т. 1.</w:t>
      </w:r>
    </w:p>
    <w:p>
      <w:pPr>
        <w:numPr>
          <w:ilvl w:val="0"/>
          <w:numId w:val="1001"/>
        </w:numPr>
        <w:pStyle w:val="Compact"/>
      </w:pPr>
      <w:r>
        <w:t xml:space="preserve">Чехов А. П. Из Сибири; Остров Сахалин.</w:t>
      </w:r>
    </w:p>
    <w:p>
      <w:pPr>
        <w:numPr>
          <w:ilvl w:val="0"/>
          <w:numId w:val="1001"/>
        </w:numPr>
        <w:pStyle w:val="Compact"/>
      </w:pPr>
      <w:r>
        <w:t xml:space="preserve">Андреев Л. Н. Красный смех.</w:t>
      </w:r>
    </w:p>
    <w:p>
      <w:pPr>
        <w:numPr>
          <w:ilvl w:val="0"/>
          <w:numId w:val="1001"/>
        </w:numPr>
        <w:pStyle w:val="Compact"/>
      </w:pPr>
      <w:r>
        <w:t xml:space="preserve">Горький М. На дне; Несвоевременные мысли.</w:t>
      </w:r>
    </w:p>
    <w:p>
      <w:pPr>
        <w:numPr>
          <w:ilvl w:val="0"/>
          <w:numId w:val="1001"/>
        </w:numPr>
        <w:pStyle w:val="Compact"/>
      </w:pPr>
      <w:r>
        <w:t xml:space="preserve">Даль В. И. Толковый словарь живого великорусского языка.</w:t>
      </w:r>
    </w:p>
    <w:p>
      <w:pPr>
        <w:numPr>
          <w:ilvl w:val="0"/>
          <w:numId w:val="1001"/>
        </w:numPr>
        <w:pStyle w:val="Compact"/>
      </w:pPr>
      <w:r>
        <w:t xml:space="preserve">Фёдоров В. А. История России 1861–1917.</w:t>
      </w:r>
    </w:p>
    <w:p>
      <w:pPr>
        <w:pStyle w:val="FirstParagraph"/>
      </w:pPr>
      <w:r>
        <w:rPr>
          <w:bCs/>
          <w:b/>
        </w:rPr>
        <w:t xml:space="preserve">Дополнительная</w:t>
      </w:r>
    </w:p>
    <w:p>
      <w:pPr>
        <w:numPr>
          <w:ilvl w:val="0"/>
          <w:numId w:val="1002"/>
        </w:numPr>
        <w:pStyle w:val="Compact"/>
      </w:pPr>
      <w:r>
        <w:t xml:space="preserve">Лотман Ю. М. Беседы о русской культуре.</w:t>
      </w:r>
    </w:p>
    <w:p>
      <w:pPr>
        <w:numPr>
          <w:ilvl w:val="0"/>
          <w:numId w:val="1002"/>
        </w:numPr>
        <w:pStyle w:val="Compact"/>
      </w:pPr>
      <w:r>
        <w:t xml:space="preserve">Хабермас Ю. Структурное изменение публичной сферы.</w:t>
      </w:r>
    </w:p>
    <w:p>
      <w:pPr>
        <w:numPr>
          <w:ilvl w:val="0"/>
          <w:numId w:val="1002"/>
        </w:numPr>
        <w:pStyle w:val="Compact"/>
      </w:pPr>
      <w:r>
        <w:t xml:space="preserve">Брукс Дж. Когда Россия научилась читать.</w:t>
      </w:r>
    </w:p>
    <w:p>
      <w:pPr>
        <w:numPr>
          <w:ilvl w:val="0"/>
          <w:numId w:val="1002"/>
        </w:numPr>
        <w:pStyle w:val="Compact"/>
      </w:pPr>
      <w:r>
        <w:t xml:space="preserve">Леонтьев К. Н. Византизм и славянство.</w:t>
      </w:r>
    </w:p>
    <w:p>
      <w:pPr>
        <w:pStyle w:val="FirstParagraph"/>
      </w:pPr>
      <w:r>
        <w:rPr>
          <w:iCs/>
          <w:i/>
        </w:rPr>
        <w:t xml:space="preserve">Выходные данные уточняются по последнему изданию.</w:t>
      </w:r>
    </w:p>
    <w:bookmarkEnd w:id="29"/>
    <w:bookmarkEnd w:id="30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2026-10-01T04:19:16Z</dcterms:created>
  <dcterms:modified xsi:type="dcterms:W3CDTF">2026-10-01T04:19:16Z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