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b6c08c7c6f9b319c7c72e3fcd50b9e36321f4d"/>
    <w:p>
      <w:pPr>
        <w:pStyle w:val="Heading1"/>
      </w:pPr>
      <w:r>
        <w:t xml:space="preserve">Тема 6.9. Контроль по разделу 6. Методические указания</w:t>
      </w:r>
    </w:p>
    <w:p>
      <w:pPr>
        <w:pStyle w:val="FirstParagraph"/>
      </w:pPr>
      <w:r>
        <w:rPr>
          <w:bCs/>
          <w:b/>
        </w:rPr>
        <w:t xml:space="preserve">Б1.О.03 «История России»</w:t>
      </w:r>
      <w:r>
        <w:t xml:space="preserve"> </w:t>
      </w:r>
      <w:r>
        <w:t xml:space="preserve">· Раздел 6. Российская империя в XIX — начале XX в.</w:t>
      </w:r>
    </w:p>
    <w:p>
      <w:pPr>
        <w:pStyle w:val="BodyText"/>
      </w:pPr>
      <w:r>
        <w:t xml:space="preserve">Самостоятельная работа — 4 часа · УК-5.1, УК-5.2, УК-5.3</w:t>
      </w:r>
    </w:p>
    <w:p>
      <w:pPr>
        <w:pStyle w:val="BodyText"/>
      </w:pPr>
      <w:r>
        <w:t xml:space="preserve">Дисциплина Б1.О.03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0" w:name="что-проверяется"/>
    <w:p>
      <w:pPr>
        <w:pStyle w:val="Heading2"/>
      </w:pPr>
      <w:r>
        <w:t xml:space="preserve">1. Что проверяется</w:t>
      </w:r>
    </w:p>
    <w:p>
      <w:pPr>
        <w:pStyle w:val="FirstParagraph"/>
      </w:pPr>
      <w:r>
        <w:t xml:space="preserve">Раздел 6 охватывает 116 лет — от воцарения Александра I до Февраля 1917 г. — и восемь тем: 6.1 «Эпоха 1812 г.», 6.2 «Николаевская Россия», 6.3 «Время Великих реформ», 6.4 «Россия на пороге XX в.», 6.5 «Первая русская революция» (самостоятельная работа), 6.6 «Российская империя в 1907–1914 гг.», 6.7 «Первая мировая война и Россия», 6.8 «Культура России XIX — начала XX в.» (самостоятельная работа).</w:t>
      </w:r>
    </w:p>
    <w:p>
      <w:pPr>
        <w:pStyle w:val="BodyText"/>
      </w:pPr>
      <w:r>
        <w:t xml:space="preserve">Проверяются три вещи.</w:t>
      </w:r>
    </w:p>
    <w:p>
      <w:pPr>
        <w:pStyle w:val="BodyText"/>
      </w:pPr>
      <w:r>
        <w:rPr>
          <w:bCs/>
          <w:b/>
        </w:rPr>
        <w:t xml:space="preserve">Знание фактов.</w:t>
      </w:r>
      <w:r>
        <w:t xml:space="preserve"> </w:t>
      </w:r>
      <w:r>
        <w:t xml:space="preserve">Двадцать опорных дат, тридцать восемь терминов, тридцать шесть имён. Это проверяется тестом и первой группой устных вопросов.</w:t>
      </w:r>
    </w:p>
    <w:p>
      <w:pPr>
        <w:pStyle w:val="BodyText"/>
      </w:pPr>
      <w:r>
        <w:rPr>
          <w:bCs/>
          <w:b/>
        </w:rPr>
        <w:t xml:space="preserve">Понимание связей.</w:t>
      </w:r>
      <w:r>
        <w:t xml:space="preserve"> </w:t>
      </w:r>
      <w:r>
        <w:t xml:space="preserve">Умение показать, почему следующее событие вытекало из предыдущего, и объяснить механизм: как работало учреждение, кто и на каких условиях принимал решение, что получала и чем платила каждая сторона. Это проверяется второй группой устных вопросов.</w:t>
      </w:r>
    </w:p>
    <w:p>
      <w:pPr>
        <w:pStyle w:val="BodyText"/>
      </w:pPr>
      <w:r>
        <w:rPr>
          <w:bCs/>
          <w:b/>
        </w:rPr>
        <w:t xml:space="preserve">Работа с историческим знанием.</w:t>
      </w:r>
      <w:r>
        <w:t xml:space="preserve"> </w:t>
      </w:r>
      <w:r>
        <w:t xml:space="preserve">Понимание того, откуда берутся расхождения между историками, что даёт источник и чего он не даёт. Это проверяется третьей и четвёртой группами вопросов и письменным разбором научной статьи.</w:t>
      </w:r>
    </w:p>
    <w:p>
      <w:pPr>
        <w:pStyle w:val="BodyText"/>
      </w:pPr>
      <w:r>
        <w:t xml:space="preserve">Общее требование: перечисление событий без объяснения связи между ними засчитывается как неполный ответ.</w:t>
      </w:r>
    </w:p>
    <w:bookmarkEnd w:id="20"/>
    <w:bookmarkStart w:id="25" w:name="как-распределить-четыре-часа"/>
    <w:p>
      <w:pPr>
        <w:pStyle w:val="Heading2"/>
      </w:pPr>
      <w:r>
        <w:t xml:space="preserve">2. Как распределить четыре часа</w:t>
      </w:r>
    </w:p>
    <w:bookmarkStart w:id="21" w:name="час-первый.-хронология-и-термины"/>
    <w:p>
      <w:pPr>
        <w:pStyle w:val="Heading3"/>
      </w:pPr>
      <w:r>
        <w:t xml:space="preserve">Час первый. Хронология и термины</w:t>
      </w:r>
    </w:p>
    <w:p>
      <w:pPr>
        <w:pStyle w:val="FirstParagraph"/>
      </w:pPr>
      <w:r>
        <w:t xml:space="preserve">Пройти опорные даты по слайду «Двадцать дат раздела» и полные хронологические таблицы в файлах вопросов и заданий по темам 6.1–6.8. Проверить себя по словарю терминов (слайд «Термины, которые проверяются»). Определение требуется краткое — одно предложение с указанием времени.</w:t>
      </w:r>
    </w:p>
    <w:p>
      <w:pPr>
        <w:pStyle w:val="BodyText"/>
      </w:pPr>
      <w:r>
        <w:t xml:space="preserve">Способ самопроверки: закрыть правый столбец таблицы дат и восстановить событие по году, затем наоборот.</w:t>
      </w:r>
    </w:p>
    <w:bookmarkEnd w:id="21"/>
    <w:bookmarkStart w:id="22" w:name="час-второй.-сквозные-линии"/>
    <w:p>
      <w:pPr>
        <w:pStyle w:val="Heading3"/>
      </w:pPr>
      <w:r>
        <w:t xml:space="preserve">Час второй. Сквозные линии</w:t>
      </w:r>
    </w:p>
    <w:p>
      <w:pPr>
        <w:pStyle w:val="FirstParagraph"/>
      </w:pPr>
      <w:r>
        <w:t xml:space="preserve">Раздел устроен вокруг четырёх линий.</w:t>
      </w:r>
    </w:p>
    <w:p>
      <w:pPr>
        <w:pStyle w:val="BodyText"/>
      </w:pPr>
      <w:r>
        <w:rPr>
          <w:bCs/>
          <w:b/>
        </w:rPr>
        <w:t xml:space="preserve">Линия 1. Власть и представительство.</w:t>
      </w:r>
      <w:r>
        <w:t xml:space="preserve"> </w:t>
      </w:r>
      <w:r>
        <w:t xml:space="preserve">1802 — 1810 — 1826 — 1864 — 1881 — 1905 — 1906 — 1907 — 1915. Объяснение: каждое новое учреждение расширяло круг участников обсуждения, но окончательное решение оставалось за императором; когда кризис потребовал соглашения, механизма для него не нашлось.</w:t>
      </w:r>
    </w:p>
    <w:p>
      <w:pPr>
        <w:pStyle w:val="BodyText"/>
      </w:pPr>
      <w:r>
        <w:rPr>
          <w:bCs/>
          <w:b/>
        </w:rPr>
        <w:t xml:space="preserve">Линия 2. Крестьянин и земля.</w:t>
      </w:r>
      <w:r>
        <w:t xml:space="preserve"> </w:t>
      </w:r>
      <w:r>
        <w:t xml:space="preserve">1803 — 1837–1842 — 1861 — 1881 — 1889 — 1905 — 1906 — 1916. Объяснение: крестьянин получал свободу по частям и с условиями — выкуп, община, круговая порука; каждый шаг к собственности сопровождался сохранением опеки, и земельный вопрос остался главным к 1917 г.</w:t>
      </w:r>
    </w:p>
    <w:p>
      <w:pPr>
        <w:pStyle w:val="BodyText"/>
      </w:pPr>
      <w:r>
        <w:rPr>
          <w:bCs/>
          <w:b/>
        </w:rPr>
        <w:t xml:space="preserve">Линия 3. Деньги и хозяйство.</w:t>
      </w:r>
      <w:r>
        <w:t xml:space="preserve"> </w:t>
      </w:r>
      <w:r>
        <w:t xml:space="preserve">1839–1843 — 1861 — 1891 — 1894–1897 — 1914. Объяснение: устойчивость рубля держалась на бюджетной дисциплине и золотом запасе; война каждый раз разрушала её.</w:t>
      </w:r>
    </w:p>
    <w:p>
      <w:pPr>
        <w:pStyle w:val="BodyText"/>
      </w:pPr>
      <w:r>
        <w:rPr>
          <w:bCs/>
          <w:b/>
        </w:rPr>
        <w:t xml:space="preserve">Линия 4. Империя и её границы.</w:t>
      </w:r>
      <w:r>
        <w:t xml:space="preserve"> </w:t>
      </w:r>
      <w:r>
        <w:t xml:space="preserve">1815 — 1817–1864 — 1856 — 1878 — 1904–1905 — 1907 — 1914. Объяснение: каждое приобретение и поражение меняло баланс в Европе и ставило новый вопрос — польский, восточный, балканский.</w:t>
      </w:r>
    </w:p>
    <w:p>
      <w:pPr>
        <w:pStyle w:val="BodyText"/>
      </w:pPr>
      <w:r>
        <w:t xml:space="preserve">Способ самопроверки: на чистом листе выписать четыре линии по датам по памяти, затем сверить со слайдами.</w:t>
      </w:r>
    </w:p>
    <w:bookmarkEnd w:id="22"/>
    <w:bookmarkStart w:id="23" w:name="час-третий.-спорные-вопросы"/>
    <w:p>
      <w:pPr>
        <w:pStyle w:val="Heading3"/>
      </w:pPr>
      <w:r>
        <w:t xml:space="preserve">Час третий. Спорные вопросы</w:t>
      </w:r>
    </w:p>
    <w:p>
      <w:pPr>
        <w:pStyle w:val="FirstParagraph"/>
      </w:pPr>
      <w:r>
        <w:t xml:space="preserve">Восемь споров раздела:</w:t>
      </w:r>
    </w:p>
    <w:p>
      <w:pPr>
        <w:numPr>
          <w:ilvl w:val="0"/>
          <w:numId w:val="1001"/>
        </w:numPr>
        <w:pStyle w:val="Compact"/>
      </w:pPr>
      <w:r>
        <w:t xml:space="preserve">Почему не осуществились проекты Сперанского (6.1).</w:t>
      </w:r>
    </w:p>
    <w:p>
      <w:pPr>
        <w:numPr>
          <w:ilvl w:val="0"/>
          <w:numId w:val="1001"/>
        </w:numPr>
        <w:pStyle w:val="Compact"/>
      </w:pPr>
      <w:r>
        <w:t xml:space="preserve">Николаевская Россия: застой или подготовка реформ (6.2).</w:t>
      </w:r>
    </w:p>
    <w:p>
      <w:pPr>
        <w:numPr>
          <w:ilvl w:val="0"/>
          <w:numId w:val="1001"/>
        </w:numPr>
        <w:pStyle w:val="Compact"/>
      </w:pPr>
      <w:r>
        <w:t xml:space="preserve">Отмена крепостного права: грабёж крестьян или компромисс (6.3).</w:t>
      </w:r>
    </w:p>
    <w:p>
      <w:pPr>
        <w:numPr>
          <w:ilvl w:val="0"/>
          <w:numId w:val="1001"/>
        </w:numPr>
        <w:pStyle w:val="Compact"/>
      </w:pPr>
      <w:r>
        <w:t xml:space="preserve">Контрреформы: отказ от реформ или их корректировка (6.4).</w:t>
      </w:r>
    </w:p>
    <w:p>
      <w:pPr>
        <w:numPr>
          <w:ilvl w:val="0"/>
          <w:numId w:val="1001"/>
        </w:numPr>
        <w:pStyle w:val="Compact"/>
      </w:pPr>
      <w:r>
        <w:t xml:space="preserve">Чем была революция 1905–1907 гг.: социальной, политической, национальной (6.5).</w:t>
      </w:r>
    </w:p>
    <w:p>
      <w:pPr>
        <w:numPr>
          <w:ilvl w:val="0"/>
          <w:numId w:val="1001"/>
        </w:numPr>
        <w:pStyle w:val="Compact"/>
      </w:pPr>
      <w:r>
        <w:t xml:space="preserve">Столыпинская реформа: провал или успех (6.6).</w:t>
      </w:r>
    </w:p>
    <w:p>
      <w:pPr>
        <w:numPr>
          <w:ilvl w:val="0"/>
          <w:numId w:val="1001"/>
        </w:numPr>
        <w:pStyle w:val="Compact"/>
      </w:pPr>
      <w:r>
        <w:t xml:space="preserve">Кто ответственен за начало Первой мировой войны (6.7).</w:t>
      </w:r>
    </w:p>
    <w:p>
      <w:pPr>
        <w:numPr>
          <w:ilvl w:val="0"/>
          <w:numId w:val="1001"/>
        </w:numPr>
        <w:pStyle w:val="Compact"/>
      </w:pPr>
      <w:r>
        <w:t xml:space="preserve">Война и крах монархии: причина или повод (6.7).</w:t>
      </w:r>
    </w:p>
    <w:p>
      <w:pPr>
        <w:pStyle w:val="FirstParagraph"/>
      </w:pPr>
      <w:r>
        <w:t xml:space="preserve">По каждому спору требуется назвать позиции (обычно их три), указать, на чём держится каждая, и сказать, каких доказательств ей недостаёт. Выбирать «правильную» позицию не требуется.</w:t>
      </w:r>
    </w:p>
    <w:bookmarkEnd w:id="23"/>
    <w:bookmarkStart w:id="24" w:name="час-четвёртый.-разбор-научной-статьи"/>
    <w:p>
      <w:pPr>
        <w:pStyle w:val="Heading3"/>
      </w:pPr>
      <w:r>
        <w:t xml:space="preserve">Час четвёртый. Разбор научной статьи</w:t>
      </w:r>
    </w:p>
    <w:p>
      <w:pPr>
        <w:pStyle w:val="FirstParagraph"/>
      </w:pPr>
      <w:r>
        <w:t xml:space="preserve">Выбрать направление (раздел 5), найти статью, прочитать и написать разбор по схеме (раздел 3).</w:t>
      </w:r>
    </w:p>
    <w:bookmarkEnd w:id="24"/>
    <w:bookmarkEnd w:id="25"/>
    <w:bookmarkStart w:id="29" w:name="схема-разбора-научной-статьи"/>
    <w:p>
      <w:pPr>
        <w:pStyle w:val="Heading2"/>
      </w:pPr>
      <w:r>
        <w:t xml:space="preserve">3. Схема разбора научной статьи</w:t>
      </w:r>
    </w:p>
    <w:bookmarkStart w:id="26" w:name="часть-первая.-что-установить"/>
    <w:p>
      <w:pPr>
        <w:pStyle w:val="Heading3"/>
      </w:pPr>
      <w:r>
        <w:t xml:space="preserve">Часть первая. Что установить</w:t>
      </w:r>
    </w:p>
    <w:p>
      <w:pPr>
        <w:pStyle w:val="FirstParagraph"/>
      </w:pPr>
      <w:r>
        <w:t xml:space="preserve">Автор, год, журнал; какую проблему ставит статья; на каких источниках она построена.</w:t>
      </w:r>
    </w:p>
    <w:bookmarkEnd w:id="26"/>
    <w:bookmarkStart w:id="27" w:name="часть-вторая.-что-разобрать"/>
    <w:p>
      <w:pPr>
        <w:pStyle w:val="Heading3"/>
      </w:pPr>
      <w:r>
        <w:t xml:space="preserve">Часть вторая. Что разобрать</w:t>
      </w:r>
    </w:p>
    <w:p>
      <w:pPr>
        <w:pStyle w:val="FirstParagraph"/>
      </w:pPr>
      <w:r>
        <w:t xml:space="preserve">Главный тезис и аргументы; с кем автор спорит; что нового он вводит в научный оборот.</w:t>
      </w:r>
    </w:p>
    <w:bookmarkEnd w:id="27"/>
    <w:bookmarkStart w:id="28" w:name="часть-третья.-что-написать-от-себя"/>
    <w:p>
      <w:pPr>
        <w:pStyle w:val="Heading3"/>
      </w:pPr>
      <w:r>
        <w:t xml:space="preserve">Часть третья. Что написать от себя</w:t>
      </w:r>
    </w:p>
    <w:p>
      <w:pPr>
        <w:pStyle w:val="FirstParagraph"/>
      </w:pPr>
      <w:r>
        <w:t xml:space="preserve">Убедительна ли аргументация; каких доказательств не хватает; как статья соотносится с материалом лекций.</w:t>
      </w:r>
    </w:p>
    <w:p>
      <w:pPr>
        <w:pStyle w:val="BodyText"/>
      </w:pPr>
      <w:r>
        <w:t xml:space="preserve">Объём — 3–4 страницы. Статья из журнала, индексируемого в РИНЦ, опубликованная не ранее 2000 г. Ссылки оформляются по ГОСТ Р 7.0.5–2008. Поиск — eLIBRARY.ru, КиберЛенинка.</w:t>
      </w:r>
    </w:p>
    <w:bookmarkEnd w:id="28"/>
    <w:bookmarkEnd w:id="29"/>
    <w:bookmarkStart w:id="30" w:name="порядок-проведения-занятия"/>
    <w:p>
      <w:pPr>
        <w:pStyle w:val="Heading2"/>
      </w:pPr>
      <w:r>
        <w:t xml:space="preserve">4. Порядок проведения занятия</w:t>
      </w:r>
    </w:p>
    <w:p>
      <w:pPr>
        <w:numPr>
          <w:ilvl w:val="0"/>
          <w:numId w:val="1002"/>
        </w:numPr>
        <w:pStyle w:val="Compact"/>
      </w:pPr>
      <w:r>
        <w:t xml:space="preserve">Тест — 50 минут, 48 заданий.</w:t>
      </w:r>
    </w:p>
    <w:p>
      <w:pPr>
        <w:numPr>
          <w:ilvl w:val="0"/>
          <w:numId w:val="1002"/>
        </w:numPr>
        <w:pStyle w:val="Compact"/>
      </w:pPr>
      <w:r>
        <w:t xml:space="preserve">Устный опрос — четыре вопроса, по одному из каждой группы; подготовка — 10 минут.</w:t>
      </w:r>
    </w:p>
    <w:p>
      <w:pPr>
        <w:numPr>
          <w:ilvl w:val="0"/>
          <w:numId w:val="1002"/>
        </w:numPr>
        <w:pStyle w:val="Compact"/>
      </w:pPr>
      <w:r>
        <w:t xml:space="preserve">Разбор статьи сдаётся в письменном виде не позднее дня контроля.</w:t>
      </w:r>
    </w:p>
    <w:p>
      <w:pPr>
        <w:numPr>
          <w:ilvl w:val="0"/>
          <w:numId w:val="1002"/>
        </w:numPr>
        <w:pStyle w:val="Compact"/>
      </w:pPr>
      <w:r>
        <w:t xml:space="preserve">Работы по темам 6.5 и 6.8 (самостоятельная работа) сдаются до начала контроля.</w:t>
      </w:r>
    </w:p>
    <w:bookmarkEnd w:id="30"/>
    <w:bookmarkStart w:id="31" w:name="X294de084f2b9a73c8d4226863b997bfd0b7bf4d"/>
    <w:p>
      <w:pPr>
        <w:pStyle w:val="Heading2"/>
      </w:pPr>
      <w:r>
        <w:t xml:space="preserve">5. Тематические направления для разбора статьи</w:t>
      </w:r>
    </w:p>
    <w:p>
      <w:pPr>
        <w:numPr>
          <w:ilvl w:val="0"/>
          <w:numId w:val="1003"/>
        </w:numPr>
        <w:pStyle w:val="Compact"/>
      </w:pPr>
      <w:r>
        <w:t xml:space="preserve">Реформы Александра I и М. М. Сперанский.</w:t>
      </w:r>
    </w:p>
    <w:p>
      <w:pPr>
        <w:numPr>
          <w:ilvl w:val="0"/>
          <w:numId w:val="1003"/>
        </w:numPr>
        <w:pStyle w:val="Compact"/>
      </w:pPr>
      <w:r>
        <w:t xml:space="preserve">Отечественная война 1812 г. и Урал: Златоустовская оружейная фабрика, Ижевский завод.</w:t>
      </w:r>
    </w:p>
    <w:p>
      <w:pPr>
        <w:numPr>
          <w:ilvl w:val="0"/>
          <w:numId w:val="1003"/>
        </w:numPr>
        <w:pStyle w:val="Compact"/>
      </w:pPr>
      <w:r>
        <w:t xml:space="preserve">Николаевская бюрократия и кодификация законов.</w:t>
      </w:r>
    </w:p>
    <w:p>
      <w:pPr>
        <w:numPr>
          <w:ilvl w:val="0"/>
          <w:numId w:val="1003"/>
        </w:numPr>
        <w:pStyle w:val="Compact"/>
      </w:pPr>
      <w:r>
        <w:t xml:space="preserve">Подготовка и проведение крестьянской реформы 1861 г.</w:t>
      </w:r>
    </w:p>
    <w:p>
      <w:pPr>
        <w:numPr>
          <w:ilvl w:val="0"/>
          <w:numId w:val="1003"/>
        </w:numPr>
        <w:pStyle w:val="Compact"/>
      </w:pPr>
      <w:r>
        <w:t xml:space="preserve">Земство и местное самоуправление.</w:t>
      </w:r>
    </w:p>
    <w:p>
      <w:pPr>
        <w:numPr>
          <w:ilvl w:val="0"/>
          <w:numId w:val="1003"/>
        </w:numPr>
        <w:pStyle w:val="Compact"/>
      </w:pPr>
      <w:r>
        <w:t xml:space="preserve">Модернизация Витте и Транссибирская магистраль; Челябинск как «ворота Сибири».</w:t>
      </w:r>
    </w:p>
    <w:p>
      <w:pPr>
        <w:numPr>
          <w:ilvl w:val="0"/>
          <w:numId w:val="1003"/>
        </w:numPr>
        <w:pStyle w:val="Compact"/>
      </w:pPr>
      <w:r>
        <w:t xml:space="preserve">Революция 1905–1907 гг. в провинции.</w:t>
      </w:r>
    </w:p>
    <w:p>
      <w:pPr>
        <w:numPr>
          <w:ilvl w:val="0"/>
          <w:numId w:val="1003"/>
        </w:numPr>
        <w:pStyle w:val="Compact"/>
      </w:pPr>
      <w:r>
        <w:t xml:space="preserve">Столыпинская аграрная реформа и переселение.</w:t>
      </w:r>
    </w:p>
    <w:p>
      <w:pPr>
        <w:numPr>
          <w:ilvl w:val="0"/>
          <w:numId w:val="1003"/>
        </w:numPr>
        <w:pStyle w:val="Compact"/>
      </w:pPr>
      <w:r>
        <w:t xml:space="preserve">Россия в Первой мировой войне: тыл и снабжение.</w:t>
      </w:r>
    </w:p>
    <w:bookmarkEnd w:id="31"/>
    <w:bookmarkStart w:id="32" w:name="критерии-оценивания"/>
    <w:p>
      <w:pPr>
        <w:pStyle w:val="Heading2"/>
      </w:pPr>
      <w:r>
        <w:t xml:space="preserve">6. Критерии оценивания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оценивается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одного ответа — 1 балл; соответствие и хронология — 2 балла при полном совпадении. Порог — 34 балла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вопроса по 5 баллов: факты (2), объяснение связи (2), указание на источник знания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Разбор статьи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по схеме (6), самостоятельность суждения (5), оформление ссылок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Работы по темам 6.5 и 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источником по теме 6.5 (5); эссе или таблица по теме 6.8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Зачтено — от 60 баллов при выполненных всех частях</w:t>
            </w:r>
          </w:p>
        </w:tc>
      </w:tr>
    </w:tbl>
    <w:p>
      <w:pPr>
        <w:pStyle w:val="BodyText"/>
      </w:pPr>
      <w:r>
        <w:t xml:space="preserve">Порог по тесту — 34 балла из 56 (60 %). При результате ниже порога тест переписывается независимо от общей суммы. Пересдача проводится по той же схеме: другой вариант теста, другие устные вопросы и другая статья.</w:t>
      </w:r>
    </w:p>
    <w:bookmarkEnd w:id="32"/>
    <w:bookmarkStart w:id="33" w:name="материалы-для-подготовки"/>
    <w:p>
      <w:pPr>
        <w:pStyle w:val="Heading2"/>
      </w:pPr>
      <w:r>
        <w:t xml:space="preserve">7. Материалы для подготовки</w:t>
      </w:r>
    </w:p>
    <w:p>
      <w:pPr>
        <w:pStyle w:val="FirstParagraph"/>
      </w:pPr>
      <w:r>
        <w:rPr>
          <w:bCs/>
          <w:b/>
        </w:rPr>
        <w:t xml:space="preserve">Основные — по каждой теме раздела:</w:t>
      </w:r>
    </w:p>
    <w:p>
      <w:pPr>
        <w:numPr>
          <w:ilvl w:val="0"/>
          <w:numId w:val="1004"/>
        </w:numPr>
        <w:pStyle w:val="Compact"/>
      </w:pPr>
      <w:r>
        <w:t xml:space="preserve">файлы «вопросы и задания» по темам 6.1–6.8: вопросы для обсуждения, опорные даты, термины, тестовые задания с ключами;</w:t>
      </w:r>
    </w:p>
    <w:p>
      <w:pPr>
        <w:numPr>
          <w:ilvl w:val="0"/>
          <w:numId w:val="1004"/>
        </w:numPr>
        <w:pStyle w:val="Compact"/>
      </w:pPr>
      <w:r>
        <w:t xml:space="preserve">тексты лекций по темам 6.1–6.4, 6.6, 6.7 и тексты для самостоятельной работы по темам 6.5 и 6.8;</w:t>
      </w:r>
    </w:p>
    <w:p>
      <w:pPr>
        <w:numPr>
          <w:ilvl w:val="0"/>
          <w:numId w:val="1004"/>
        </w:numPr>
        <w:pStyle w:val="Compact"/>
      </w:pPr>
      <w:r>
        <w:t xml:space="preserve">презентации по темам 6.1–6.8.</w:t>
      </w:r>
    </w:p>
    <w:p>
      <w:pPr>
        <w:pStyle w:val="FirstParagraph"/>
      </w:pPr>
      <w:r>
        <w:rPr>
          <w:bCs/>
          <w:b/>
        </w:rPr>
        <w:t xml:space="preserve">Источники раздела:</w:t>
      </w:r>
    </w:p>
    <w:p>
      <w:pPr>
        <w:numPr>
          <w:ilvl w:val="0"/>
          <w:numId w:val="1005"/>
        </w:numPr>
        <w:pStyle w:val="Compact"/>
      </w:pPr>
      <w:r>
        <w:t xml:space="preserve">Записка Н. М. Карамзина «О древней и новой России» (1811); план М. М. Сперанского (1809); акт Священного союза (1815).</w:t>
      </w:r>
    </w:p>
    <w:p>
      <w:pPr>
        <w:numPr>
          <w:ilvl w:val="0"/>
          <w:numId w:val="1005"/>
        </w:numPr>
        <w:pStyle w:val="Compact"/>
      </w:pPr>
      <w:r>
        <w:t xml:space="preserve">«Философическое письмо» П. Я. Чаадаева (1836); доклад С. С. Уварова (1833).</w:t>
      </w:r>
    </w:p>
    <w:p>
      <w:pPr>
        <w:numPr>
          <w:ilvl w:val="0"/>
          <w:numId w:val="1005"/>
        </w:numPr>
        <w:pStyle w:val="Compact"/>
      </w:pPr>
      <w:r>
        <w:t xml:space="preserve">Манифест и Положения 19 февраля 1861 г.; Положение о земских учреждениях и Судебные уставы (1864); Устав о воинской повинности (1874).</w:t>
      </w:r>
    </w:p>
    <w:p>
      <w:pPr>
        <w:numPr>
          <w:ilvl w:val="0"/>
          <w:numId w:val="1005"/>
        </w:numPr>
        <w:pStyle w:val="Compact"/>
      </w:pPr>
      <w:r>
        <w:t xml:space="preserve">Манифест о незыблемости самодержавия (1881); Положение о земских участковых начальниках (1889).</w:t>
      </w:r>
    </w:p>
    <w:p>
      <w:pPr>
        <w:numPr>
          <w:ilvl w:val="0"/>
          <w:numId w:val="1005"/>
        </w:numPr>
        <w:pStyle w:val="Compact"/>
      </w:pPr>
      <w:r>
        <w:t xml:space="preserve">Манифест 17 октября 1905 г.; Основные государственные законы 1906 г.; указ 9 ноября 1906 г.; манифест 3 июня 1907 г.</w:t>
      </w:r>
    </w:p>
    <w:p>
      <w:pPr>
        <w:numPr>
          <w:ilvl w:val="0"/>
          <w:numId w:val="1005"/>
        </w:numPr>
        <w:pStyle w:val="Compact"/>
      </w:pPr>
      <w:r>
        <w:t xml:space="preserve">Декларация Прогрессивного блока (1915); речь П. Н. Милюкова 1 ноября 1916 г.</w:t>
      </w:r>
    </w:p>
    <w:p>
      <w:pPr>
        <w:pStyle w:val="FirstParagraph"/>
      </w:pPr>
      <w:r>
        <w:rPr>
          <w:bCs/>
          <w:b/>
        </w:rPr>
        <w:t xml:space="preserve">Исследования (достаточно трёх-четырёх по выбору):</w:t>
      </w:r>
    </w:p>
    <w:p>
      <w:pPr>
        <w:numPr>
          <w:ilvl w:val="0"/>
          <w:numId w:val="1006"/>
        </w:numPr>
        <w:pStyle w:val="Compact"/>
      </w:pPr>
      <w:r>
        <w:t xml:space="preserve">Миронов Б. Н. Российская империя: от традиции к модерну.</w:t>
      </w:r>
    </w:p>
    <w:p>
      <w:pPr>
        <w:numPr>
          <w:ilvl w:val="0"/>
          <w:numId w:val="1006"/>
        </w:numPr>
        <w:pStyle w:val="Compact"/>
      </w:pPr>
      <w:r>
        <w:t xml:space="preserve">Захарова Л. Г. Самодержавие и отмена крепостного права в России.</w:t>
      </w:r>
    </w:p>
    <w:p>
      <w:pPr>
        <w:numPr>
          <w:ilvl w:val="0"/>
          <w:numId w:val="1006"/>
        </w:numPr>
        <w:pStyle w:val="Compact"/>
      </w:pPr>
      <w:r>
        <w:t xml:space="preserve">Зайончковский П. А. Российское самодержавие в конце XIX столетия.</w:t>
      </w:r>
    </w:p>
    <w:p>
      <w:pPr>
        <w:numPr>
          <w:ilvl w:val="0"/>
          <w:numId w:val="1006"/>
        </w:numPr>
        <w:pStyle w:val="Compact"/>
      </w:pPr>
      <w:r>
        <w:t xml:space="preserve">Давыдов М. А. Двадцать лет до Великой войны: российская модернизация Витте — Столыпина.</w:t>
      </w:r>
    </w:p>
    <w:p>
      <w:pPr>
        <w:numPr>
          <w:ilvl w:val="0"/>
          <w:numId w:val="1006"/>
        </w:numPr>
        <w:pStyle w:val="Compact"/>
      </w:pPr>
      <w:r>
        <w:t xml:space="preserve">Соловьёв К. А. Самодержавие и конституция.</w:t>
      </w:r>
    </w:p>
    <w:p>
      <w:pPr>
        <w:numPr>
          <w:ilvl w:val="0"/>
          <w:numId w:val="1006"/>
        </w:numPr>
        <w:pStyle w:val="Compact"/>
      </w:pPr>
      <w:r>
        <w:t xml:space="preserve">Христофоров И. А. Судьба реформы.</w:t>
      </w:r>
    </w:p>
    <w:bookmarkEnd w:id="33"/>
    <w:bookmarkStart w:id="34" w:name="что-дальше"/>
    <w:p>
      <w:pPr>
        <w:pStyle w:val="Heading2"/>
      </w:pPr>
      <w:r>
        <w:t xml:space="preserve">8. Что дальше</w:t>
      </w:r>
    </w:p>
    <w:p>
      <w:pPr>
        <w:pStyle w:val="FirstParagraph"/>
      </w:pPr>
      <w:r>
        <w:t xml:space="preserve">Раздел 7 начинается с темы 7.1 «Великая российская революция (1917–1922)». Четыре обстоятельства, с которыми империя подошла к 1917 г.:</w:t>
      </w:r>
    </w:p>
    <w:p>
      <w:pPr>
        <w:numPr>
          <w:ilvl w:val="0"/>
          <w:numId w:val="1007"/>
        </w:numPr>
        <w:pStyle w:val="Compact"/>
      </w:pPr>
      <w:r>
        <w:t xml:space="preserve">самодержавие с Думой, но без ответственного правительства; кабинет без опоры в обществе;</w:t>
      </w:r>
    </w:p>
    <w:p>
      <w:pPr>
        <w:numPr>
          <w:ilvl w:val="0"/>
          <w:numId w:val="1007"/>
        </w:numPr>
        <w:pStyle w:val="Compact"/>
      </w:pPr>
      <w:r>
        <w:t xml:space="preserve">незавершённая аграрная реформа; хлеб по твёрдым ценам; надежда деревни на передел помещичьей земли;</w:t>
      </w:r>
    </w:p>
    <w:p>
      <w:pPr>
        <w:numPr>
          <w:ilvl w:val="0"/>
          <w:numId w:val="1007"/>
        </w:numPr>
        <w:pStyle w:val="Compact"/>
      </w:pPr>
      <w:r>
        <w:t xml:space="preserve">бумажный рубль без размена и рост цен в несколько раз;</w:t>
      </w:r>
    </w:p>
    <w:p>
      <w:pPr>
        <w:numPr>
          <w:ilvl w:val="0"/>
          <w:numId w:val="1007"/>
        </w:numPr>
        <w:pStyle w:val="Compact"/>
      </w:pPr>
      <w:r>
        <w:t xml:space="preserve">миллионы мобилизованных, выбитый кадровый состав армии, тыловые гарнизоны в столицах.</w:t>
      </w:r>
    </w:p>
    <w:p>
      <w:pPr>
        <w:pStyle w:val="FirstParagraph"/>
      </w:pPr>
      <w:r>
        <w:t xml:space="preserve">Эти четыре пункта стоит держать в памяти: с них начнётся следующая тема.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2026-10-08T04:22:31Z</dcterms:created>
  <dcterms:modified xsi:type="dcterms:W3CDTF">2026-10-08T04:22:31Z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