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eb2d8c249c3636158fc1db03a3584f52885c8c"/>
    <w:p>
      <w:pPr>
        <w:pStyle w:val="Heading1"/>
      </w:pPr>
      <w:r>
        <w:t xml:space="preserve">Тема 7.4. Проблемы истории Второй мировой и Великой Отечественной войн (1939–1945)</w:t>
      </w:r>
    </w:p>
    <w:bookmarkStart w:id="20" w:name="Xa636295cc5d28cd83d3811d28ea27814cb4013d"/>
    <w:p>
      <w:pPr>
        <w:pStyle w:val="Heading2"/>
      </w:pPr>
      <w:r>
        <w:t xml:space="preserve">Практическое занятие: методические указания и сценарий</w:t>
      </w:r>
    </w:p>
    <w:p>
      <w:pPr>
        <w:pStyle w:val="FirstParagraph"/>
      </w:pPr>
      <w:r>
        <w:t xml:space="preserve">Раздел 7. Россия и СССР в советскую эпоху (1917–1991)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End w:id="20"/>
    <w:bookmarkStart w:id="21" w:name="цель-и-планируемые-результаты"/>
    <w:p>
      <w:pPr>
        <w:pStyle w:val="Heading2"/>
      </w:pPr>
      <w:r>
        <w:t xml:space="preserve">1. Цель и планируемые результаты</w:t>
      </w:r>
    </w:p>
    <w:p>
      <w:pPr>
        <w:pStyle w:val="FirstParagraph"/>
      </w:pPr>
      <w:r>
        <w:t xml:space="preserve">Цель занятия — применить материал лекций 7.3 к спорным проблемам истории Второй мировой и Великой Отечественной войн: отличать факт от оценки, работать с документом, аргументировать позицию в дискуссии.</w:t>
      </w:r>
    </w:p>
    <w:p>
      <w:pPr>
        <w:pStyle w:val="BodyText"/>
      </w:pPr>
      <w:r>
        <w:t xml:space="preserve">После занятия студент:</w:t>
      </w:r>
    </w:p>
    <w:p>
      <w:pPr>
        <w:numPr>
          <w:ilvl w:val="0"/>
          <w:numId w:val="1001"/>
        </w:numPr>
        <w:pStyle w:val="Compact"/>
      </w:pPr>
      <w:r>
        <w:t xml:space="preserve">объясняет, как нацисты пришли к власти, и аргументирует тезис о том, что они не получили большинства на свободных выборах;</w:t>
      </w:r>
    </w:p>
    <w:p>
      <w:pPr>
        <w:numPr>
          <w:ilvl w:val="0"/>
          <w:numId w:val="1001"/>
        </w:numPr>
        <w:pStyle w:val="Compact"/>
      </w:pPr>
      <w:r>
        <w:t xml:space="preserve">характеризует нацистскую идеологию и её место в планах войны против СССР;</w:t>
      </w:r>
    </w:p>
    <w:p>
      <w:pPr>
        <w:numPr>
          <w:ilvl w:val="0"/>
          <w:numId w:val="1001"/>
        </w:numPr>
        <w:pStyle w:val="Compact"/>
      </w:pPr>
      <w:r>
        <w:t xml:space="preserve">сравнивает альтернативы внешней политики СССР в 1939 г.;</w:t>
      </w:r>
    </w:p>
    <w:p>
      <w:pPr>
        <w:numPr>
          <w:ilvl w:val="0"/>
          <w:numId w:val="1001"/>
        </w:numPr>
        <w:pStyle w:val="Compact"/>
      </w:pPr>
      <w:r>
        <w:t xml:space="preserve">называет периоды Великой Отечественной войны и их границы;</w:t>
      </w:r>
    </w:p>
    <w:p>
      <w:pPr>
        <w:numPr>
          <w:ilvl w:val="0"/>
          <w:numId w:val="1001"/>
        </w:numPr>
        <w:pStyle w:val="Compact"/>
      </w:pPr>
      <w:r>
        <w:t xml:space="preserve">анализирует газетный текст, сводку и письмо как исторические источники;</w:t>
      </w:r>
    </w:p>
    <w:p>
      <w:pPr>
        <w:numPr>
          <w:ilvl w:val="0"/>
          <w:numId w:val="1001"/>
        </w:numPr>
        <w:pStyle w:val="Compact"/>
      </w:pPr>
      <w:r>
        <w:t xml:space="preserve">оценивает роль антигитлеровской коалиции и соотношение Восточного и Западного фронтов;</w:t>
      </w:r>
    </w:p>
    <w:p>
      <w:pPr>
        <w:numPr>
          <w:ilvl w:val="0"/>
          <w:numId w:val="1001"/>
        </w:numPr>
        <w:pStyle w:val="Compact"/>
      </w:pPr>
      <w:r>
        <w:t xml:space="preserve">называет итоги войны и принципы Нюрнбергского процесса.</w:t>
      </w:r>
    </w:p>
    <w:bookmarkEnd w:id="21"/>
    <w:bookmarkStart w:id="22" w:name="подготовка-к-занятию"/>
    <w:p>
      <w:pPr>
        <w:pStyle w:val="Heading2"/>
      </w:pPr>
      <w:r>
        <w:t xml:space="preserve">2. Подготовка к занятию</w:t>
      </w:r>
    </w:p>
    <w:p>
      <w:pPr>
        <w:pStyle w:val="FirstParagraph"/>
      </w:pPr>
      <w:r>
        <w:rPr>
          <w:bCs/>
          <w:b/>
        </w:rPr>
        <w:t xml:space="preserve">За неделю до занятия</w:t>
      </w:r>
      <w:r>
        <w:t xml:space="preserve"> </w:t>
      </w:r>
      <w:r>
        <w:t xml:space="preserve">распределить семь тем сообщений (по одному студенту на вопрос, 3–5 минут) и разделить группу на три команды для дебатов (вопрос третий). Остальные студенты готовят по каждому вопросу один аргумент и один факт.</w:t>
      </w:r>
    </w:p>
    <w:p>
      <w:pPr>
        <w:pStyle w:val="BodyText"/>
      </w:pPr>
      <w:r>
        <w:rPr>
          <w:bCs/>
          <w:b/>
        </w:rPr>
        <w:t xml:space="preserve">Материалы на занятии:</w:t>
      </w:r>
      <w:r>
        <w:t xml:space="preserve"> </w:t>
      </w:r>
      <w:r>
        <w:t xml:space="preserve">дека «Тема_7.4_Проблемы_истории_Второй_мировой_и_ВОВ_практическое_занятие.html» (30 слайдов), раздаточный файл «Тема_7.4_вопросы_и_задания», лекции 7.3 (части 1 и 2).</w:t>
      </w:r>
    </w:p>
    <w:bookmarkEnd w:id="22"/>
    <w:bookmarkStart w:id="23" w:name="регламент"/>
    <w:p>
      <w:pPr>
        <w:pStyle w:val="Heading2"/>
      </w:pPr>
      <w:r>
        <w:t xml:space="preserve">3. Регламент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Вступление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Цель, порядок, критерии оценки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Сообщение; декрет 28 февраля 1933 г.; ранжирование факторов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Сообщение; идеология; анализ листовок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Дебаты в трёх группах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Периодизация; газета, сводка,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второго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Сообщение; вехи коалиции; таблица конференций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фронтов; спор о вкладе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Нюрнберг; синхронный перевод; итоговая дискуссия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Мини-эссе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Письменный ответ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Задания к 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Объявление заданий 7.5</w:t>
            </w:r>
          </w:p>
        </w:tc>
      </w:tr>
    </w:tbl>
    <w:bookmarkEnd w:id="23"/>
    <w:bookmarkStart w:id="33" w:name="ход-занятия"/>
    <w:p>
      <w:pPr>
        <w:pStyle w:val="Heading2"/>
      </w:pPr>
      <w:r>
        <w:t xml:space="preserve">4. Ход занятия</w:t>
      </w:r>
    </w:p>
    <w:bookmarkStart w:id="24" w:name="вступление"/>
    <w:p>
      <w:pPr>
        <w:pStyle w:val="Heading3"/>
      </w:pPr>
      <w:r>
        <w:t xml:space="preserve">Вступление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Занятие подводит итог теме 7.3. На лекциях мы прошли путь от 1933 до 1945 года; сегодня работаем со спорными вопросами, документами и оценками.</w:t>
      </w:r>
    </w:p>
    <w:p>
      <w:pPr>
        <w:pStyle w:val="BodyText"/>
      </w:pPr>
      <w:r>
        <w:rPr>
          <w:bCs/>
          <w:b/>
        </w:rPr>
        <w:t xml:space="preserve">[слайд 2 — цель и формат]</w:t>
      </w:r>
    </w:p>
    <w:p>
      <w:pPr>
        <w:pStyle w:val="BodyText"/>
      </w:pPr>
      <w:r>
        <w:t xml:space="preserve">Объявить цель, формат и критерии. Сообщение оценивается до 5 баллов, участие в дебатах и обсуждении — до 3, письменная работа с источником — до 4, мини-эссе — до 3.</w:t>
      </w:r>
    </w:p>
    <w:p>
      <w:pPr>
        <w:pStyle w:val="BodyText"/>
      </w:pPr>
      <w:r>
        <w:rPr>
          <w:bCs/>
          <w:b/>
        </w:rPr>
        <w:t xml:space="preserve">[слайд 3 — план, час первый]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4 — регламент]</w:t>
      </w:r>
    </w:p>
    <w:p>
      <w:pPr>
        <w:pStyle w:val="BodyText"/>
      </w:pPr>
      <w:r>
        <w:t xml:space="preserve">Показать семь вопросов и распределение времени. Напомнить о дебатах в третьем вопросе.</w:t>
      </w:r>
    </w:p>
    <w:bookmarkEnd w:id="24"/>
    <w:bookmarkStart w:id="25" w:name="вопрос-первый.-приход-гитлера-к-власти"/>
    <w:p>
      <w:pPr>
        <w:pStyle w:val="Heading3"/>
      </w:pPr>
      <w:r>
        <w:t xml:space="preserve">Вопрос первый. Приход Гитлера к власти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t xml:space="preserve">Сообщение студента: биография Гитлера, выборы 1928–1933 годов, назначение канцлером 30 января 1933 года.</w:t>
      </w:r>
    </w:p>
    <w:p>
      <w:pPr>
        <w:pStyle w:val="BodyText"/>
      </w:pPr>
      <w:r>
        <w:rPr>
          <w:bCs/>
          <w:b/>
        </w:rPr>
        <w:t xml:space="preserve">[слайд 6 — декрет 28 февраля 1933 г.]</w:t>
      </w:r>
    </w:p>
    <w:p>
      <w:pPr>
        <w:pStyle w:val="BodyText"/>
      </w:pPr>
      <w:r>
        <w:t xml:space="preserve">Разбор документа. Ответы на вопросы:</w:t>
      </w:r>
    </w:p>
    <w:p>
      <w:pPr>
        <w:numPr>
          <w:ilvl w:val="0"/>
          <w:numId w:val="1002"/>
        </w:numPr>
        <w:pStyle w:val="Compact"/>
      </w:pPr>
      <w:r>
        <w:t xml:space="preserve">Декрет издан на основании статьи 48 Веймарской конституции, которая давала президенту право чрезвычайных мер.</w:t>
      </w:r>
    </w:p>
    <w:p>
      <w:pPr>
        <w:numPr>
          <w:ilvl w:val="0"/>
          <w:numId w:val="1002"/>
        </w:numPr>
        <w:pStyle w:val="Compact"/>
      </w:pPr>
      <w:r>
        <w:t xml:space="preserve">Он был направлен прежде всего против коммунистов, затем против социал-демократов и всех оппонентов.</w:t>
      </w:r>
    </w:p>
    <w:p>
      <w:pPr>
        <w:numPr>
          <w:ilvl w:val="0"/>
          <w:numId w:val="1002"/>
        </w:numPr>
        <w:pStyle w:val="Compact"/>
      </w:pPr>
      <w:r>
        <w:t xml:space="preserve">Временная мера стала постоянной, потому что после закона о чрезвычайных полномочиях не осталось органа, способного её отменить.</w:t>
      </w:r>
    </w:p>
    <w:p>
      <w:pPr>
        <w:pStyle w:val="FirstParagraph"/>
      </w:pPr>
      <w:r>
        <w:t xml:space="preserve">Сравнение с выборами: голосование 5 марта 1933 года прошло после ареста тысяч коммунистов, запрета их газет и при терроре штурмовиков; результат НСДАП вырос с 33,1 до 43,9 %, но большинства партия не получила.</w:t>
      </w:r>
    </w:p>
    <w:p>
      <w:pPr>
        <w:pStyle w:val="BodyText"/>
      </w:pPr>
      <w:r>
        <w:rPr>
          <w:bCs/>
          <w:b/>
        </w:rPr>
        <w:t xml:space="preserve">[слайд 7 — почему пала Веймарская республика]</w:t>
      </w:r>
    </w:p>
    <w:p>
      <w:pPr>
        <w:pStyle w:val="BodyText"/>
      </w:pPr>
      <w:r>
        <w:t xml:space="preserve">Работа в группе: студенты ранжируют шесть факторов. Направить обсуждение к различению необходимых и благоприятствующих условий. Кризис и Версаль создали почву; решающим звеном стали решения элит, передавших власть Гитлеру, и правление декретами, ослабившее парламент ещё до 1933 года. Отдельно отметить раскол левых: линия Коминтерна на борьбу с «социал-фашизмом» мешала совместным действиям КПГ и СДПГ.</w:t>
      </w:r>
    </w:p>
    <w:bookmarkEnd w:id="25"/>
    <w:bookmarkStart w:id="26" w:name="X3c0229ca396bfc4cdff47f52be31a376b9865d6"/>
    <w:p>
      <w:pPr>
        <w:pStyle w:val="Heading3"/>
      </w:pPr>
      <w:r>
        <w:t xml:space="preserve">Вопрос второй. Нацистская идеология и СССР</w:t>
      </w:r>
    </w:p>
    <w:p>
      <w:pPr>
        <w:pStyle w:val="FirstParagraph"/>
      </w:pPr>
      <w:r>
        <w:rPr>
          <w:bCs/>
          <w:b/>
        </w:rPr>
        <w:t xml:space="preserve">[слайд 8 — вопрос второй]</w:t>
      </w:r>
    </w:p>
    <w:p>
      <w:pPr>
        <w:pStyle w:val="BodyText"/>
      </w:pPr>
      <w:r>
        <w:t xml:space="preserve">Сообщение студента: основные положения «Майн кампф», понятие «жизненного пространства».</w:t>
      </w:r>
    </w:p>
    <w:p>
      <w:pPr>
        <w:pStyle w:val="BodyText"/>
      </w:pPr>
      <w:r>
        <w:rPr>
          <w:bCs/>
          <w:b/>
        </w:rPr>
        <w:t xml:space="preserve">[слайд 9 — война мировоззрений]</w:t>
      </w:r>
    </w:p>
    <w:p>
      <w:pPr>
        <w:pStyle w:val="BodyText"/>
      </w:pPr>
      <w:r>
        <w:t xml:space="preserve">Обсудить четыре элемента идеологии и цитату из записи Гальдера (30 марта 1941 года). Ответ на вопрос: на Востоке война задумывалась как война на уничтожение; это подтверждают «приказ о комиссарах», указ о военной подсудности (май — июнь 1941 года), «план голода» и Генплан «Ост». Связь с А. Тузом: идеология переводилась в расчёт продовольствия и сырья.</w:t>
      </w:r>
    </w:p>
    <w:p>
      <w:pPr>
        <w:pStyle w:val="BodyText"/>
      </w:pPr>
      <w:r>
        <w:rPr>
          <w:bCs/>
          <w:b/>
        </w:rPr>
        <w:t xml:space="preserve">[слайд 10 — язык пропаганды]</w:t>
      </w:r>
    </w:p>
    <w:p>
      <w:pPr>
        <w:pStyle w:val="BodyText"/>
      </w:pPr>
      <w:r>
        <w:t xml:space="preserve">Задание с учётом профиля. Листовка «Vati!» («Папа! Только это спасёт тебя для нас!») обращается к семейным чувствам; листовка-пропуск — к инстинкту самосохранения и рациональному выбору, она двуязычна и показывает «дорогу домой». Обратить внимание на обращение на «ты» (du), повелительное наклонение, на то, что противник показан как человек, которого ждёт семья. Сопоставить с нацистской лексикой «недочеловеков».</w:t>
      </w:r>
    </w:p>
    <w:bookmarkEnd w:id="26"/>
    <w:bookmarkStart w:id="27" w:name="вопрос-третий.-от-мюнхена-к-пакту"/>
    <w:p>
      <w:pPr>
        <w:pStyle w:val="Heading3"/>
      </w:pPr>
      <w:r>
        <w:t xml:space="preserve">Вопрос третий. От Мюнхена к пакту</w:t>
      </w:r>
    </w:p>
    <w:p>
      <w:pPr>
        <w:pStyle w:val="FirstParagraph"/>
      </w:pPr>
      <w:r>
        <w:rPr>
          <w:bCs/>
          <w:b/>
        </w:rPr>
        <w:t xml:space="preserve">[слайд 11 — вопрос третий]</w:t>
      </w:r>
    </w:p>
    <w:p>
      <w:pPr>
        <w:pStyle w:val="BodyText"/>
      </w:pPr>
      <w:r>
        <w:rPr>
          <w:bCs/>
          <w:b/>
        </w:rPr>
        <w:t xml:space="preserve">[слайд 12 — дебаты]</w:t>
      </w:r>
    </w:p>
    <w:p>
      <w:pPr>
        <w:pStyle w:val="BodyText"/>
      </w:pPr>
      <w:r>
        <w:t xml:space="preserve">Группы А, Б и В защищают свои варианты политики СССР летом 1939 года. Подготовка — 4 минуты, выступление — 2 минуты, вопросы оппонентам — 3 минуты.</w:t>
      </w:r>
    </w:p>
    <w:p>
      <w:pPr>
        <w:pStyle w:val="BodyText"/>
      </w:pPr>
      <w:r>
        <w:t xml:space="preserve">Итог подводит преподаватель. Ни один вариант не был свободен от рисков. Договор 23 августа дал отсрочку и территорию, но открыл Германии путь к войне в Европе и обернулся общей границей с Рейхом; моральная и правовая оценка секретного протокола дана в постановлении Съезда народных депутатов СССР 24 декабря 1989 года. Попросить каждую группу назвать главный довод противников — это проверяет умение слышать чужую позицию.</w:t>
      </w:r>
    </w:p>
    <w:bookmarkEnd w:id="27"/>
    <w:bookmarkStart w:id="28" w:name="X9d72644d53c763a92534864b737357cda116c7e"/>
    <w:p>
      <w:pPr>
        <w:pStyle w:val="Heading3"/>
      </w:pPr>
      <w:r>
        <w:t xml:space="preserve">Вопрос четвёртый. Нападение и ключевые этапы</w:t>
      </w:r>
    </w:p>
    <w:p>
      <w:pPr>
        <w:pStyle w:val="FirstParagraph"/>
      </w:pPr>
      <w:r>
        <w:rPr>
          <w:bCs/>
          <w:b/>
        </w:rPr>
        <w:t xml:space="preserve">[слайд 13 — вопрос четвёртый]</w:t>
      </w:r>
    </w:p>
    <w:p>
      <w:pPr>
        <w:pStyle w:val="BodyText"/>
      </w:pPr>
      <w:r>
        <w:rPr>
          <w:bCs/>
          <w:b/>
        </w:rPr>
        <w:t xml:space="preserve">[слайд 14 — периодизация]</w:t>
      </w:r>
    </w:p>
    <w:p>
      <w:pPr>
        <w:pStyle w:val="BodyText"/>
      </w:pPr>
      <w:r>
        <w:t xml:space="preserve">Обсудить границы периодов: 19 ноября 1942 года — начало контрнаступления под Сталинградом; конец 1943 года — битва за Днепр и Тегеранская конференция. Альтернативные периодизации выделяют 1941 год (срыв блицкрига) и 1942 год (второе лето отступления) как самостоятельные этапы.</w:t>
      </w:r>
    </w:p>
    <w:p>
      <w:pPr>
        <w:pStyle w:val="BodyText"/>
      </w:pPr>
      <w:r>
        <w:rPr>
          <w:bCs/>
          <w:b/>
        </w:rPr>
        <w:t xml:space="preserve">[слайд 15 — источники 1941 г.]</w:t>
      </w:r>
    </w:p>
    <w:p>
      <w:pPr>
        <w:pStyle w:val="BodyText"/>
      </w:pPr>
      <w:r>
        <w:t xml:space="preserve">Работа с газетой и сводкой. «Правда» 23 июня 1941 года публикует выступление В. М. Молотова; формулы «Наше дело правое. Враг будет разбит. Победа будет за нами» стали лозунгами войны. Сводка Совинформбюро построена от фронта к тылу; номера частей заменены фамилиями командиров («часть тов. Орлова»), цифры потерь противника нередко завышались, собственные потери не назывались. В сводке 6 декабря 1941 года есть абзац о трудящихся Свердловской области — пример уральской темы.</w:t>
      </w:r>
    </w:p>
    <w:p>
      <w:pPr>
        <w:pStyle w:val="BodyText"/>
      </w:pPr>
      <w:r>
        <w:rPr>
          <w:bCs/>
          <w:b/>
        </w:rPr>
        <w:t xml:space="preserve">[слайд 16 — фронтовое письмо]</w:t>
      </w:r>
    </w:p>
    <w:p>
      <w:pPr>
        <w:pStyle w:val="BodyText"/>
      </w:pPr>
      <w:r>
        <w:t xml:space="preserve">Письмо-треугольник с челябинским адресом. Обсудить цензурные ограничения (нельзя было называть место, номер части, потери), формулы письма. Объявить региональное задание.</w:t>
      </w:r>
    </w:p>
    <w:bookmarkEnd w:id="28"/>
    <w:bookmarkStart w:id="29" w:name="час-второй"/>
    <w:p>
      <w:pPr>
        <w:pStyle w:val="Heading3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17 — час второй]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18 — план]</w:t>
      </w:r>
    </w:p>
    <w:bookmarkEnd w:id="29"/>
    <w:bookmarkStart w:id="30" w:name="вопрос-пятый.-коалиция-и-конференции"/>
    <w:p>
      <w:pPr>
        <w:pStyle w:val="Heading3"/>
      </w:pPr>
      <w:r>
        <w:t xml:space="preserve">Вопрос пятый. Коалиция и конференции</w:t>
      </w:r>
    </w:p>
    <w:p>
      <w:pPr>
        <w:pStyle w:val="FirstParagraph"/>
      </w:pPr>
      <w:r>
        <w:rPr>
          <w:bCs/>
          <w:b/>
        </w:rPr>
        <w:t xml:space="preserve">[слайд 19 — вопрос пятый]</w:t>
      </w:r>
    </w:p>
    <w:p>
      <w:pPr>
        <w:pStyle w:val="BodyText"/>
      </w:pPr>
      <w:r>
        <w:t xml:space="preserve">Сообщение студента: ленд-лиз и конференции «большой тройки».</w:t>
      </w:r>
    </w:p>
    <w:p>
      <w:pPr>
        <w:pStyle w:val="BodyText"/>
      </w:pPr>
      <w:r>
        <w:rPr>
          <w:bCs/>
          <w:b/>
        </w:rPr>
        <w:t xml:space="preserve">[слайд 20 — вехи коалиции]</w:t>
      </w:r>
    </w:p>
    <w:p>
      <w:pPr>
        <w:pStyle w:val="BodyText"/>
      </w:pPr>
      <w:r>
        <w:t xml:space="preserve">Обсудить, что объединяло союзников (общий враг) и что разделяло (политический строй, будущее Восточной Европы, сроки второго фронта). Спор о втором фронте: СССР требовал высадки во Франции в 1942 году; союзники провели операции в Северной Африке (1942) и Италии (1943), а высадку в Нормандии — 6 июня 1944 года.</w:t>
      </w:r>
    </w:p>
    <w:p>
      <w:pPr>
        <w:pStyle w:val="BodyText"/>
      </w:pPr>
      <w:r>
        <w:rPr>
          <w:bCs/>
          <w:b/>
        </w:rPr>
        <w:t xml:space="preserve">[слайд 21 — конференции]</w:t>
      </w:r>
    </w:p>
    <w:p>
      <w:pPr>
        <w:pStyle w:val="BodyText"/>
      </w:pPr>
      <w:r>
        <w:t xml:space="preserve">Задание: дополнить таблицу колонкой «Что было выполнено к 1947 году». Ожидаемые ответы: второй фронт открыт; ООН создана; зоны оккупации введены; СССР вступил в войну с Японией в обещанный срок; вопрос о правительстве Польши и о будущем Германии стал предметом конфликта и одной из причин «холодной войны».</w:t>
      </w:r>
    </w:p>
    <w:bookmarkEnd w:id="30"/>
    <w:bookmarkStart w:id="31" w:name="X8085368a3722d24587f8e74730bd4c894bce11c"/>
    <w:p>
      <w:pPr>
        <w:pStyle w:val="Heading3"/>
      </w:pPr>
      <w:r>
        <w:t xml:space="preserve">Вопрос шестой. Восточный и Западный фронт</w:t>
      </w:r>
    </w:p>
    <w:p>
      <w:pPr>
        <w:pStyle w:val="FirstParagraph"/>
      </w:pPr>
      <w:r>
        <w:rPr>
          <w:bCs/>
          <w:b/>
        </w:rPr>
        <w:t xml:space="preserve">[слайд 22 — вопрос шестой]</w:t>
      </w:r>
    </w:p>
    <w:p>
      <w:pPr>
        <w:pStyle w:val="BodyText"/>
      </w:pPr>
      <w:r>
        <w:rPr>
          <w:bCs/>
          <w:b/>
        </w:rPr>
        <w:t xml:space="preserve">[слайд 23 — сравнение]</w:t>
      </w:r>
    </w:p>
    <w:p>
      <w:pPr>
        <w:pStyle w:val="BodyText"/>
      </w:pPr>
      <w:r>
        <w:t xml:space="preserve">Подчеркнуть, что цифры отвечают на разные вопросы: длительность боёв, численность сил вермахта, потери вермахта (подсчёты Р. Оверманса), распределение производства (А. Туз). Фотография Р. Капы с пляжа «Омаха» — символ второго фронта в западной памяти.</w:t>
      </w:r>
    </w:p>
    <w:p>
      <w:pPr>
        <w:pStyle w:val="BodyText"/>
      </w:pPr>
      <w:r>
        <w:rPr>
          <w:bCs/>
          <w:b/>
        </w:rPr>
        <w:t xml:space="preserve">[слайд 24 — вклад в Победу]</w:t>
      </w:r>
    </w:p>
    <w:p>
      <w:pPr>
        <w:pStyle w:val="BodyText"/>
      </w:pPr>
      <w:r>
        <w:t xml:space="preserve">Дискуссия о показателях. Подвести к выводу: Восточный фронт был главным по численности сил и потерям вермахта; война ресурсов, морская и воздушная, велась в основном западными союзниками; победа была коалиционной, а спор о вкладе в годы «холодной войны» стал частью политики памяти.</w:t>
      </w:r>
    </w:p>
    <w:bookmarkEnd w:id="31"/>
    <w:bookmarkStart w:id="32" w:name="вопрос-седьмой.-итоги-и-нюрнберг"/>
    <w:p>
      <w:pPr>
        <w:pStyle w:val="Heading3"/>
      </w:pPr>
      <w:r>
        <w:t xml:space="preserve">Вопрос седьмой. Итоги и Нюрнберг</w:t>
      </w:r>
    </w:p>
    <w:p>
      <w:pPr>
        <w:pStyle w:val="FirstParagraph"/>
      </w:pPr>
      <w:r>
        <w:rPr>
          <w:bCs/>
          <w:b/>
        </w:rPr>
        <w:t xml:space="preserve">[слайд 25 — вопрос седьмой]</w:t>
      </w:r>
    </w:p>
    <w:p>
      <w:pPr>
        <w:pStyle w:val="BodyText"/>
      </w:pPr>
      <w:r>
        <w:t xml:space="preserve">Сообщение студента: итоги войны и Нюрнбергский процесс.</w:t>
      </w:r>
    </w:p>
    <w:p>
      <w:pPr>
        <w:pStyle w:val="BodyText"/>
      </w:pPr>
      <w:r>
        <w:rPr>
          <w:bCs/>
          <w:b/>
        </w:rPr>
        <w:t xml:space="preserve">[слайд 26 — Международный военный трибунал]</w:t>
      </w:r>
    </w:p>
    <w:p>
      <w:pPr>
        <w:pStyle w:val="BodyText"/>
      </w:pPr>
      <w:r>
        <w:t xml:space="preserve">Лондонское соглашение 8 августа 1945 года; четыре группы обвинений; приговор 1 октября 1946 года. Советский член трибунала И. Т. Никитченко заявил особое мнение. Связь с лекцией: оправдан Я. Шахт, автор векселей МЕФО.</w:t>
      </w:r>
    </w:p>
    <w:p>
      <w:pPr>
        <w:pStyle w:val="BodyText"/>
      </w:pPr>
      <w:r>
        <w:rPr>
          <w:bCs/>
          <w:b/>
        </w:rPr>
        <w:t xml:space="preserve">[слайд 27 — синхронный перевод]</w:t>
      </w:r>
    </w:p>
    <w:p>
      <w:pPr>
        <w:pStyle w:val="BodyText"/>
      </w:pPr>
      <w:r>
        <w:t xml:space="preserve">Блок для лингвистов. До Нюрнберга на международных встречах использовался последовательный перевод. Процесс на четырёх языках потребовал новой системы: под руководством Л. Достера были оборудованы кабины, наушники и переключатели каналов. После Нюрнберга синхронный перевод вошёл в практику ООН. Рекомендовать воспоминания Т. С. Ступниковой.</w:t>
      </w:r>
    </w:p>
    <w:p>
      <w:pPr>
        <w:pStyle w:val="BodyText"/>
      </w:pPr>
      <w:r>
        <w:rPr>
          <w:bCs/>
          <w:b/>
        </w:rPr>
        <w:t xml:space="preserve">[слайд 28 — итоговая дискуссия и мини-эссе]</w:t>
      </w:r>
    </w:p>
    <w:p>
      <w:pPr>
        <w:pStyle w:val="BodyText"/>
      </w:pPr>
      <w:r>
        <w:t xml:space="preserve">Короткое обсуждение трёх вопросов, затем мини-эссе (5 минут). Критерии: точность фактов — 1 балл, логика аргументации — 1 балл, ясность языка — 1 балл.</w:t>
      </w:r>
    </w:p>
    <w:p>
      <w:pPr>
        <w:pStyle w:val="BodyText"/>
      </w:pPr>
      <w:r>
        <w:rPr>
          <w:bCs/>
          <w:b/>
        </w:rPr>
        <w:t xml:space="preserve">[слайд 29 — задания к самостоятельной работе]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30 — литература]</w:t>
      </w:r>
    </w:p>
    <w:p>
      <w:pPr>
        <w:pStyle w:val="BodyText"/>
      </w:pPr>
      <w:r>
        <w:t xml:space="preserve">Объявить задания к СР 7.5 и срок сдачи.</w:t>
      </w:r>
    </w:p>
    <w:bookmarkEnd w:id="32"/>
    <w:bookmarkEnd w:id="33"/>
    <w:bookmarkStart w:id="34" w:name="критерии-оценивания"/>
    <w:p>
      <w:pPr>
        <w:pStyle w:val="Heading2"/>
      </w:pPr>
      <w:r>
        <w:t xml:space="preserve">5. Критерии оценивания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 фактов (2), структура и время (1), ответы на вопросы (1), использование источника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Участие в дебатах и обсуждении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Аргумент с фактом (1), ответ оппоненту (1), учёт позиции противника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Письменная работа с источником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Атрибуция источника (1), анализ содержания (2), вывод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Мини-эссе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Факты (1), логика (1), язык (1)</w:t>
            </w:r>
          </w:p>
        </w:tc>
      </w:tr>
    </w:tbl>
    <w:bookmarkEnd w:id="34"/>
    <w:bookmarkStart w:id="37" w:name="литература"/>
    <w:p>
      <w:pPr>
        <w:pStyle w:val="Heading2"/>
      </w:pPr>
      <w:r>
        <w:t xml:space="preserve">6. Литература</w:t>
      </w:r>
    </w:p>
    <w:bookmarkStart w:id="35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3"/>
        </w:numPr>
        <w:pStyle w:val="Compact"/>
      </w:pPr>
      <w:r>
        <w:t xml:space="preserve">Нюрнбергский процесс: сборник материалов: в 8 т.</w:t>
      </w:r>
    </w:p>
    <w:p>
      <w:pPr>
        <w:numPr>
          <w:ilvl w:val="0"/>
          <w:numId w:val="1003"/>
        </w:numPr>
        <w:pStyle w:val="Compact"/>
      </w:pPr>
      <w:r>
        <w:t xml:space="preserve">Документы внешней политики СССР. 1939 г. Т. 22.</w:t>
      </w:r>
    </w:p>
    <w:p>
      <w:pPr>
        <w:numPr>
          <w:ilvl w:val="0"/>
          <w:numId w:val="1003"/>
        </w:numPr>
        <w:pStyle w:val="Compact"/>
      </w:pPr>
      <w:r>
        <w:t xml:space="preserve">Ступникова Т. С. Ничего кроме правды. Нюрнбергский процесс. Воспоминания переводчика.</w:t>
      </w:r>
    </w:p>
    <w:p>
      <w:pPr>
        <w:numPr>
          <w:ilvl w:val="0"/>
          <w:numId w:val="1003"/>
        </w:numPr>
        <w:pStyle w:val="Compact"/>
      </w:pPr>
      <w:r>
        <w:t xml:space="preserve">Великая Отечественная война 1941–1945 годов: в 12 т.</w:t>
      </w:r>
    </w:p>
    <w:p>
      <w:pPr>
        <w:numPr>
          <w:ilvl w:val="0"/>
          <w:numId w:val="1003"/>
        </w:numPr>
        <w:pStyle w:val="Compact"/>
      </w:pPr>
      <w:r>
        <w:t xml:space="preserve">Письма с фронта: сборники и фонды музеев Челябинской области.</w:t>
      </w:r>
    </w:p>
    <w:bookmarkEnd w:id="35"/>
    <w:bookmarkStart w:id="36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4"/>
        </w:numPr>
        <w:pStyle w:val="Compact"/>
      </w:pPr>
      <w:r>
        <w:t xml:space="preserve">Туз А. Цена разрушения.</w:t>
      </w:r>
    </w:p>
    <w:p>
      <w:pPr>
        <w:numPr>
          <w:ilvl w:val="0"/>
          <w:numId w:val="1004"/>
        </w:numPr>
        <w:pStyle w:val="Compact"/>
      </w:pPr>
      <w:r>
        <w:t xml:space="preserve">Овери Р. Почему победили союзники.</w:t>
      </w:r>
    </w:p>
    <w:p>
      <w:pPr>
        <w:numPr>
          <w:ilvl w:val="0"/>
          <w:numId w:val="1004"/>
        </w:numPr>
        <w:pStyle w:val="Compact"/>
      </w:pPr>
      <w:r>
        <w:t xml:space="preserve">Мельтюхов М. И. Упущенный шанс Сталина.</w:t>
      </w:r>
    </w:p>
    <w:p>
      <w:pPr>
        <w:numPr>
          <w:ilvl w:val="0"/>
          <w:numId w:val="1004"/>
        </w:numPr>
        <w:pStyle w:val="Compact"/>
      </w:pPr>
      <w:r>
        <w:t xml:space="preserve">Звягинцев А. Г. Нюрнбергский набат.</w:t>
      </w:r>
    </w:p>
    <w:p>
      <w:pPr>
        <w:numPr>
          <w:ilvl w:val="0"/>
          <w:numId w:val="1004"/>
        </w:numPr>
        <w:pStyle w:val="Compact"/>
      </w:pPr>
      <w:r>
        <w:t xml:space="preserve">Ширер У. Взлёт и падение Третьего рейха.</w:t>
      </w:r>
    </w:p>
    <w:p>
      <w:pPr>
        <w:numPr>
          <w:ilvl w:val="0"/>
          <w:numId w:val="1004"/>
        </w:numPr>
        <w:pStyle w:val="Compact"/>
      </w:pPr>
      <w:r>
        <w:t xml:space="preserve">Gaiba F. The Origins of Simultaneous Interpretation: The Nuremberg Trial.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6"/>
    <w:bookmarkEnd w:id="37"/>
    <w:bookmarkStart w:id="38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из Google Картинок (сохранены в «фото доп</w:t>
      </w:r>
      <w:r>
        <w:t xml:space="preserve">» с пометкой «</w:t>
      </w:r>
      <w:r>
        <w:rPr>
          <w:iCs/>
          <w:i/>
        </w:rPr>
        <w:t xml:space="preserve">g</w:t>
      </w:r>
      <w:r>
        <w:t xml:space="preserve">») и вшиты в деку. Рамки на титульном слайде оставлены пустыми.</w:t>
      </w:r>
    </w:p>
    <w:bookmarkEnd w:id="38"/>
    <w:bookmarkEnd w:id="39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2026-10-08T05:18:43Z</dcterms:created>
  <dcterms:modified xsi:type="dcterms:W3CDTF">2026-10-08T05:18:43Z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