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2F3B52"/>
          <w:sz w:val="44"/>
          <w:szCs w:val="44"/>
        </w:rPr>
        <w:t xml:space="preserve">Right-Sizing Your Team</w:t>
      </w:r>
    </w:p>
    <w:p>
      <w:pPr>
        <w:spacing w:after="120"/>
      </w:pPr>
      <w:r>
        <w:rPr>
          <w:rFonts w:ascii="Calibri" w:cs="Calibri" w:eastAsia="Calibri" w:hAnsi="Calibri"/>
          <w:color w:val="666666"/>
          <w:sz w:val="23"/>
          <w:szCs w:val="23"/>
        </w:rPr>
        <w:t xml:space="preserve">Project summary | Staffing ratios for new team leads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000"/>
        <w:gridCol w:w="8106"/>
      </w:tblGrid>
      <w:tr>
        <w:tc>
          <w:tcPr>
            <w:tcW w:type="dxa" w:w="2000"/>
            <w:tcBorders>
              <w:top w:val="single" w:color="9FB8B8" w:sz="4"/>
              <w:left w:val="single" w:color="9FB8B8" w:sz="4"/>
              <w:bottom w:val="single" w:color="9FB8B8" w:sz="4"/>
              <w:right w:val="single" w:color="9FB8B8" w:sz="4"/>
            </w:tcBorders>
            <w:shd w:fill="E6F0F0" w:color="auto" w:val="clear"/>
            <w:tcMar>
              <w:top w:type="dxa" w:w="50"/>
              <w:left w:type="dxa" w:w="100"/>
              <w:bottom w:type="dxa" w:w="40"/>
              <w:right w:type="dxa" w:w="100"/>
            </w:tcMar>
          </w:tcPr>
          <w:p>
            <w:pPr>
              <w:spacing w:after="0"/>
            </w:pPr>
            <w:r>
              <w:rPr>
                <w:rFonts w:ascii="Calibri" w:cs="Calibri" w:eastAsia="Calibri" w:hAnsi="Calibri"/>
                <w:b/>
                <w:bCs/>
                <w:sz w:val="21"/>
                <w:szCs w:val="21"/>
              </w:rPr>
              <w:t xml:space="preserve">Role</w:t>
            </w:r>
          </w:p>
        </w:tc>
        <w:tc>
          <w:tcPr>
            <w:tcW w:type="dxa" w:w="8106"/>
            <w:tcBorders>
              <w:top w:val="single" w:color="9FB8B8" w:sz="4"/>
              <w:left w:val="single" w:color="9FB8B8" w:sz="4"/>
              <w:bottom w:val="single" w:color="9FB8B8" w:sz="4"/>
              <w:right w:val="single" w:color="9FB8B8" w:sz="4"/>
            </w:tcBorders>
            <w:tcMar>
              <w:top w:type="dxa" w:w="50"/>
              <w:left w:type="dxa" w:w="100"/>
              <w:bottom w:type="dxa" w:w="40"/>
              <w:right w:type="dxa" w:w="100"/>
            </w:tcMar>
          </w:tcPr>
          <w:p>
            <w:pPr>
              <w:spacing w:after="0"/>
            </w:pPr>
            <w:r>
              <w:rPr>
                <w:rFonts w:ascii="Calibri" w:cs="Calibri" w:eastAsia="Calibri" w:hAnsi="Calibri"/>
                <w:sz w:val="21"/>
                <w:szCs w:val="21"/>
              </w:rPr>
              <w:t xml:space="preserve">Instructional designer (self-initiated portfolio project)</w:t>
            </w:r>
          </w:p>
        </w:tc>
      </w:tr>
      <w:tr>
        <w:tc>
          <w:tcPr>
            <w:tcW w:type="dxa" w:w="2000"/>
            <w:tcBorders>
              <w:top w:val="single" w:color="9FB8B8" w:sz="4"/>
              <w:left w:val="single" w:color="9FB8B8" w:sz="4"/>
              <w:bottom w:val="single" w:color="9FB8B8" w:sz="4"/>
              <w:right w:val="single" w:color="9FB8B8" w:sz="4"/>
            </w:tcBorders>
            <w:shd w:fill="E6F0F0" w:color="auto" w:val="clear"/>
            <w:tcMar>
              <w:top w:type="dxa" w:w="50"/>
              <w:left w:type="dxa" w:w="100"/>
              <w:bottom w:type="dxa" w:w="40"/>
              <w:right w:type="dxa" w:w="100"/>
            </w:tcMar>
          </w:tcPr>
          <w:p>
            <w:pPr>
              <w:spacing w:after="0"/>
            </w:pPr>
            <w:r>
              <w:rPr>
                <w:rFonts w:ascii="Calibri" w:cs="Calibri" w:eastAsia="Calibri" w:hAnsi="Calibri"/>
                <w:b/>
                <w:bCs/>
                <w:sz w:val="21"/>
                <w:szCs w:val="21"/>
              </w:rPr>
              <w:t xml:space="preserve">Audience</w:t>
            </w:r>
          </w:p>
        </w:tc>
        <w:tc>
          <w:tcPr>
            <w:tcW w:type="dxa" w:w="8106"/>
            <w:tcBorders>
              <w:top w:val="single" w:color="9FB8B8" w:sz="4"/>
              <w:left w:val="single" w:color="9FB8B8" w:sz="4"/>
              <w:bottom w:val="single" w:color="9FB8B8" w:sz="4"/>
              <w:right w:val="single" w:color="9FB8B8" w:sz="4"/>
            </w:tcBorders>
            <w:tcMar>
              <w:top w:type="dxa" w:w="50"/>
              <w:left w:type="dxa" w:w="100"/>
              <w:bottom w:type="dxa" w:w="40"/>
              <w:right w:type="dxa" w:w="100"/>
            </w:tcMar>
          </w:tcPr>
          <w:p>
            <w:pPr>
              <w:spacing w:after="0"/>
            </w:pPr>
            <w:r>
              <w:rPr>
                <w:rFonts w:ascii="Calibri" w:cs="Calibri" w:eastAsia="Calibri" w:hAnsi="Calibri"/>
                <w:sz w:val="21"/>
                <w:szCs w:val="21"/>
              </w:rPr>
              <w:t xml:space="preserve">New team leads in a contact center</w:t>
            </w:r>
          </w:p>
        </w:tc>
      </w:tr>
      <w:tr>
        <w:tc>
          <w:tcPr>
            <w:tcW w:type="dxa" w:w="2000"/>
            <w:tcBorders>
              <w:top w:val="single" w:color="9FB8B8" w:sz="4"/>
              <w:left w:val="single" w:color="9FB8B8" w:sz="4"/>
              <w:bottom w:val="single" w:color="9FB8B8" w:sz="4"/>
              <w:right w:val="single" w:color="9FB8B8" w:sz="4"/>
            </w:tcBorders>
            <w:shd w:fill="E6F0F0" w:color="auto" w:val="clear"/>
            <w:tcMar>
              <w:top w:type="dxa" w:w="50"/>
              <w:left w:type="dxa" w:w="100"/>
              <w:bottom w:type="dxa" w:w="40"/>
              <w:right w:type="dxa" w:w="100"/>
            </w:tcMar>
          </w:tcPr>
          <w:p>
            <w:pPr>
              <w:spacing w:after="0"/>
            </w:pPr>
            <w:r>
              <w:rPr>
                <w:rFonts w:ascii="Calibri" w:cs="Calibri" w:eastAsia="Calibri" w:hAnsi="Calibri"/>
                <w:b/>
                <w:bCs/>
                <w:sz w:val="21"/>
                <w:szCs w:val="21"/>
              </w:rPr>
              <w:t xml:space="preserve">Format</w:t>
            </w:r>
          </w:p>
        </w:tc>
        <w:tc>
          <w:tcPr>
            <w:tcW w:type="dxa" w:w="8106"/>
            <w:tcBorders>
              <w:top w:val="single" w:color="9FB8B8" w:sz="4"/>
              <w:left w:val="single" w:color="9FB8B8" w:sz="4"/>
              <w:bottom w:val="single" w:color="9FB8B8" w:sz="4"/>
              <w:right w:val="single" w:color="9FB8B8" w:sz="4"/>
            </w:tcBorders>
            <w:tcMar>
              <w:top w:type="dxa" w:w="50"/>
              <w:left w:type="dxa" w:w="100"/>
              <w:bottom w:type="dxa" w:w="40"/>
              <w:right w:type="dxa" w:w="100"/>
            </w:tcMar>
          </w:tcPr>
          <w:p>
            <w:pPr>
              <w:spacing w:after="0"/>
            </w:pPr>
            <w:r>
              <w:rPr>
                <w:rFonts w:ascii="Calibri" w:cs="Calibri" w:eastAsia="Calibri" w:hAnsi="Calibri"/>
                <w:sz w:val="21"/>
                <w:szCs w:val="21"/>
              </w:rPr>
              <w:t xml:space="preserve">Self-paced eLearning, about 15 minutes, 12 screens</w:t>
            </w:r>
          </w:p>
        </w:tc>
      </w:tr>
      <w:tr>
        <w:tc>
          <w:tcPr>
            <w:tcW w:type="dxa" w:w="2000"/>
            <w:tcBorders>
              <w:top w:val="single" w:color="9FB8B8" w:sz="4"/>
              <w:left w:val="single" w:color="9FB8B8" w:sz="4"/>
              <w:bottom w:val="single" w:color="9FB8B8" w:sz="4"/>
              <w:right w:val="single" w:color="9FB8B8" w:sz="4"/>
            </w:tcBorders>
            <w:shd w:fill="E6F0F0" w:color="auto" w:val="clear"/>
            <w:tcMar>
              <w:top w:type="dxa" w:w="50"/>
              <w:left w:type="dxa" w:w="100"/>
              <w:bottom w:type="dxa" w:w="40"/>
              <w:right w:type="dxa" w:w="100"/>
            </w:tcMar>
          </w:tcPr>
          <w:p>
            <w:pPr>
              <w:spacing w:after="0"/>
            </w:pPr>
            <w:r>
              <w:rPr>
                <w:rFonts w:ascii="Calibri" w:cs="Calibri" w:eastAsia="Calibri" w:hAnsi="Calibri"/>
                <w:b/>
                <w:bCs/>
                <w:sz w:val="21"/>
                <w:szCs w:val="21"/>
              </w:rPr>
              <w:t xml:space="preserve">Tools</w:t>
            </w:r>
          </w:p>
        </w:tc>
        <w:tc>
          <w:tcPr>
            <w:tcW w:type="dxa" w:w="8106"/>
            <w:tcBorders>
              <w:top w:val="single" w:color="9FB8B8" w:sz="4"/>
              <w:left w:val="single" w:color="9FB8B8" w:sz="4"/>
              <w:bottom w:val="single" w:color="9FB8B8" w:sz="4"/>
              <w:right w:val="single" w:color="9FB8B8" w:sz="4"/>
            </w:tcBorders>
            <w:tcMar>
              <w:top w:type="dxa" w:w="50"/>
              <w:left w:type="dxa" w:w="100"/>
              <w:bottom w:type="dxa" w:w="40"/>
              <w:right w:type="dxa" w:w="100"/>
            </w:tcMar>
          </w:tcPr>
          <w:p>
            <w:pPr>
              <w:spacing w:after="0"/>
            </w:pPr>
            <w:r>
              <w:rPr>
                <w:rFonts w:ascii="Calibri" w:cs="Calibri" w:eastAsia="Calibri" w:hAnsi="Calibri"/>
                <w:sz w:val="21"/>
                <w:szCs w:val="21"/>
              </w:rPr>
              <w:t xml:space="preserve">MS Word for the storyboard, job aid and question bank. Written to be built in Articulate Storyline 360.</w:t>
            </w:r>
          </w:p>
        </w:tc>
      </w:tr>
    </w:tbl>
    <w:p>
      <w:pPr>
        <w:pBdr>
          <w:bottom w:val="single" w:color="1F7A7A" w:sz="6" w:space="2"/>
        </w:pBdr>
        <w:spacing w:after="70" w:before="200"/>
      </w:pPr>
      <w:r>
        <w:rPr>
          <w:rFonts w:ascii="Calibri" w:cs="Calibri" w:eastAsia="Calibri" w:hAnsi="Calibri"/>
          <w:b/>
          <w:bCs/>
          <w:color w:val="2F3B52"/>
          <w:sz w:val="23"/>
          <w:szCs w:val="23"/>
        </w:rPr>
        <w:t xml:space="preserve">The problem</w:t>
      </w:r>
    </w:p>
    <w:p>
      <w:pPr>
        <w:spacing w:after="80"/>
      </w:pPr>
      <w:r>
        <w:rPr>
          <w:rFonts w:ascii="Calibri" w:cs="Calibri" w:eastAsia="Calibri" w:hAnsi="Calibri"/>
          <w:sz w:val="21"/>
          <w:szCs w:val="21"/>
        </w:rPr>
        <w:t xml:space="preserve">New team leads are usually promoted because they were good at the job, not because they can plan a roster. When they get a shift forecast wrong, queues build up and reps burn out, or the team is overstaffed and costs go up. Most of them are also not confident with numbers. I wanted a short course that gives them one repeatable way to answer "how many people do I need?"</w:t>
      </w:r>
    </w:p>
    <w:p>
      <w:pPr>
        <w:pBdr>
          <w:bottom w:val="single" w:color="1F7A7A" w:sz="6" w:space="2"/>
        </w:pBdr>
        <w:spacing w:after="70" w:before="200"/>
      </w:pPr>
      <w:r>
        <w:rPr>
          <w:rFonts w:ascii="Calibri" w:cs="Calibri" w:eastAsia="Calibri" w:hAnsi="Calibri"/>
          <w:b/>
          <w:bCs/>
          <w:color w:val="2F3B52"/>
          <w:sz w:val="23"/>
          <w:szCs w:val="23"/>
        </w:rPr>
        <w:t xml:space="preserve">My approach</w:t>
      </w:r>
    </w:p>
    <w:p>
      <w:pPr>
        <w:spacing w:after="80"/>
      </w:pPr>
      <w:r>
        <w:rPr>
          <w:rFonts w:ascii="Calibri" w:cs="Calibri" w:eastAsia="Calibri" w:hAnsi="Calibri"/>
          <w:sz w:val="21"/>
          <w:szCs w:val="21"/>
        </w:rPr>
        <w:t xml:space="preserve">The maths behind staffing is proportional reasoning, which I taught for years to Class VIII students. I took my own lesson design on the topic and rebuilt it for adults at work. The everyday examples in the lesson (idli batter, spice mix, road work) became situations a team lead would recognise: a Monday shift that is three reps short, a promo email that pushes the forecast up, two people calling in sick, an email backlog.</w:t>
      </w:r>
    </w:p>
    <w:p>
      <w:pPr>
        <w:spacing w:after="80"/>
      </w:pPr>
      <w:r>
        <w:rPr>
          <w:rFonts w:ascii="Calibri" w:cs="Calibri" w:eastAsia="Calibri" w:hAnsi="Calibri"/>
          <w:sz w:val="21"/>
          <w:szCs w:val="21"/>
        </w:rPr>
        <w:t xml:space="preserve">The course opens with the Monday problem before any explanation, walks through one worked example, then gives practice with feedback. It ends on a Friday decision scenario where the learner has to weigh options using the numbers.</w:t>
      </w:r>
    </w:p>
    <w:p>
      <w:pPr>
        <w:pBdr>
          <w:bottom w:val="single" w:color="1F7A7A" w:sz="6" w:space="2"/>
        </w:pBdr>
        <w:spacing w:after="70" w:before="200"/>
      </w:pPr>
      <w:r>
        <w:rPr>
          <w:rFonts w:ascii="Calibri" w:cs="Calibri" w:eastAsia="Calibri" w:hAnsi="Calibri"/>
          <w:b/>
          <w:bCs/>
          <w:color w:val="2F3B52"/>
          <w:sz w:val="23"/>
          <w:szCs w:val="23"/>
        </w:rPr>
        <w:t xml:space="preserve">What I produced</w:t>
      </w:r>
    </w:p>
    <w:p>
      <w:pPr>
        <w:pStyle w:val="ListParagraph"/>
        <w:numPr>
          <w:ilvl w:val="0"/>
          <w:numId w:val="2"/>
        </w:numPr>
        <w:spacing w:after="50"/>
      </w:pPr>
      <w:r>
        <w:rPr>
          <w:rFonts w:ascii="Calibri" w:cs="Calibri" w:eastAsia="Calibri" w:hAnsi="Calibri"/>
          <w:b/>
          <w:bCs/>
          <w:sz w:val="21"/>
          <w:szCs w:val="21"/>
        </w:rPr>
        <w:t xml:space="preserve">Storyboard: </w:t>
      </w:r>
      <w:r>
        <w:rPr>
          <w:rFonts w:ascii="Calibri" w:cs="Calibri" w:eastAsia="Calibri" w:hAnsi="Calibri"/>
          <w:sz w:val="21"/>
          <w:szCs w:val="21"/>
        </w:rPr>
        <w:t xml:space="preserve">12 screens with visuals, on-screen text, narration script and interaction notes, including the feedback wording for every practice item.</w:t>
      </w:r>
    </w:p>
    <w:p>
      <w:pPr>
        <w:pStyle w:val="ListParagraph"/>
        <w:numPr>
          <w:ilvl w:val="0"/>
          <w:numId w:val="2"/>
        </w:numPr>
        <w:spacing w:after="50"/>
      </w:pPr>
      <w:r>
        <w:rPr>
          <w:rFonts w:ascii="Calibri" w:cs="Calibri" w:eastAsia="Calibri" w:hAnsi="Calibri"/>
          <w:b/>
          <w:bCs/>
          <w:sz w:val="21"/>
          <w:szCs w:val="21"/>
        </w:rPr>
        <w:t xml:space="preserve">Job aid: </w:t>
      </w:r>
      <w:r>
        <w:rPr>
          <w:rFonts w:ascii="Calibri" w:cs="Calibri" w:eastAsia="Calibri" w:hAnsi="Calibri"/>
          <w:sz w:val="21"/>
          <w:szCs w:val="21"/>
        </w:rPr>
        <w:t xml:space="preserve">a one-page cheat sheet with the steps, worked examples and a "before you decide" checklist.</w:t>
      </w:r>
    </w:p>
    <w:p>
      <w:pPr>
        <w:pStyle w:val="ListParagraph"/>
        <w:numPr>
          <w:ilvl w:val="0"/>
          <w:numId w:val="2"/>
        </w:numPr>
        <w:spacing w:after="50"/>
      </w:pPr>
      <w:r>
        <w:rPr>
          <w:rFonts w:ascii="Calibri" w:cs="Calibri" w:eastAsia="Calibri" w:hAnsi="Calibri"/>
          <w:b/>
          <w:bCs/>
          <w:sz w:val="21"/>
          <w:szCs w:val="21"/>
        </w:rPr>
        <w:t xml:space="preserve">Question bank: </w:t>
      </w:r>
      <w:r>
        <w:rPr>
          <w:rFonts w:ascii="Calibri" w:cs="Calibri" w:eastAsia="Calibri" w:hAnsi="Calibri"/>
          <w:sz w:val="21"/>
          <w:szCs w:val="21"/>
        </w:rPr>
        <w:t xml:space="preserve">11 scenario and calculation questions mapped to four learning objectives, with feedback for each answer option.</w:t>
      </w:r>
    </w:p>
    <w:p>
      <w:pPr>
        <w:pStyle w:val="ListParagraph"/>
        <w:numPr>
          <w:ilvl w:val="0"/>
          <w:numId w:val="2"/>
        </w:numPr>
        <w:spacing w:after="50"/>
      </w:pPr>
      <w:r>
        <w:rPr>
          <w:rFonts w:ascii="Calibri" w:cs="Calibri" w:eastAsia="Calibri" w:hAnsi="Calibri"/>
          <w:b/>
          <w:bCs/>
          <w:sz w:val="21"/>
          <w:szCs w:val="21"/>
        </w:rPr>
        <w:t xml:space="preserve">Design brief: </w:t>
      </w:r>
      <w:r>
        <w:rPr>
          <w:rFonts w:ascii="Calibri" w:cs="Calibri" w:eastAsia="Calibri" w:hAnsi="Calibri"/>
          <w:sz w:val="21"/>
          <w:szCs w:val="21"/>
        </w:rPr>
        <w:t xml:space="preserve">learner profile, business problem, objectives and evaluation plan.</w:t>
      </w:r>
    </w:p>
    <w:p>
      <w:pPr>
        <w:pBdr>
          <w:bottom w:val="single" w:color="1F7A7A" w:sz="6" w:space="2"/>
        </w:pBdr>
        <w:spacing w:after="70" w:before="200"/>
      </w:pPr>
      <w:r>
        <w:rPr>
          <w:rFonts w:ascii="Calibri" w:cs="Calibri" w:eastAsia="Calibri" w:hAnsi="Calibri"/>
          <w:b/>
          <w:bCs/>
          <w:color w:val="2F3B52"/>
          <w:sz w:val="23"/>
          <w:szCs w:val="23"/>
        </w:rPr>
        <w:t xml:space="preserve">Three design decisions</w:t>
      </w:r>
    </w:p>
    <w:p>
      <w:pPr>
        <w:pStyle w:val="ListParagraph"/>
        <w:numPr>
          <w:ilvl w:val="0"/>
          <w:numId w:val="2"/>
        </w:numPr>
        <w:spacing w:after="50"/>
      </w:pPr>
      <w:r>
        <w:rPr>
          <w:rFonts w:ascii="Calibri" w:cs="Calibri" w:eastAsia="Calibri" w:hAnsi="Calibri"/>
          <w:b/>
          <w:bCs/>
          <w:sz w:val="21"/>
          <w:szCs w:val="21"/>
        </w:rPr>
        <w:t xml:space="preserve">Problem first, method second. </w:t>
      </w:r>
      <w:r>
        <w:rPr>
          <w:rFonts w:ascii="Calibri" w:cs="Calibri" w:eastAsia="Calibri" w:hAnsi="Calibri"/>
          <w:sz w:val="21"/>
          <w:szCs w:val="21"/>
        </w:rPr>
        <w:t xml:space="preserve">The Monday scene comes before any formula, so learners have a reason to care. They also record a guess that the course comes back to after the worked example.</w:t>
      </w:r>
    </w:p>
    <w:p>
      <w:pPr>
        <w:pStyle w:val="ListParagraph"/>
        <w:numPr>
          <w:ilvl w:val="0"/>
          <w:numId w:val="2"/>
        </w:numPr>
        <w:spacing w:after="50"/>
      </w:pPr>
      <w:r>
        <w:rPr>
          <w:rFonts w:ascii="Calibri" w:cs="Calibri" w:eastAsia="Calibri" w:hAnsi="Calibri"/>
          <w:b/>
          <w:bCs/>
          <w:sz w:val="21"/>
          <w:szCs w:val="21"/>
        </w:rPr>
        <w:t xml:space="preserve">Feedback that names the mistake. </w:t>
      </w:r>
      <w:r>
        <w:rPr>
          <w:rFonts w:ascii="Calibri" w:cs="Calibri" w:eastAsia="Calibri" w:hAnsi="Calibri"/>
          <w:sz w:val="21"/>
          <w:szCs w:val="21"/>
        </w:rPr>
        <w:t xml:space="preserve">Wrong answers get a specific explanation, for example "12 is the gap in calls an hour, not in reps", rather than just "try again".</w:t>
      </w:r>
    </w:p>
    <w:p>
      <w:pPr>
        <w:pStyle w:val="ListParagraph"/>
        <w:numPr>
          <w:ilvl w:val="0"/>
          <w:numId w:val="2"/>
        </w:numPr>
        <w:spacing w:after="50"/>
      </w:pPr>
      <w:r>
        <w:rPr>
          <w:rFonts w:ascii="Calibri" w:cs="Calibri" w:eastAsia="Calibri" w:hAnsi="Calibri"/>
          <w:b/>
          <w:bCs/>
          <w:sz w:val="21"/>
          <w:szCs w:val="21"/>
        </w:rPr>
        <w:t xml:space="preserve">A decision with no single right answer. </w:t>
      </w:r>
      <w:r>
        <w:rPr>
          <w:rFonts w:ascii="Calibri" w:cs="Calibri" w:eastAsia="Calibri" w:hAnsi="Calibri"/>
          <w:sz w:val="21"/>
          <w:szCs w:val="21"/>
        </w:rPr>
        <w:t xml:space="preserve">In the Friday scenario, each option fixes one problem and creates another, such as covering calls but pushing the backlog past the end of the shift. The strongest answer combines two options.</w:t>
      </w:r>
    </w:p>
    <w:p>
      <w:pPr>
        <w:pBdr>
          <w:bottom w:val="single" w:color="1F7A7A" w:sz="6" w:space="2"/>
        </w:pBdr>
        <w:spacing w:after="70" w:before="200"/>
      </w:pPr>
      <w:r>
        <w:rPr>
          <w:rFonts w:ascii="Calibri" w:cs="Calibri" w:eastAsia="Calibri" w:hAnsi="Calibri"/>
          <w:b/>
          <w:bCs/>
          <w:color w:val="2F3B52"/>
          <w:sz w:val="23"/>
          <w:szCs w:val="23"/>
        </w:rPr>
        <w:t xml:space="preserve">What I would do next</w:t>
      </w:r>
    </w:p>
    <w:p>
      <w:pPr>
        <w:pStyle w:val="ListParagraph"/>
        <w:numPr>
          <w:ilvl w:val="0"/>
          <w:numId w:val="2"/>
        </w:numPr>
        <w:spacing w:after="50"/>
      </w:pPr>
      <w:r>
        <w:rPr>
          <w:rFonts w:ascii="Calibri" w:cs="Calibri" w:eastAsia="Calibri" w:hAnsi="Calibri"/>
          <w:sz w:val="21"/>
          <w:szCs w:val="21"/>
        </w:rPr>
        <w:t xml:space="preserve">Build screens 4 to 7 as a working Storyline prototype.</w:t>
      </w:r>
    </w:p>
    <w:p>
      <w:pPr>
        <w:pStyle w:val="ListParagraph"/>
        <w:numPr>
          <w:ilvl w:val="0"/>
          <w:numId w:val="2"/>
        </w:numPr>
        <w:spacing w:after="50"/>
      </w:pPr>
      <w:r>
        <w:rPr>
          <w:rFonts w:ascii="Calibri" w:cs="Calibri" w:eastAsia="Calibri" w:hAnsi="Calibri"/>
          <w:sz w:val="21"/>
          <w:szCs w:val="21"/>
        </w:rPr>
        <w:t xml:space="preserve">Test it with a few real team leads and revise the pacing and examples.</w:t>
      </w:r>
    </w:p>
    <w:p>
      <w:pPr>
        <w:pStyle w:val="ListParagraph"/>
        <w:numPr>
          <w:ilvl w:val="0"/>
          <w:numId w:val="2"/>
        </w:numPr>
        <w:spacing w:after="50"/>
      </w:pPr>
      <w:r>
        <w:rPr>
          <w:rFonts w:ascii="Calibri" w:cs="Calibri" w:eastAsia="Calibri" w:hAnsi="Calibri"/>
          <w:sz w:val="21"/>
          <w:szCs w:val="21"/>
        </w:rPr>
        <w:t xml:space="preserve">Swap the made-up figures for the client's real calls-per-rep rate and shift patterns.</w:t>
      </w:r>
    </w:p>
    <w:p>
      <w:pPr>
        <w:pBdr>
          <w:top w:val="single" w:color="BFBFBF" w:sz="4" w:space="4"/>
        </w:pBdr>
        <w:spacing w:before="200"/>
      </w:pPr>
      <w:r>
        <w:rPr>
          <w:rFonts w:ascii="Calibri" w:cs="Calibri" w:eastAsia="Calibri" w:hAnsi="Calibri"/>
          <w:color w:val="555555"/>
          <w:sz w:val="19"/>
          <w:szCs w:val="19"/>
        </w:rPr>
        <w:t xml:space="preserve">Unsi Rathod  |  unsirathod5@gmail.com  |  github.com/unsi-rathod</w:t>
      </w:r>
    </w:p>
    <w:p>
      <w:pPr>
        <w:spacing w:before="20"/>
      </w:pPr>
      <w:r>
        <w:rPr>
          <w:rFonts w:ascii="Calibri" w:cs="Calibri" w:eastAsia="Calibri" w:hAnsi="Calibri"/>
          <w:i/>
          <w:iCs/>
          <w:color w:val="777777"/>
          <w:sz w:val="17"/>
          <w:szCs w:val="17"/>
        </w:rPr>
        <w:t xml:space="preserve">The company, characters and figures in the course are fictional.</w:t>
      </w:r>
    </w:p>
    <w:sectPr>
      <w:pgSz w:w="11906" w:h="16838" w:orient="portrait"/>
      <w:pgMar w:top="800" w:right="900" w:bottom="7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2026-09-28T06:43:47.317Z</dcterms:created>
  <dcterms:modified xsi:type="dcterms:W3CDTF">2026-09-28T06:43:47.318Z</dcterms:modified>
</cp:coreProperties>
</file>

<file path=docProps/custom.xml><?xml version="1.0" encoding="utf-8"?>
<Properties xmlns="http://schemas.openxmlformats.org/officeDocument/2006/custom-properties" xmlns:vt="http://schemas.openxmlformats.org/officeDocument/2006/docPropsVTypes"/>
</file>