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sz w:val="36"/>
          <w:szCs w:val="36"/>
        </w:rPr>
      </w:pPr>
      <w:bookmarkStart w:colFirst="0" w:colLast="0" w:name="_h0mue0brqikt" w:id="0"/>
      <w:bookmarkEnd w:id="0"/>
      <w:r w:rsidDel="00000000" w:rsidR="00000000" w:rsidRPr="00000000">
        <w:rPr>
          <w:rtl w:val="0"/>
        </w:rPr>
        <w:t xml:space="preserve">Wykrywanie naczyń dna siatkówki oka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Słowa kluczowe: przetwarzanie obrazów, uczenie maszynowe</w:t>
      </w:r>
    </w:p>
    <w:p w:rsidR="00000000" w:rsidDel="00000000" w:rsidP="00000000" w:rsidRDefault="00000000" w:rsidRPr="00000000" w14:paraId="00000002">
      <w:pPr>
        <w:pStyle w:val="Heading1"/>
        <w:contextualSpacing w:val="0"/>
        <w:rPr>
          <w:sz w:val="28"/>
          <w:szCs w:val="28"/>
        </w:rPr>
      </w:pPr>
      <w:bookmarkStart w:colFirst="0" w:colLast="0" w:name="_4js0xfufer3i" w:id="1"/>
      <w:bookmarkEnd w:id="1"/>
      <w:r w:rsidDel="00000000" w:rsidR="00000000" w:rsidRPr="00000000">
        <w:rPr>
          <w:rtl w:val="0"/>
        </w:rPr>
        <w:t xml:space="preserve">Opis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Należy napisać aplikację (okienkowa, notebook), która dla zadanego obrazu wejściowego przedstawiającego dno siatkówki oka (przykład poniżej), wykrywa (automatycznie) naczynia krwionośnie. Z formalnego punktu widzenia dla każdego piksela wykorzystany algorytm musi stwierdzić, czy ten piksel stanowi naczynie krwionośne, czy nie (klasyfikacja binarna).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83765" cy="287686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3765" cy="2876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93880" cy="288639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3880" cy="2886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rPr/>
      </w:pPr>
      <w:bookmarkStart w:colFirst="0" w:colLast="0" w:name="_olepxklndvlg" w:id="2"/>
      <w:bookmarkEnd w:id="2"/>
      <w:r w:rsidDel="00000000" w:rsidR="00000000" w:rsidRPr="00000000">
        <w:rPr>
          <w:rtl w:val="0"/>
        </w:rPr>
        <w:t xml:space="preserve">Wymagania obowiązkowe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60" w:line="240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Algorytm w podstawowej wersji powinien wykorzystywać techniki przetwarzania obrazu (poznane między innymi na przedmiocie KCK – zadanie z samolotami/projekt z obrazów) do detekcji naczyń krwionośnych. W ramach takiego procesu przetwarzania można wyróżnić 3 główne elementy: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60" w:line="240" w:lineRule="auto"/>
        <w:ind w:left="1440" w:hanging="360"/>
        <w:contextualSpacing w:val="0"/>
        <w:rPr/>
      </w:pPr>
      <w:r w:rsidDel="00000000" w:rsidR="00000000" w:rsidRPr="00000000">
        <w:rPr>
          <w:i w:val="1"/>
          <w:rtl w:val="0"/>
        </w:rPr>
        <w:t xml:space="preserve">Wstępne przetworzenie obrazu</w:t>
      </w:r>
      <w:r w:rsidDel="00000000" w:rsidR="00000000" w:rsidRPr="00000000">
        <w:rPr>
          <w:rtl w:val="0"/>
        </w:rPr>
        <w:t xml:space="preserve">: wejściowy obraz może być zaszumiony/zbyt ciemny/jasny. Można tutaj wykorzystać takie techniki jak: rozmycie, wyostrzenie, normalizacja histogramu kolorów itp.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60" w:line="240" w:lineRule="auto"/>
        <w:ind w:left="1440" w:hanging="360"/>
        <w:contextualSpacing w:val="0"/>
        <w:rPr/>
      </w:pPr>
      <w:r w:rsidDel="00000000" w:rsidR="00000000" w:rsidRPr="00000000">
        <w:rPr>
          <w:i w:val="1"/>
          <w:rtl w:val="0"/>
        </w:rPr>
        <w:t xml:space="preserve">Właściwe przetworzenie obrazu w celu wyodrębnienia naczyń krwionośnych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można zastosować różne techniki wykrywania krawędzi (np. filtr Frangi’ego).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60" w:line="240" w:lineRule="auto"/>
        <w:ind w:left="1440" w:hanging="360"/>
        <w:contextualSpacing w:val="0"/>
        <w:rPr/>
      </w:pPr>
      <w:r w:rsidDel="00000000" w:rsidR="00000000" w:rsidRPr="00000000">
        <w:rPr>
          <w:i w:val="1"/>
          <w:rtl w:val="0"/>
        </w:rPr>
        <w:t xml:space="preserve">Końcowe przetwarzanie obrazu</w:t>
      </w:r>
      <w:r w:rsidDel="00000000" w:rsidR="00000000" w:rsidRPr="00000000">
        <w:rPr>
          <w:rtl w:val="0"/>
        </w:rPr>
        <w:t xml:space="preserve">: przetwarzanie uzyskanego obrazu w celu poprawy skuteczności wykrywania naczyń poprzez “</w:t>
      </w:r>
      <w:r w:rsidDel="00000000" w:rsidR="00000000" w:rsidRPr="00000000">
        <w:rPr>
          <w:rtl w:val="0"/>
        </w:rPr>
        <w:t xml:space="preserve">naprawę” błędów z poprzednich kroków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60" w:line="24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Wynik obowiązkowo należy wizualizować np. zamalowując wyróżniającym się kolorem piksele zaklasyfikowane jako naczynie krwionośne. W tym celu najlepiej wygenerować binarną maskę odpowiedzi algorytmu, która zostanie potem wykorzystana do analizy statystycznej (porównania z maską ekspercką z ręcznie zaznaczonymi naczyniami).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6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Ważnym elementem oceny jest skuteczność algorytmu. W tym celu należy dokonać podstawowej analizy statystycznej jakości działania algorytmu. Działanie programu należy przetestować na minimum 5 obrazach. Podczas testów należy wyznaczyć macierze pomyłek oraz takie miary jak trafność (</w:t>
      </w:r>
      <w:r w:rsidDel="00000000" w:rsidR="00000000" w:rsidRPr="00000000">
        <w:rPr>
          <w:i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, czułość (</w:t>
      </w:r>
      <w:r w:rsidDel="00000000" w:rsidR="00000000" w:rsidRPr="00000000">
        <w:rPr>
          <w:i w:val="1"/>
          <w:rtl w:val="0"/>
        </w:rPr>
        <w:t xml:space="preserve">sensitivity</w:t>
      </w:r>
      <w:r w:rsidDel="00000000" w:rsidR="00000000" w:rsidRPr="00000000">
        <w:rPr>
          <w:rtl w:val="0"/>
        </w:rPr>
        <w:t xml:space="preserve">), swoistość (</w:t>
      </w:r>
      <w:r w:rsidDel="00000000" w:rsidR="00000000" w:rsidRPr="00000000">
        <w:rPr>
          <w:i w:val="1"/>
          <w:rtl w:val="0"/>
        </w:rPr>
        <w:t xml:space="preserve">specificity</w:t>
      </w:r>
      <w:r w:rsidDel="00000000" w:rsidR="00000000" w:rsidRPr="00000000">
        <w:rPr>
          <w:rtl w:val="0"/>
        </w:rPr>
        <w:t xml:space="preserve">) oraz ich warianty przeznaczone dla danych niezrównoważonych (np. średnia arytmetyczna lub geometryczna czułości i swoistości).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contextualSpacing w:val="0"/>
        <w:jc w:val="both"/>
        <w:rPr/>
      </w:pPr>
      <w:bookmarkStart w:colFirst="0" w:colLast="0" w:name="_ya4vo4kh6c3d" w:id="3"/>
      <w:bookmarkEnd w:id="3"/>
      <w:r w:rsidDel="00000000" w:rsidR="00000000" w:rsidRPr="00000000">
        <w:rPr>
          <w:rtl w:val="0"/>
        </w:rPr>
        <w:t xml:space="preserve">Wymagania na 4.0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Po wstępnym przetworzeniu obrazu należy podzielić go na niewielkie części (np. 5x5 px) i dla każdej z nich dokonać ekstrakcji cech z obrazu: np. wariancja kolorów, momenty centralne, momenty Hu itp. Wartości te wraz z informacją pochodzącą z maski (decyzja dla środkowego piksela) stanowić będą zbiór danych wykorzystany do budowy prostego klasyfikatora odległościowego (Rocchio, kNN).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 uwagi na ograniczenia pamięciowe konieczne może być ograniczenie rozmiaru zbioru testowego poprzez losowy wybór punktów (możliwość zastosowania technik </w:t>
      </w:r>
      <w:r w:rsidDel="00000000" w:rsidR="00000000" w:rsidRPr="00000000">
        <w:rPr>
          <w:i w:val="1"/>
          <w:rtl w:val="0"/>
        </w:rPr>
        <w:t xml:space="preserve">resamplingu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Trafność klasyfikacji tak opracowanego klasyfikatora należy zweryfikować na niezależnym zbiorze testowym (np. pochodzącym z innej części obrazu lub z innego obrazu).</w:t>
      </w:r>
    </w:p>
    <w:p w:rsidR="00000000" w:rsidDel="00000000" w:rsidP="00000000" w:rsidRDefault="00000000" w:rsidRPr="00000000" w14:paraId="00000010">
      <w:pPr>
        <w:pStyle w:val="Heading1"/>
        <w:contextualSpacing w:val="0"/>
        <w:jc w:val="both"/>
        <w:rPr/>
      </w:pPr>
      <w:bookmarkStart w:colFirst="0" w:colLast="0" w:name="_nezsvcpoh4bk" w:id="4"/>
      <w:bookmarkEnd w:id="4"/>
      <w:r w:rsidDel="00000000" w:rsidR="00000000" w:rsidRPr="00000000">
        <w:rPr>
          <w:rtl w:val="0"/>
        </w:rPr>
        <w:t xml:space="preserve">Wymagania na 5.0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Przygotowanie danych takie samo, jak w przypadku wymagań na 4.0. Należy jednak wykorzystać bardziej zaawansowany klasyfikator, np.: sieć neuronowa, drzewo decyzyjne lub las, reguły decyzyjne. Można wykorzystać gotowe implementacje klasyfikatorów (scikit-learn, WEKA, ...).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Należy wykorzystać k-krotną walidację skrośną (k-fold cross validation) w celu oceny zbudowanego klasyfikatora i uniknięcia przeuczenia. </w:t>
      </w:r>
    </w:p>
    <w:p w:rsidR="00000000" w:rsidDel="00000000" w:rsidP="00000000" w:rsidRDefault="00000000" w:rsidRPr="00000000" w14:paraId="00000013">
      <w:pPr>
        <w:pStyle w:val="Heading1"/>
        <w:spacing w:after="60" w:line="240" w:lineRule="auto"/>
        <w:contextualSpacing w:val="0"/>
        <w:rPr/>
      </w:pPr>
      <w:bookmarkStart w:colFirst="0" w:colLast="0" w:name="_7q9tkof4cnv9" w:id="5"/>
      <w:bookmarkEnd w:id="5"/>
      <w:r w:rsidDel="00000000" w:rsidR="00000000" w:rsidRPr="00000000">
        <w:rPr>
          <w:rtl w:val="0"/>
        </w:rPr>
        <w:t xml:space="preserve">Uwaga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Realizując wymagania na 4.0 i 5.0 należy także zrealizować wymagania obowiązkowe -- wyniki uzyskane za pomocą prostych metod filtrowania obrazu będą stanowić punkt odniesienia (</w:t>
      </w:r>
      <w:r w:rsidDel="00000000" w:rsidR="00000000" w:rsidRPr="00000000">
        <w:rPr>
          <w:i w:val="1"/>
          <w:rtl w:val="0"/>
        </w:rPr>
        <w:t xml:space="preserve">baseline</w:t>
      </w:r>
      <w:r w:rsidDel="00000000" w:rsidR="00000000" w:rsidRPr="00000000">
        <w:rPr>
          <w:rtl w:val="0"/>
        </w:rPr>
        <w:t xml:space="preserve">) dla bardziej zaawansowanych modeli decyzyjnych.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W projekcie korzystamy z jednej z dostępnych baz danych z obrazami (patrz linki poniżej) -- ta sama baza powinna być stosowana we wszystkich krokach projektu.</w:t>
      </w:r>
    </w:p>
    <w:p w:rsidR="00000000" w:rsidDel="00000000" w:rsidP="00000000" w:rsidRDefault="00000000" w:rsidRPr="00000000" w14:paraId="00000016">
      <w:pPr>
        <w:pStyle w:val="Heading1"/>
        <w:spacing w:after="0" w:lineRule="auto"/>
        <w:contextualSpacing w:val="0"/>
        <w:jc w:val="both"/>
        <w:rPr>
          <w:vertAlign w:val="baseline"/>
        </w:rPr>
      </w:pPr>
      <w:bookmarkStart w:colFirst="0" w:colLast="0" w:name="_rcxurc4v1lab" w:id="6"/>
      <w:bookmarkEnd w:id="6"/>
      <w:r w:rsidDel="00000000" w:rsidR="00000000" w:rsidRPr="00000000">
        <w:rPr>
          <w:vertAlign w:val="baseline"/>
          <w:rtl w:val="0"/>
        </w:rPr>
        <w:t xml:space="preserve">Linki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60" w:line="240" w:lineRule="auto"/>
        <w:ind w:left="720" w:hanging="360"/>
        <w:contextualSpacing w:val="0"/>
      </w:pPr>
      <w:bookmarkStart w:colFirst="0" w:colLast="0" w:name="_pohnf6y6adtu" w:id="7"/>
      <w:bookmarkEnd w:id="7"/>
      <w:r w:rsidDel="00000000" w:rsidR="00000000" w:rsidRPr="00000000">
        <w:rPr>
          <w:rtl w:val="0"/>
        </w:rPr>
        <w:t xml:space="preserve">Baza obrazów HRF: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https://www5.cs.fau.de/research/data/fundus-images/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60" w:line="240" w:lineRule="auto"/>
        <w:ind w:left="720" w:hanging="360"/>
        <w:contextualSpacing w:val="0"/>
      </w:pPr>
      <w:bookmarkStart w:colFirst="0" w:colLast="0" w:name="_tt7el2dpvqbx" w:id="8"/>
      <w:bookmarkEnd w:id="8"/>
      <w:r w:rsidDel="00000000" w:rsidR="00000000" w:rsidRPr="00000000">
        <w:rPr>
          <w:rtl w:val="0"/>
        </w:rPr>
        <w:t xml:space="preserve">Baza obrazów STARE: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http://cecas.clemson.edu/~ahoover/stare/probing/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60" w:line="240" w:lineRule="auto"/>
        <w:ind w:left="720" w:hanging="360"/>
        <w:contextualSpacing w:val="0"/>
      </w:pPr>
      <w:bookmarkStart w:colFirst="0" w:colLast="0" w:name="_qnbnjyvlc7wd" w:id="9"/>
      <w:bookmarkEnd w:id="9"/>
      <w:r w:rsidDel="00000000" w:rsidR="00000000" w:rsidRPr="00000000">
        <w:rPr>
          <w:rtl w:val="0"/>
        </w:rPr>
        <w:t xml:space="preserve">Baza obrazów CHASE: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https://staffnet.kingston.ac.uk/~ku15565/CHASE_DB1/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taffnet.kingston.ac.uk/~ku15565/CHASE_DB1/" TargetMode="External"/><Relationship Id="rId9" Type="http://schemas.openxmlformats.org/officeDocument/2006/relationships/hyperlink" Target="http://cecas.clemson.edu/~ahoover/stare/probing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www5.cs.fau.de/research/data/fundus-im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