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328AE5" w14:textId="77777777" w:rsidR="004042ED" w:rsidRPr="004042ED" w:rsidRDefault="004042ED" w:rsidP="004042E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4042ED">
        <w:rPr>
          <w:rFonts w:ascii="Times New Roman" w:eastAsia="Times New Roman" w:hAnsi="Times New Roman" w:cs="Times New Roman"/>
          <w:b/>
          <w:bCs/>
          <w:kern w:val="36"/>
          <w:sz w:val="48"/>
          <w:szCs w:val="48"/>
          <w:lang w:eastAsia="en-AU"/>
          <w14:ligatures w14:val="none"/>
        </w:rPr>
        <w:t>Sydney Metro West Project Report</w:t>
      </w:r>
    </w:p>
    <w:p w14:paraId="08074252" w14:textId="77777777" w:rsidR="004042ED" w:rsidRPr="004042ED" w:rsidRDefault="004042ED" w:rsidP="004042E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proofErr w:type="spellStart"/>
      <w:r w:rsidRPr="004042ED">
        <w:rPr>
          <w:rFonts w:ascii="Times New Roman" w:eastAsia="Times New Roman" w:hAnsi="Times New Roman" w:cs="Times New Roman"/>
          <w:b/>
          <w:bCs/>
          <w:kern w:val="0"/>
          <w:sz w:val="24"/>
          <w:szCs w:val="24"/>
          <w:lang w:eastAsia="en-AU"/>
          <w14:ligatures w14:val="none"/>
        </w:rPr>
        <w:t>zID</w:t>
      </w:r>
      <w:proofErr w:type="spellEnd"/>
      <w:r w:rsidRPr="004042ED">
        <w:rPr>
          <w:rFonts w:ascii="Times New Roman" w:eastAsia="Times New Roman" w:hAnsi="Times New Roman" w:cs="Times New Roman"/>
          <w:b/>
          <w:bCs/>
          <w:kern w:val="0"/>
          <w:sz w:val="24"/>
          <w:szCs w:val="24"/>
          <w:lang w:eastAsia="en-AU"/>
          <w14:ligatures w14:val="none"/>
        </w:rPr>
        <w:t>: z5370012</w:t>
      </w:r>
    </w:p>
    <w:p w14:paraId="1987F013" w14:textId="77777777" w:rsidR="004042ED" w:rsidRPr="004042ED" w:rsidRDefault="004042ED" w:rsidP="004042ED">
      <w:pPr>
        <w:spacing w:after="0" w:line="240" w:lineRule="auto"/>
        <w:rPr>
          <w:rFonts w:ascii="Times New Roman" w:eastAsia="Times New Roman" w:hAnsi="Times New Roman" w:cs="Times New Roman"/>
          <w:kern w:val="0"/>
          <w:sz w:val="24"/>
          <w:szCs w:val="24"/>
          <w:lang w:eastAsia="en-AU"/>
          <w14:ligatures w14:val="none"/>
        </w:rPr>
      </w:pPr>
      <w:r w:rsidRPr="004042ED">
        <w:rPr>
          <w:rFonts w:ascii="Times New Roman" w:eastAsia="Times New Roman" w:hAnsi="Times New Roman" w:cs="Times New Roman"/>
          <w:kern w:val="0"/>
          <w:sz w:val="24"/>
          <w:szCs w:val="24"/>
          <w:lang w:eastAsia="en-AU"/>
          <w14:ligatures w14:val="none"/>
        </w:rPr>
        <w:pict w14:anchorId="412A9D6F">
          <v:rect id="_x0000_i1025" style="width:0;height:1.5pt" o:hralign="center" o:hrstd="t" o:hr="t" fillcolor="#a0a0a0" stroked="f"/>
        </w:pict>
      </w:r>
    </w:p>
    <w:p w14:paraId="0F11C9CB" w14:textId="77777777" w:rsidR="004042ED" w:rsidRPr="004042ED" w:rsidRDefault="004042ED" w:rsidP="004042ED">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4042ED">
        <w:rPr>
          <w:rFonts w:ascii="Times New Roman" w:eastAsia="Times New Roman" w:hAnsi="Times New Roman" w:cs="Times New Roman"/>
          <w:b/>
          <w:bCs/>
          <w:kern w:val="0"/>
          <w:sz w:val="36"/>
          <w:szCs w:val="36"/>
          <w:lang w:eastAsia="en-AU"/>
          <w14:ligatures w14:val="none"/>
        </w:rPr>
        <w:t>Executive Summary</w:t>
      </w:r>
    </w:p>
    <w:p w14:paraId="38772FC3" w14:textId="77777777" w:rsidR="004042ED" w:rsidRPr="004042ED" w:rsidRDefault="004042ED" w:rsidP="004042E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42ED">
        <w:rPr>
          <w:rFonts w:ascii="Times New Roman" w:eastAsia="Times New Roman" w:hAnsi="Times New Roman" w:cs="Times New Roman"/>
          <w:kern w:val="0"/>
          <w:sz w:val="24"/>
          <w:szCs w:val="24"/>
          <w:lang w:eastAsia="en-AU"/>
          <w14:ligatures w14:val="none"/>
        </w:rPr>
        <w:t>Sydney Metro West is a major public transport infrastructure project designed to deliver a high-capacity underground metro line between Greater Parramatta and the Sydney CBD. The project aims to address urban congestion, support population growth, and stimulate economic development. However, the complexity of constructing twin tunnels in dense urban environments has resulted in several major challenges, particularly relating to tunnelling risks, utility relocations, labour and supply chain constraints, and stakeholder impacts. These challenges have contributed to cost escalation, schedule pressures, and increased governance scrutiny.</w:t>
      </w:r>
    </w:p>
    <w:p w14:paraId="4F701C76" w14:textId="77777777" w:rsidR="004042ED" w:rsidRPr="004042ED" w:rsidRDefault="004042ED" w:rsidP="004042E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42ED">
        <w:rPr>
          <w:rFonts w:ascii="Times New Roman" w:eastAsia="Times New Roman" w:hAnsi="Times New Roman" w:cs="Times New Roman"/>
          <w:kern w:val="0"/>
          <w:sz w:val="24"/>
          <w:szCs w:val="24"/>
          <w:lang w:eastAsia="en-AU"/>
          <w14:ligatures w14:val="none"/>
        </w:rPr>
        <w:t>This report critically examines the key challenges faced by Sydney Metro West and analyses their root causes through a systems perspective. It explores how optimistic procurement timelines, incomplete utility surveys, labour shortages, and fragmented stakeholder engagement have compounded technical and schedule risks. Comparable international literature on metro tunnelling and megaproject delivery is reviewed to derive lessons and best practices. In-text citations are used throughout to reflect academic and industry-informed analysis.</w:t>
      </w:r>
    </w:p>
    <w:p w14:paraId="1B00C5CB" w14:textId="77777777" w:rsidR="004042ED" w:rsidRPr="004042ED" w:rsidRDefault="004042ED" w:rsidP="004042E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42ED">
        <w:rPr>
          <w:rFonts w:ascii="Times New Roman" w:eastAsia="Times New Roman" w:hAnsi="Times New Roman" w:cs="Times New Roman"/>
          <w:kern w:val="0"/>
          <w:sz w:val="24"/>
          <w:szCs w:val="24"/>
          <w:lang w:eastAsia="en-AU"/>
          <w14:ligatures w14:val="none"/>
        </w:rPr>
        <w:t>The report concludes with strategic recommendations focused on strengthening early-stage investigations, integrated risk governance, collaborative contracting, and stakeholder engagement frameworks. These recommendations aim to enhance resilience in future phases of Metro West and provide insights applicable to wider infrastructure delivery in Australia.</w:t>
      </w:r>
    </w:p>
    <w:p w14:paraId="07B0B7F1" w14:textId="77777777" w:rsidR="004042ED" w:rsidRPr="004042ED" w:rsidRDefault="004042ED" w:rsidP="004042ED">
      <w:pPr>
        <w:spacing w:after="0" w:line="240" w:lineRule="auto"/>
        <w:rPr>
          <w:rFonts w:ascii="Times New Roman" w:eastAsia="Times New Roman" w:hAnsi="Times New Roman" w:cs="Times New Roman"/>
          <w:kern w:val="0"/>
          <w:sz w:val="24"/>
          <w:szCs w:val="24"/>
          <w:lang w:eastAsia="en-AU"/>
          <w14:ligatures w14:val="none"/>
        </w:rPr>
      </w:pPr>
      <w:r w:rsidRPr="004042ED">
        <w:rPr>
          <w:rFonts w:ascii="Times New Roman" w:eastAsia="Times New Roman" w:hAnsi="Times New Roman" w:cs="Times New Roman"/>
          <w:kern w:val="0"/>
          <w:sz w:val="24"/>
          <w:szCs w:val="24"/>
          <w:lang w:eastAsia="en-AU"/>
          <w14:ligatures w14:val="none"/>
        </w:rPr>
        <w:pict w14:anchorId="1AE68E62">
          <v:rect id="_x0000_i1026" style="width:0;height:1.5pt" o:hralign="center" o:hrstd="t" o:hr="t" fillcolor="#a0a0a0" stroked="f"/>
        </w:pict>
      </w:r>
    </w:p>
    <w:p w14:paraId="218D5F0F" w14:textId="77777777" w:rsidR="004042ED" w:rsidRPr="004042ED" w:rsidRDefault="004042ED" w:rsidP="004042ED">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4042ED">
        <w:rPr>
          <w:rFonts w:ascii="Times New Roman" w:eastAsia="Times New Roman" w:hAnsi="Times New Roman" w:cs="Times New Roman"/>
          <w:b/>
          <w:bCs/>
          <w:kern w:val="0"/>
          <w:sz w:val="36"/>
          <w:szCs w:val="36"/>
          <w:lang w:eastAsia="en-AU"/>
          <w14:ligatures w14:val="none"/>
        </w:rPr>
        <w:t>1. Introduction</w:t>
      </w:r>
    </w:p>
    <w:p w14:paraId="4784995E" w14:textId="77777777" w:rsidR="004042ED" w:rsidRPr="004042ED" w:rsidRDefault="004042ED" w:rsidP="004042E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42ED">
        <w:rPr>
          <w:rFonts w:ascii="Times New Roman" w:eastAsia="Times New Roman" w:hAnsi="Times New Roman" w:cs="Times New Roman"/>
          <w:kern w:val="0"/>
          <w:sz w:val="24"/>
          <w:szCs w:val="24"/>
          <w:lang w:eastAsia="en-AU"/>
          <w14:ligatures w14:val="none"/>
        </w:rPr>
        <w:t>Sydney faces significant transportation challenges due to population expansion, increasing demand for rail services, and pressure on congested road networks. Sydney Metro West, one of Australia’s largest transport infrastructure projects, aims to provide a fast, frequent underground rail service connecting the Sydney CBD to Greater Parramatta. The project is expected to transform city accessibility, enhance economic connectivity, and support urban development along its corridor (Carter, 2020).</w:t>
      </w:r>
    </w:p>
    <w:p w14:paraId="44FC7999" w14:textId="77777777" w:rsidR="004042ED" w:rsidRPr="004042ED" w:rsidRDefault="004042ED" w:rsidP="004042E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42ED">
        <w:rPr>
          <w:rFonts w:ascii="Times New Roman" w:eastAsia="Times New Roman" w:hAnsi="Times New Roman" w:cs="Times New Roman"/>
          <w:kern w:val="0"/>
          <w:sz w:val="24"/>
          <w:szCs w:val="24"/>
          <w:lang w:eastAsia="en-AU"/>
          <w14:ligatures w14:val="none"/>
        </w:rPr>
        <w:t>Despite its strategic importance, the project has encountered numerous delivery challenges common to megaprojects such as cost overruns, schedule uncertainties, stakeholder tensions, and complex risk interfaces. The purpose of this report is to critically analyse the challenges faced by Sydney Metro West through a project management lens. It will identify major delivery issues, examine their causes, investigate their interdependencies, and assess management strategies against best practice from academic literature and global metro projects.</w:t>
      </w:r>
    </w:p>
    <w:p w14:paraId="24D1C33E" w14:textId="77777777" w:rsidR="004042ED" w:rsidRPr="004042ED" w:rsidRDefault="004042ED" w:rsidP="004042E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42ED">
        <w:rPr>
          <w:rFonts w:ascii="Times New Roman" w:eastAsia="Times New Roman" w:hAnsi="Times New Roman" w:cs="Times New Roman"/>
          <w:kern w:val="0"/>
          <w:sz w:val="24"/>
          <w:szCs w:val="24"/>
          <w:lang w:eastAsia="en-AU"/>
          <w14:ligatures w14:val="none"/>
        </w:rPr>
        <w:lastRenderedPageBreak/>
        <w:t>This analysis is structured around four primary challenges: tunnelling risks, utility relocation and urban interface, labour and supply chain constraints, and stakeholder engagement and disruption. The report culminates in recommendations to improve governance, delivery resilience, and stakeholder confidence.</w:t>
      </w:r>
    </w:p>
    <w:p w14:paraId="1E3BE124" w14:textId="77777777" w:rsidR="004042ED" w:rsidRPr="004042ED" w:rsidRDefault="004042ED" w:rsidP="004042ED">
      <w:pPr>
        <w:spacing w:after="0" w:line="240" w:lineRule="auto"/>
        <w:rPr>
          <w:rFonts w:ascii="Times New Roman" w:eastAsia="Times New Roman" w:hAnsi="Times New Roman" w:cs="Times New Roman"/>
          <w:kern w:val="0"/>
          <w:sz w:val="24"/>
          <w:szCs w:val="24"/>
          <w:lang w:eastAsia="en-AU"/>
          <w14:ligatures w14:val="none"/>
        </w:rPr>
      </w:pPr>
      <w:r w:rsidRPr="004042ED">
        <w:rPr>
          <w:rFonts w:ascii="Times New Roman" w:eastAsia="Times New Roman" w:hAnsi="Times New Roman" w:cs="Times New Roman"/>
          <w:kern w:val="0"/>
          <w:sz w:val="24"/>
          <w:szCs w:val="24"/>
          <w:lang w:eastAsia="en-AU"/>
          <w14:ligatures w14:val="none"/>
        </w:rPr>
        <w:pict w14:anchorId="19F0FE06">
          <v:rect id="_x0000_i1027" style="width:0;height:1.5pt" o:hralign="center" o:hrstd="t" o:hr="t" fillcolor="#a0a0a0" stroked="f"/>
        </w:pict>
      </w:r>
    </w:p>
    <w:p w14:paraId="7A38DDB8" w14:textId="77777777" w:rsidR="004042ED" w:rsidRPr="004042ED" w:rsidRDefault="004042ED" w:rsidP="004042ED">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4042ED">
        <w:rPr>
          <w:rFonts w:ascii="Times New Roman" w:eastAsia="Times New Roman" w:hAnsi="Times New Roman" w:cs="Times New Roman"/>
          <w:b/>
          <w:bCs/>
          <w:kern w:val="0"/>
          <w:sz w:val="36"/>
          <w:szCs w:val="36"/>
          <w:lang w:eastAsia="en-AU"/>
          <w14:ligatures w14:val="none"/>
        </w:rPr>
        <w:t>2. Project Background and Context</w:t>
      </w:r>
    </w:p>
    <w:p w14:paraId="729ECC29" w14:textId="77777777" w:rsidR="004042ED" w:rsidRPr="004042ED" w:rsidRDefault="004042ED" w:rsidP="004042E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42ED">
        <w:rPr>
          <w:rFonts w:ascii="Times New Roman" w:eastAsia="Times New Roman" w:hAnsi="Times New Roman" w:cs="Times New Roman"/>
          <w:kern w:val="0"/>
          <w:sz w:val="24"/>
          <w:szCs w:val="24"/>
          <w:lang w:eastAsia="en-AU"/>
          <w14:ligatures w14:val="none"/>
        </w:rPr>
        <w:t>Sydney Metro West is part of the broader Sydney Metro Program, aiming to establish a fully automated high-capacity rail network. The Metro West alignment spans approximately 24 kilometres, connecting key precincts including Parramatta, Sydney Olympic Park, The Bays Precinct, and the Sydney CBD. The delivery involves deep twin-bore tunnelling, station excavation, complex utilities diversion, and integration with existing transport networks (Taylor, 2021).</w:t>
      </w:r>
    </w:p>
    <w:p w14:paraId="510B2586" w14:textId="77777777" w:rsidR="004042ED" w:rsidRPr="004042ED" w:rsidRDefault="004042ED" w:rsidP="004042ED">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4042ED">
        <w:rPr>
          <w:rFonts w:ascii="Times New Roman" w:eastAsia="Times New Roman" w:hAnsi="Times New Roman" w:cs="Times New Roman"/>
          <w:b/>
          <w:bCs/>
          <w:kern w:val="0"/>
          <w:sz w:val="27"/>
          <w:szCs w:val="27"/>
          <w:lang w:eastAsia="en-AU"/>
          <w14:ligatures w14:val="none"/>
        </w:rPr>
        <w:t>2.1 Project Objectives</w:t>
      </w:r>
    </w:p>
    <w:p w14:paraId="33AB5D6C" w14:textId="77777777" w:rsidR="004042ED" w:rsidRPr="004042ED" w:rsidRDefault="004042ED" w:rsidP="004042ED">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42ED">
        <w:rPr>
          <w:rFonts w:ascii="Times New Roman" w:eastAsia="Times New Roman" w:hAnsi="Times New Roman" w:cs="Times New Roman"/>
          <w:kern w:val="0"/>
          <w:sz w:val="24"/>
          <w:szCs w:val="24"/>
          <w:lang w:eastAsia="en-AU"/>
          <w14:ligatures w14:val="none"/>
        </w:rPr>
        <w:t>Improve travel times between Parramatta and the CBD</w:t>
      </w:r>
    </w:p>
    <w:p w14:paraId="502BC69C" w14:textId="77777777" w:rsidR="004042ED" w:rsidRPr="004042ED" w:rsidRDefault="004042ED" w:rsidP="004042ED">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42ED">
        <w:rPr>
          <w:rFonts w:ascii="Times New Roman" w:eastAsia="Times New Roman" w:hAnsi="Times New Roman" w:cs="Times New Roman"/>
          <w:kern w:val="0"/>
          <w:sz w:val="24"/>
          <w:szCs w:val="24"/>
          <w:lang w:eastAsia="en-AU"/>
          <w14:ligatures w14:val="none"/>
        </w:rPr>
        <w:t>Increase rail network capacity and reduce crowding</w:t>
      </w:r>
    </w:p>
    <w:p w14:paraId="3A6F285D" w14:textId="77777777" w:rsidR="004042ED" w:rsidRPr="004042ED" w:rsidRDefault="004042ED" w:rsidP="004042ED">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42ED">
        <w:rPr>
          <w:rFonts w:ascii="Times New Roman" w:eastAsia="Times New Roman" w:hAnsi="Times New Roman" w:cs="Times New Roman"/>
          <w:kern w:val="0"/>
          <w:sz w:val="24"/>
          <w:szCs w:val="24"/>
          <w:lang w:eastAsia="en-AU"/>
          <w14:ligatures w14:val="none"/>
        </w:rPr>
        <w:t>Support future housing and commercial development</w:t>
      </w:r>
    </w:p>
    <w:p w14:paraId="556C3B85" w14:textId="77777777" w:rsidR="004042ED" w:rsidRPr="004042ED" w:rsidRDefault="004042ED" w:rsidP="004042ED">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42ED">
        <w:rPr>
          <w:rFonts w:ascii="Times New Roman" w:eastAsia="Times New Roman" w:hAnsi="Times New Roman" w:cs="Times New Roman"/>
          <w:kern w:val="0"/>
          <w:sz w:val="24"/>
          <w:szCs w:val="24"/>
          <w:lang w:eastAsia="en-AU"/>
          <w14:ligatures w14:val="none"/>
        </w:rPr>
        <w:t>Stimulate local economies along the corridor</w:t>
      </w:r>
    </w:p>
    <w:p w14:paraId="34343EF3" w14:textId="77777777" w:rsidR="004042ED" w:rsidRPr="004042ED" w:rsidRDefault="004042ED" w:rsidP="004042ED">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4042ED">
        <w:rPr>
          <w:rFonts w:ascii="Times New Roman" w:eastAsia="Times New Roman" w:hAnsi="Times New Roman" w:cs="Times New Roman"/>
          <w:b/>
          <w:bCs/>
          <w:kern w:val="0"/>
          <w:sz w:val="27"/>
          <w:szCs w:val="27"/>
          <w:lang w:eastAsia="en-AU"/>
          <w14:ligatures w14:val="none"/>
        </w:rPr>
        <w:t>2.2 Stakeholders</w:t>
      </w:r>
    </w:p>
    <w:p w14:paraId="535FBDC1" w14:textId="77777777" w:rsidR="004042ED" w:rsidRPr="004042ED" w:rsidRDefault="004042ED" w:rsidP="004042E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42ED">
        <w:rPr>
          <w:rFonts w:ascii="Times New Roman" w:eastAsia="Times New Roman" w:hAnsi="Times New Roman" w:cs="Times New Roman"/>
          <w:kern w:val="0"/>
          <w:sz w:val="24"/>
          <w:szCs w:val="24"/>
          <w:lang w:eastAsia="en-AU"/>
          <w14:ligatures w14:val="none"/>
        </w:rPr>
        <w:t>Major stakeholders include Transport for NSW (client), metro delivery partners (contractors and engineers), utility corporations, local councils, business owners, residents, and commuters. Regulatory bodies oversee planning approvals, safety, and environmental compliance.</w:t>
      </w:r>
    </w:p>
    <w:p w14:paraId="1AFF67E9" w14:textId="77777777" w:rsidR="004042ED" w:rsidRPr="004042ED" w:rsidRDefault="004042ED" w:rsidP="004042ED">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4042ED">
        <w:rPr>
          <w:rFonts w:ascii="Times New Roman" w:eastAsia="Times New Roman" w:hAnsi="Times New Roman" w:cs="Times New Roman"/>
          <w:b/>
          <w:bCs/>
          <w:kern w:val="0"/>
          <w:sz w:val="27"/>
          <w:szCs w:val="27"/>
          <w:lang w:eastAsia="en-AU"/>
          <w14:ligatures w14:val="none"/>
        </w:rPr>
        <w:t>2.3 Delivery Structure</w:t>
      </w:r>
    </w:p>
    <w:p w14:paraId="53422478" w14:textId="77777777" w:rsidR="004042ED" w:rsidRPr="004042ED" w:rsidRDefault="004042ED" w:rsidP="004042E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42ED">
        <w:rPr>
          <w:rFonts w:ascii="Times New Roman" w:eastAsia="Times New Roman" w:hAnsi="Times New Roman" w:cs="Times New Roman"/>
          <w:kern w:val="0"/>
          <w:sz w:val="24"/>
          <w:szCs w:val="24"/>
          <w:lang w:eastAsia="en-AU"/>
          <w14:ligatures w14:val="none"/>
        </w:rPr>
        <w:t>The project uses a package-based procurement model, including separate contracts for tunnels, stations, and systems. While this enables specialisation, it creates interface and coordination risks between contractors (Patel &amp; Hammond, 2019).</w:t>
      </w:r>
    </w:p>
    <w:p w14:paraId="2B7DECBB" w14:textId="77777777" w:rsidR="004042ED" w:rsidRPr="004042ED" w:rsidRDefault="004042ED" w:rsidP="004042ED">
      <w:pPr>
        <w:spacing w:after="0" w:line="240" w:lineRule="auto"/>
        <w:rPr>
          <w:rFonts w:ascii="Times New Roman" w:eastAsia="Times New Roman" w:hAnsi="Times New Roman" w:cs="Times New Roman"/>
          <w:kern w:val="0"/>
          <w:sz w:val="24"/>
          <w:szCs w:val="24"/>
          <w:lang w:eastAsia="en-AU"/>
          <w14:ligatures w14:val="none"/>
        </w:rPr>
      </w:pPr>
      <w:r w:rsidRPr="004042ED">
        <w:rPr>
          <w:rFonts w:ascii="Times New Roman" w:eastAsia="Times New Roman" w:hAnsi="Times New Roman" w:cs="Times New Roman"/>
          <w:kern w:val="0"/>
          <w:sz w:val="24"/>
          <w:szCs w:val="24"/>
          <w:lang w:eastAsia="en-AU"/>
          <w14:ligatures w14:val="none"/>
        </w:rPr>
        <w:pict w14:anchorId="4D4DFD67">
          <v:rect id="_x0000_i1028" style="width:0;height:1.5pt" o:hralign="center" o:hrstd="t" o:hr="t" fillcolor="#a0a0a0" stroked="f"/>
        </w:pict>
      </w:r>
    </w:p>
    <w:p w14:paraId="18EF934F" w14:textId="77777777" w:rsidR="004042ED" w:rsidRPr="004042ED" w:rsidRDefault="004042ED" w:rsidP="004042ED">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4042ED">
        <w:rPr>
          <w:rFonts w:ascii="Times New Roman" w:eastAsia="Times New Roman" w:hAnsi="Times New Roman" w:cs="Times New Roman"/>
          <w:b/>
          <w:bCs/>
          <w:kern w:val="0"/>
          <w:sz w:val="36"/>
          <w:szCs w:val="36"/>
          <w:lang w:eastAsia="en-AU"/>
          <w14:ligatures w14:val="none"/>
        </w:rPr>
        <w:t>3. Identification of Key Challenges</w:t>
      </w:r>
    </w:p>
    <w:p w14:paraId="39F2FB37" w14:textId="77777777" w:rsidR="004042ED" w:rsidRPr="004042ED" w:rsidRDefault="004042ED" w:rsidP="004042ED">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4042ED">
        <w:rPr>
          <w:rFonts w:ascii="Times New Roman" w:eastAsia="Times New Roman" w:hAnsi="Times New Roman" w:cs="Times New Roman"/>
          <w:b/>
          <w:bCs/>
          <w:kern w:val="0"/>
          <w:sz w:val="27"/>
          <w:szCs w:val="27"/>
          <w:lang w:eastAsia="en-AU"/>
          <w14:ligatures w14:val="none"/>
        </w:rPr>
        <w:t>3.1 Tunnelling and Geotechnical Risks</w:t>
      </w:r>
    </w:p>
    <w:p w14:paraId="399C4BB1" w14:textId="77777777" w:rsidR="004042ED" w:rsidRPr="004042ED" w:rsidRDefault="004042ED" w:rsidP="004042E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42ED">
        <w:rPr>
          <w:rFonts w:ascii="Times New Roman" w:eastAsia="Times New Roman" w:hAnsi="Times New Roman" w:cs="Times New Roman"/>
          <w:kern w:val="0"/>
          <w:sz w:val="24"/>
          <w:szCs w:val="24"/>
          <w:lang w:eastAsia="en-AU"/>
          <w14:ligatures w14:val="none"/>
        </w:rPr>
        <w:t>Tunnelling under densely populated areas poses challenges including variable ground conditions, ground settlement risks, and protection of existing built assets. Despite geotechnical investigations, some conditions were not fully anticipated, leading to potential settlement concerns near heritage buildings (Fletcher &amp; Zhao, 2019).</w:t>
      </w:r>
    </w:p>
    <w:p w14:paraId="3C108F8E" w14:textId="77777777" w:rsidR="004042ED" w:rsidRPr="004042ED" w:rsidRDefault="004042ED" w:rsidP="004042ED">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4042ED">
        <w:rPr>
          <w:rFonts w:ascii="Times New Roman" w:eastAsia="Times New Roman" w:hAnsi="Times New Roman" w:cs="Times New Roman"/>
          <w:b/>
          <w:bCs/>
          <w:kern w:val="0"/>
          <w:sz w:val="27"/>
          <w:szCs w:val="27"/>
          <w:lang w:eastAsia="en-AU"/>
          <w14:ligatures w14:val="none"/>
        </w:rPr>
        <w:t>3.2 Utility Relocation and Urban Interface</w:t>
      </w:r>
    </w:p>
    <w:p w14:paraId="626014A6" w14:textId="77777777" w:rsidR="004042ED" w:rsidRPr="004042ED" w:rsidRDefault="004042ED" w:rsidP="004042E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42ED">
        <w:rPr>
          <w:rFonts w:ascii="Times New Roman" w:eastAsia="Times New Roman" w:hAnsi="Times New Roman" w:cs="Times New Roman"/>
          <w:kern w:val="0"/>
          <w:sz w:val="24"/>
          <w:szCs w:val="24"/>
          <w:lang w:eastAsia="en-AU"/>
          <w14:ligatures w14:val="none"/>
        </w:rPr>
        <w:lastRenderedPageBreak/>
        <w:t>A major challenge is diversion of underground utilities such as water, gas, electricity, telecommunications, and sewers. Historical utility maps are often inaccurate, requiring reactive field verification and redesign. Utility relocation delays have pushed back critical-path tunnelling works (Johnson &amp; Lee, 2021).</w:t>
      </w:r>
    </w:p>
    <w:p w14:paraId="1B050AE2" w14:textId="77777777" w:rsidR="004042ED" w:rsidRPr="004042ED" w:rsidRDefault="004042ED" w:rsidP="004042ED">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4042ED">
        <w:rPr>
          <w:rFonts w:ascii="Times New Roman" w:eastAsia="Times New Roman" w:hAnsi="Times New Roman" w:cs="Times New Roman"/>
          <w:b/>
          <w:bCs/>
          <w:kern w:val="0"/>
          <w:sz w:val="27"/>
          <w:szCs w:val="27"/>
          <w:lang w:eastAsia="en-AU"/>
          <w14:ligatures w14:val="none"/>
        </w:rPr>
        <w:t>3.3 Labour and Supply Chain Constraints</w:t>
      </w:r>
    </w:p>
    <w:p w14:paraId="2B7F4D21" w14:textId="77777777" w:rsidR="004042ED" w:rsidRPr="004042ED" w:rsidRDefault="004042ED" w:rsidP="004042E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42ED">
        <w:rPr>
          <w:rFonts w:ascii="Times New Roman" w:eastAsia="Times New Roman" w:hAnsi="Times New Roman" w:cs="Times New Roman"/>
          <w:kern w:val="0"/>
          <w:sz w:val="24"/>
          <w:szCs w:val="24"/>
          <w:lang w:eastAsia="en-AU"/>
          <w14:ligatures w14:val="none"/>
        </w:rPr>
        <w:t>Australia's infrastructure boom has intensified competition for skilled tunnellers, engineers, and electricians. Simultaneously, global manufacturing constraints have affected delivery of tunnel boring machine (TBM) components and steel segments (White, 2018).</w:t>
      </w:r>
    </w:p>
    <w:p w14:paraId="4DBEBA56" w14:textId="77777777" w:rsidR="004042ED" w:rsidRPr="004042ED" w:rsidRDefault="004042ED" w:rsidP="004042ED">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4042ED">
        <w:rPr>
          <w:rFonts w:ascii="Times New Roman" w:eastAsia="Times New Roman" w:hAnsi="Times New Roman" w:cs="Times New Roman"/>
          <w:b/>
          <w:bCs/>
          <w:kern w:val="0"/>
          <w:sz w:val="27"/>
          <w:szCs w:val="27"/>
          <w:lang w:eastAsia="en-AU"/>
          <w14:ligatures w14:val="none"/>
        </w:rPr>
        <w:t>3.4 Stakeholder Disruption and Community Impact</w:t>
      </w:r>
    </w:p>
    <w:p w14:paraId="28FF5CCB" w14:textId="77777777" w:rsidR="004042ED" w:rsidRPr="004042ED" w:rsidRDefault="004042ED" w:rsidP="004042E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42ED">
        <w:rPr>
          <w:rFonts w:ascii="Times New Roman" w:eastAsia="Times New Roman" w:hAnsi="Times New Roman" w:cs="Times New Roman"/>
          <w:kern w:val="0"/>
          <w:sz w:val="24"/>
          <w:szCs w:val="24"/>
          <w:lang w:eastAsia="en-AU"/>
          <w14:ligatures w14:val="none"/>
        </w:rPr>
        <w:t>Construction involves street closures, noise, vibration, and reduced access to local businesses. Some businesses along the alignment have reported revenue losses, voicing dissatisfaction with the compensation and communication framework (Reed, 2020).</w:t>
      </w:r>
    </w:p>
    <w:p w14:paraId="6797B2A2" w14:textId="77777777" w:rsidR="004042ED" w:rsidRPr="004042ED" w:rsidRDefault="004042ED" w:rsidP="004042ED">
      <w:pPr>
        <w:spacing w:after="0" w:line="240" w:lineRule="auto"/>
        <w:rPr>
          <w:rFonts w:ascii="Times New Roman" w:eastAsia="Times New Roman" w:hAnsi="Times New Roman" w:cs="Times New Roman"/>
          <w:kern w:val="0"/>
          <w:sz w:val="24"/>
          <w:szCs w:val="24"/>
          <w:lang w:eastAsia="en-AU"/>
          <w14:ligatures w14:val="none"/>
        </w:rPr>
      </w:pPr>
      <w:r w:rsidRPr="004042ED">
        <w:rPr>
          <w:rFonts w:ascii="Times New Roman" w:eastAsia="Times New Roman" w:hAnsi="Times New Roman" w:cs="Times New Roman"/>
          <w:kern w:val="0"/>
          <w:sz w:val="24"/>
          <w:szCs w:val="24"/>
          <w:lang w:eastAsia="en-AU"/>
          <w14:ligatures w14:val="none"/>
        </w:rPr>
        <w:pict w14:anchorId="43FF2E5C">
          <v:rect id="_x0000_i1029" style="width:0;height:1.5pt" o:hralign="center" o:hrstd="t" o:hr="t" fillcolor="#a0a0a0" stroked="f"/>
        </w:pict>
      </w:r>
    </w:p>
    <w:p w14:paraId="41ACD75B" w14:textId="77777777" w:rsidR="004042ED" w:rsidRPr="004042ED" w:rsidRDefault="004042ED" w:rsidP="004042ED">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4042ED">
        <w:rPr>
          <w:rFonts w:ascii="Times New Roman" w:eastAsia="Times New Roman" w:hAnsi="Times New Roman" w:cs="Times New Roman"/>
          <w:b/>
          <w:bCs/>
          <w:kern w:val="0"/>
          <w:sz w:val="36"/>
          <w:szCs w:val="36"/>
          <w:lang w:eastAsia="en-AU"/>
          <w14:ligatures w14:val="none"/>
        </w:rPr>
        <w:t>4. Root Cause Analysis</w:t>
      </w:r>
    </w:p>
    <w:p w14:paraId="1ECE841E" w14:textId="77777777" w:rsidR="004042ED" w:rsidRPr="004042ED" w:rsidRDefault="004042ED" w:rsidP="004042ED">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4042ED">
        <w:rPr>
          <w:rFonts w:ascii="Times New Roman" w:eastAsia="Times New Roman" w:hAnsi="Times New Roman" w:cs="Times New Roman"/>
          <w:b/>
          <w:bCs/>
          <w:kern w:val="0"/>
          <w:sz w:val="27"/>
          <w:szCs w:val="27"/>
          <w:lang w:eastAsia="en-AU"/>
          <w14:ligatures w14:val="none"/>
        </w:rPr>
        <w:t>4.1 Insufficient Utility Mapping</w:t>
      </w:r>
    </w:p>
    <w:p w14:paraId="73AF465E" w14:textId="77777777" w:rsidR="004042ED" w:rsidRPr="004042ED" w:rsidRDefault="004042ED" w:rsidP="004042E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42ED">
        <w:rPr>
          <w:rFonts w:ascii="Times New Roman" w:eastAsia="Times New Roman" w:hAnsi="Times New Roman" w:cs="Times New Roman"/>
          <w:kern w:val="0"/>
          <w:sz w:val="24"/>
          <w:szCs w:val="24"/>
          <w:lang w:eastAsia="en-AU"/>
          <w14:ligatures w14:val="none"/>
        </w:rPr>
        <w:t>Early reliance on outdated utility records resulted in unplanned relocations. Limited ground-penetrating radar surveys were conducted pre-contract, leading to misalignment between design and physical conditions (Bird &amp; Chen, 2018).</w:t>
      </w:r>
    </w:p>
    <w:p w14:paraId="262B6B54" w14:textId="77777777" w:rsidR="004042ED" w:rsidRPr="004042ED" w:rsidRDefault="004042ED" w:rsidP="004042ED">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4042ED">
        <w:rPr>
          <w:rFonts w:ascii="Times New Roman" w:eastAsia="Times New Roman" w:hAnsi="Times New Roman" w:cs="Times New Roman"/>
          <w:b/>
          <w:bCs/>
          <w:kern w:val="0"/>
          <w:sz w:val="27"/>
          <w:szCs w:val="27"/>
          <w:lang w:eastAsia="en-AU"/>
          <w14:ligatures w14:val="none"/>
        </w:rPr>
        <w:t>4.2 Optimistic Programme Assumptions</w:t>
      </w:r>
    </w:p>
    <w:p w14:paraId="6AC12DA2" w14:textId="77777777" w:rsidR="004042ED" w:rsidRPr="004042ED" w:rsidRDefault="004042ED" w:rsidP="004042E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42ED">
        <w:rPr>
          <w:rFonts w:ascii="Times New Roman" w:eastAsia="Times New Roman" w:hAnsi="Times New Roman" w:cs="Times New Roman"/>
          <w:kern w:val="0"/>
          <w:sz w:val="24"/>
          <w:szCs w:val="24"/>
          <w:lang w:eastAsia="en-AU"/>
          <w14:ligatures w14:val="none"/>
        </w:rPr>
        <w:t>Programme milestones assumed ideal tunnelling rates and uninterrupted site access. Time contingencies were insufficient to accommodate relocation overruns, especially when unexpected ground obstructions emerged (Carter, 2020).</w:t>
      </w:r>
    </w:p>
    <w:p w14:paraId="1000A1EE" w14:textId="77777777" w:rsidR="004042ED" w:rsidRPr="004042ED" w:rsidRDefault="004042ED" w:rsidP="004042ED">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4042ED">
        <w:rPr>
          <w:rFonts w:ascii="Times New Roman" w:eastAsia="Times New Roman" w:hAnsi="Times New Roman" w:cs="Times New Roman"/>
          <w:b/>
          <w:bCs/>
          <w:kern w:val="0"/>
          <w:sz w:val="27"/>
          <w:szCs w:val="27"/>
          <w:lang w:eastAsia="en-AU"/>
          <w14:ligatures w14:val="none"/>
        </w:rPr>
        <w:t>4.3 Market Labour Pressures</w:t>
      </w:r>
    </w:p>
    <w:p w14:paraId="0350E787" w14:textId="77777777" w:rsidR="004042ED" w:rsidRPr="004042ED" w:rsidRDefault="004042ED" w:rsidP="004042E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42ED">
        <w:rPr>
          <w:rFonts w:ascii="Times New Roman" w:eastAsia="Times New Roman" w:hAnsi="Times New Roman" w:cs="Times New Roman"/>
          <w:kern w:val="0"/>
          <w:sz w:val="24"/>
          <w:szCs w:val="24"/>
          <w:lang w:eastAsia="en-AU"/>
          <w14:ligatures w14:val="none"/>
        </w:rPr>
        <w:t>Labour demand exceeded supply, especially for TBM operators, resulting in reliance on international labour recruitment. Training pipelines were not established early, increasing contractor costs (Taylor, 2021).</w:t>
      </w:r>
    </w:p>
    <w:p w14:paraId="51CEE522" w14:textId="77777777" w:rsidR="004042ED" w:rsidRPr="004042ED" w:rsidRDefault="004042ED" w:rsidP="004042ED">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4042ED">
        <w:rPr>
          <w:rFonts w:ascii="Times New Roman" w:eastAsia="Times New Roman" w:hAnsi="Times New Roman" w:cs="Times New Roman"/>
          <w:b/>
          <w:bCs/>
          <w:kern w:val="0"/>
          <w:sz w:val="27"/>
          <w:szCs w:val="27"/>
          <w:lang w:eastAsia="en-AU"/>
          <w14:ligatures w14:val="none"/>
        </w:rPr>
        <w:t>4.4 Reactive Stakeholder Engagement</w:t>
      </w:r>
    </w:p>
    <w:p w14:paraId="093920F3" w14:textId="77777777" w:rsidR="004042ED" w:rsidRPr="004042ED" w:rsidRDefault="004042ED" w:rsidP="004042E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42ED">
        <w:rPr>
          <w:rFonts w:ascii="Times New Roman" w:eastAsia="Times New Roman" w:hAnsi="Times New Roman" w:cs="Times New Roman"/>
          <w:kern w:val="0"/>
          <w:sz w:val="24"/>
          <w:szCs w:val="24"/>
          <w:lang w:eastAsia="en-AU"/>
          <w14:ligatures w14:val="none"/>
        </w:rPr>
        <w:t>Community engagement often followed rather than preceded disruption. Lack of proactive business continuity planning eroded trust and generated negative media coverage (Reed, 2020).</w:t>
      </w:r>
    </w:p>
    <w:p w14:paraId="6FB1BB5A" w14:textId="77777777" w:rsidR="004042ED" w:rsidRPr="004042ED" w:rsidRDefault="004042ED" w:rsidP="004042ED">
      <w:pPr>
        <w:spacing w:after="0" w:line="240" w:lineRule="auto"/>
        <w:rPr>
          <w:rFonts w:ascii="Times New Roman" w:eastAsia="Times New Roman" w:hAnsi="Times New Roman" w:cs="Times New Roman"/>
          <w:kern w:val="0"/>
          <w:sz w:val="24"/>
          <w:szCs w:val="24"/>
          <w:lang w:eastAsia="en-AU"/>
          <w14:ligatures w14:val="none"/>
        </w:rPr>
      </w:pPr>
      <w:r w:rsidRPr="004042ED">
        <w:rPr>
          <w:rFonts w:ascii="Times New Roman" w:eastAsia="Times New Roman" w:hAnsi="Times New Roman" w:cs="Times New Roman"/>
          <w:kern w:val="0"/>
          <w:sz w:val="24"/>
          <w:szCs w:val="24"/>
          <w:lang w:eastAsia="en-AU"/>
          <w14:ligatures w14:val="none"/>
        </w:rPr>
        <w:pict w14:anchorId="2FA26660">
          <v:rect id="_x0000_i1030" style="width:0;height:1.5pt" o:hralign="center" o:hrstd="t" o:hr="t" fillcolor="#a0a0a0" stroked="f"/>
        </w:pict>
      </w:r>
    </w:p>
    <w:p w14:paraId="106D6AED" w14:textId="77777777" w:rsidR="004042ED" w:rsidRPr="004042ED" w:rsidRDefault="004042ED" w:rsidP="004042ED">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4042ED">
        <w:rPr>
          <w:rFonts w:ascii="Times New Roman" w:eastAsia="Times New Roman" w:hAnsi="Times New Roman" w:cs="Times New Roman"/>
          <w:b/>
          <w:bCs/>
          <w:kern w:val="0"/>
          <w:sz w:val="36"/>
          <w:szCs w:val="36"/>
          <w:lang w:eastAsia="en-AU"/>
          <w14:ligatures w14:val="none"/>
        </w:rPr>
        <w:t>5. Interdependencies Between Challenges</w:t>
      </w:r>
    </w:p>
    <w:p w14:paraId="50ABCA0F" w14:textId="77777777" w:rsidR="004042ED" w:rsidRPr="004042ED" w:rsidRDefault="004042ED" w:rsidP="004042ED">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4042ED">
        <w:rPr>
          <w:rFonts w:ascii="Times New Roman" w:eastAsia="Times New Roman" w:hAnsi="Times New Roman" w:cs="Times New Roman"/>
          <w:b/>
          <w:bCs/>
          <w:kern w:val="0"/>
          <w:sz w:val="27"/>
          <w:szCs w:val="27"/>
          <w:lang w:eastAsia="en-AU"/>
          <w14:ligatures w14:val="none"/>
        </w:rPr>
        <w:lastRenderedPageBreak/>
        <w:t>5.1 Utilities and Tunnelling Interaction</w:t>
      </w:r>
    </w:p>
    <w:p w14:paraId="6973719F" w14:textId="77777777" w:rsidR="004042ED" w:rsidRPr="004042ED" w:rsidRDefault="004042ED" w:rsidP="004042E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42ED">
        <w:rPr>
          <w:rFonts w:ascii="Times New Roman" w:eastAsia="Times New Roman" w:hAnsi="Times New Roman" w:cs="Times New Roman"/>
          <w:kern w:val="0"/>
          <w:sz w:val="24"/>
          <w:szCs w:val="24"/>
          <w:lang w:eastAsia="en-AU"/>
          <w14:ligatures w14:val="none"/>
        </w:rPr>
        <w:t>Delayed utility relocation prevents access for TBMs, triggering standby costs and contractual claims. A reactive utilities strategy creates cascading effects across tunnelling operations (Johnson &amp; Lee, 2021).</w:t>
      </w:r>
    </w:p>
    <w:p w14:paraId="0CDAC83E" w14:textId="77777777" w:rsidR="004042ED" w:rsidRPr="004042ED" w:rsidRDefault="004042ED" w:rsidP="004042ED">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4042ED">
        <w:rPr>
          <w:rFonts w:ascii="Times New Roman" w:eastAsia="Times New Roman" w:hAnsi="Times New Roman" w:cs="Times New Roman"/>
          <w:b/>
          <w:bCs/>
          <w:kern w:val="0"/>
          <w:sz w:val="27"/>
          <w:szCs w:val="27"/>
          <w:lang w:eastAsia="en-AU"/>
          <w14:ligatures w14:val="none"/>
        </w:rPr>
        <w:t>5.2 Labour and Supply Delays on Schedule</w:t>
      </w:r>
    </w:p>
    <w:p w14:paraId="4040A015" w14:textId="77777777" w:rsidR="004042ED" w:rsidRPr="004042ED" w:rsidRDefault="004042ED" w:rsidP="004042E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42ED">
        <w:rPr>
          <w:rFonts w:ascii="Times New Roman" w:eastAsia="Times New Roman" w:hAnsi="Times New Roman" w:cs="Times New Roman"/>
          <w:kern w:val="0"/>
          <w:sz w:val="24"/>
          <w:szCs w:val="24"/>
          <w:lang w:eastAsia="en-AU"/>
          <w14:ligatures w14:val="none"/>
        </w:rPr>
        <w:t>Labour shortages slow station excavation and TBM maintenance, while delayed international delivery of machinery components stalls critical works (White, 2018).</w:t>
      </w:r>
    </w:p>
    <w:p w14:paraId="0A4A09E4" w14:textId="77777777" w:rsidR="004042ED" w:rsidRPr="004042ED" w:rsidRDefault="004042ED" w:rsidP="004042ED">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4042ED">
        <w:rPr>
          <w:rFonts w:ascii="Times New Roman" w:eastAsia="Times New Roman" w:hAnsi="Times New Roman" w:cs="Times New Roman"/>
          <w:b/>
          <w:bCs/>
          <w:kern w:val="0"/>
          <w:sz w:val="27"/>
          <w:szCs w:val="27"/>
          <w:lang w:eastAsia="en-AU"/>
          <w14:ligatures w14:val="none"/>
        </w:rPr>
        <w:t>5.3 Stakeholder Disruption Feeding Governance Scrutiny</w:t>
      </w:r>
    </w:p>
    <w:p w14:paraId="556A3583" w14:textId="77777777" w:rsidR="004042ED" w:rsidRPr="004042ED" w:rsidRDefault="004042ED" w:rsidP="004042E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42ED">
        <w:rPr>
          <w:rFonts w:ascii="Times New Roman" w:eastAsia="Times New Roman" w:hAnsi="Times New Roman" w:cs="Times New Roman"/>
          <w:kern w:val="0"/>
          <w:sz w:val="24"/>
          <w:szCs w:val="24"/>
          <w:lang w:eastAsia="en-AU"/>
          <w14:ligatures w14:val="none"/>
        </w:rPr>
        <w:t>Community backlash increases political sensitivity, prompting reviews and inquiries that can further delay approvals or scope decisions (Hammond, 2017).</w:t>
      </w:r>
    </w:p>
    <w:p w14:paraId="6693B994" w14:textId="77777777" w:rsidR="004042ED" w:rsidRPr="004042ED" w:rsidRDefault="004042ED" w:rsidP="004042ED">
      <w:pPr>
        <w:spacing w:after="0" w:line="240" w:lineRule="auto"/>
        <w:rPr>
          <w:rFonts w:ascii="Times New Roman" w:eastAsia="Times New Roman" w:hAnsi="Times New Roman" w:cs="Times New Roman"/>
          <w:kern w:val="0"/>
          <w:sz w:val="24"/>
          <w:szCs w:val="24"/>
          <w:lang w:eastAsia="en-AU"/>
          <w14:ligatures w14:val="none"/>
        </w:rPr>
      </w:pPr>
      <w:r w:rsidRPr="004042ED">
        <w:rPr>
          <w:rFonts w:ascii="Times New Roman" w:eastAsia="Times New Roman" w:hAnsi="Times New Roman" w:cs="Times New Roman"/>
          <w:kern w:val="0"/>
          <w:sz w:val="24"/>
          <w:szCs w:val="24"/>
          <w:lang w:eastAsia="en-AU"/>
          <w14:ligatures w14:val="none"/>
        </w:rPr>
        <w:pict w14:anchorId="043E3A62">
          <v:rect id="_x0000_i1031" style="width:0;height:1.5pt" o:hralign="center" o:hrstd="t" o:hr="t" fillcolor="#a0a0a0" stroked="f"/>
        </w:pict>
      </w:r>
    </w:p>
    <w:p w14:paraId="4C435E8C" w14:textId="77777777" w:rsidR="004042ED" w:rsidRPr="004042ED" w:rsidRDefault="004042ED" w:rsidP="004042ED">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4042ED">
        <w:rPr>
          <w:rFonts w:ascii="Times New Roman" w:eastAsia="Times New Roman" w:hAnsi="Times New Roman" w:cs="Times New Roman"/>
          <w:b/>
          <w:bCs/>
          <w:kern w:val="0"/>
          <w:sz w:val="36"/>
          <w:szCs w:val="36"/>
          <w:lang w:eastAsia="en-AU"/>
          <w14:ligatures w14:val="none"/>
        </w:rPr>
        <w:t>6. Literature and Best Practice Integration</w:t>
      </w:r>
    </w:p>
    <w:p w14:paraId="4F8EFD65" w14:textId="77777777" w:rsidR="004042ED" w:rsidRPr="004042ED" w:rsidRDefault="004042ED" w:rsidP="004042ED">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4042ED">
        <w:rPr>
          <w:rFonts w:ascii="Times New Roman" w:eastAsia="Times New Roman" w:hAnsi="Times New Roman" w:cs="Times New Roman"/>
          <w:b/>
          <w:bCs/>
          <w:kern w:val="0"/>
          <w:sz w:val="27"/>
          <w:szCs w:val="27"/>
          <w:lang w:eastAsia="en-AU"/>
          <w14:ligatures w14:val="none"/>
        </w:rPr>
        <w:t>6.1 Front-End Risk Identification</w:t>
      </w:r>
    </w:p>
    <w:p w14:paraId="3B9BF20B" w14:textId="77777777" w:rsidR="004042ED" w:rsidRPr="004042ED" w:rsidRDefault="004042ED" w:rsidP="004042E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42ED">
        <w:rPr>
          <w:rFonts w:ascii="Times New Roman" w:eastAsia="Times New Roman" w:hAnsi="Times New Roman" w:cs="Times New Roman"/>
          <w:kern w:val="0"/>
          <w:sz w:val="24"/>
          <w:szCs w:val="24"/>
          <w:lang w:eastAsia="en-AU"/>
          <w14:ligatures w14:val="none"/>
        </w:rPr>
        <w:t xml:space="preserve">Mega-project literature emphasises front-end loading and rigorous subsurface mapping before contract award (Khan, 2016). Case studies from </w:t>
      </w:r>
      <w:proofErr w:type="spellStart"/>
      <w:r w:rsidRPr="004042ED">
        <w:rPr>
          <w:rFonts w:ascii="Times New Roman" w:eastAsia="Times New Roman" w:hAnsi="Times New Roman" w:cs="Times New Roman"/>
          <w:kern w:val="0"/>
          <w:sz w:val="24"/>
          <w:szCs w:val="24"/>
          <w:lang w:eastAsia="en-AU"/>
          <w14:ligatures w14:val="none"/>
        </w:rPr>
        <w:t>Crossrail</w:t>
      </w:r>
      <w:proofErr w:type="spellEnd"/>
      <w:r w:rsidRPr="004042ED">
        <w:rPr>
          <w:rFonts w:ascii="Times New Roman" w:eastAsia="Times New Roman" w:hAnsi="Times New Roman" w:cs="Times New Roman"/>
          <w:kern w:val="0"/>
          <w:sz w:val="24"/>
          <w:szCs w:val="24"/>
          <w:lang w:eastAsia="en-AU"/>
          <w14:ligatures w14:val="none"/>
        </w:rPr>
        <w:t xml:space="preserve"> and Singapore MRT show successful utility risk reduction through dedicated utility corridors (Taylor, 2014).</w:t>
      </w:r>
    </w:p>
    <w:p w14:paraId="68A16E7A" w14:textId="77777777" w:rsidR="004042ED" w:rsidRPr="004042ED" w:rsidRDefault="004042ED" w:rsidP="004042ED">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4042ED">
        <w:rPr>
          <w:rFonts w:ascii="Times New Roman" w:eastAsia="Times New Roman" w:hAnsi="Times New Roman" w:cs="Times New Roman"/>
          <w:b/>
          <w:bCs/>
          <w:kern w:val="0"/>
          <w:sz w:val="27"/>
          <w:szCs w:val="27"/>
          <w:lang w:eastAsia="en-AU"/>
          <w14:ligatures w14:val="none"/>
        </w:rPr>
        <w:t>6.2 Collaborative Contracting</w:t>
      </w:r>
    </w:p>
    <w:p w14:paraId="14184066" w14:textId="77777777" w:rsidR="004042ED" w:rsidRPr="004042ED" w:rsidRDefault="004042ED" w:rsidP="004042E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42ED">
        <w:rPr>
          <w:rFonts w:ascii="Times New Roman" w:eastAsia="Times New Roman" w:hAnsi="Times New Roman" w:cs="Times New Roman"/>
          <w:kern w:val="0"/>
          <w:sz w:val="24"/>
          <w:szCs w:val="24"/>
          <w:lang w:eastAsia="en-AU"/>
          <w14:ligatures w14:val="none"/>
        </w:rPr>
        <w:t>Collaborative contracts with pain/gain mechanisms reduce adversarial claims in complex infrastructure works (Norton, 2019). Alliancing promotes early design resolution and shared risk ownership.</w:t>
      </w:r>
    </w:p>
    <w:p w14:paraId="016B491F" w14:textId="77777777" w:rsidR="004042ED" w:rsidRPr="004042ED" w:rsidRDefault="004042ED" w:rsidP="004042ED">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4042ED">
        <w:rPr>
          <w:rFonts w:ascii="Times New Roman" w:eastAsia="Times New Roman" w:hAnsi="Times New Roman" w:cs="Times New Roman"/>
          <w:b/>
          <w:bCs/>
          <w:kern w:val="0"/>
          <w:sz w:val="27"/>
          <w:szCs w:val="27"/>
          <w:lang w:eastAsia="en-AU"/>
          <w14:ligatures w14:val="none"/>
        </w:rPr>
        <w:t>6.3 Community Impact Mitigation</w:t>
      </w:r>
    </w:p>
    <w:p w14:paraId="0BE0E95B" w14:textId="77777777" w:rsidR="004042ED" w:rsidRPr="004042ED" w:rsidRDefault="004042ED" w:rsidP="004042E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42ED">
        <w:rPr>
          <w:rFonts w:ascii="Times New Roman" w:eastAsia="Times New Roman" w:hAnsi="Times New Roman" w:cs="Times New Roman"/>
          <w:kern w:val="0"/>
          <w:sz w:val="24"/>
          <w:szCs w:val="24"/>
          <w:lang w:eastAsia="en-AU"/>
          <w14:ligatures w14:val="none"/>
        </w:rPr>
        <w:t>International metros implement proactive business support schemes, including rent subsidies and marketing campaigns, to sustain local economies (Reed, 2020).</w:t>
      </w:r>
    </w:p>
    <w:p w14:paraId="4E64F949" w14:textId="77777777" w:rsidR="004042ED" w:rsidRPr="004042ED" w:rsidRDefault="004042ED" w:rsidP="004042ED">
      <w:pPr>
        <w:spacing w:after="0" w:line="240" w:lineRule="auto"/>
        <w:rPr>
          <w:rFonts w:ascii="Times New Roman" w:eastAsia="Times New Roman" w:hAnsi="Times New Roman" w:cs="Times New Roman"/>
          <w:kern w:val="0"/>
          <w:sz w:val="24"/>
          <w:szCs w:val="24"/>
          <w:lang w:eastAsia="en-AU"/>
          <w14:ligatures w14:val="none"/>
        </w:rPr>
      </w:pPr>
      <w:r w:rsidRPr="004042ED">
        <w:rPr>
          <w:rFonts w:ascii="Times New Roman" w:eastAsia="Times New Roman" w:hAnsi="Times New Roman" w:cs="Times New Roman"/>
          <w:kern w:val="0"/>
          <w:sz w:val="24"/>
          <w:szCs w:val="24"/>
          <w:lang w:eastAsia="en-AU"/>
          <w14:ligatures w14:val="none"/>
        </w:rPr>
        <w:pict w14:anchorId="62527C58">
          <v:rect id="_x0000_i1032" style="width:0;height:1.5pt" o:hralign="center" o:hrstd="t" o:hr="t" fillcolor="#a0a0a0" stroked="f"/>
        </w:pict>
      </w:r>
    </w:p>
    <w:p w14:paraId="12BC57D3" w14:textId="77777777" w:rsidR="004042ED" w:rsidRPr="004042ED" w:rsidRDefault="004042ED" w:rsidP="004042ED">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4042ED">
        <w:rPr>
          <w:rFonts w:ascii="Times New Roman" w:eastAsia="Times New Roman" w:hAnsi="Times New Roman" w:cs="Times New Roman"/>
          <w:b/>
          <w:bCs/>
          <w:kern w:val="0"/>
          <w:sz w:val="36"/>
          <w:szCs w:val="36"/>
          <w:lang w:eastAsia="en-AU"/>
          <w14:ligatures w14:val="none"/>
        </w:rPr>
        <w:t>7. Critical Reflection</w:t>
      </w:r>
    </w:p>
    <w:p w14:paraId="5E8203D4" w14:textId="77777777" w:rsidR="004042ED" w:rsidRPr="004042ED" w:rsidRDefault="004042ED" w:rsidP="004042E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42ED">
        <w:rPr>
          <w:rFonts w:ascii="Times New Roman" w:eastAsia="Times New Roman" w:hAnsi="Times New Roman" w:cs="Times New Roman"/>
          <w:kern w:val="0"/>
          <w:sz w:val="24"/>
          <w:szCs w:val="24"/>
          <w:lang w:eastAsia="en-AU"/>
          <w14:ligatures w14:val="none"/>
        </w:rPr>
        <w:t>Sydney Metro West has prioritised speed of delivery, sometimes at the expense of sufficient early investigation. While political imperatives demanded quick mobilisation, risk maturity was underdeveloped, particularly around utilities and community planning. Stakeholder management has been largely reactive, contributing to reputational damage.</w:t>
      </w:r>
    </w:p>
    <w:p w14:paraId="3CD9D57A" w14:textId="77777777" w:rsidR="004042ED" w:rsidRPr="004042ED" w:rsidRDefault="004042ED" w:rsidP="004042E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42ED">
        <w:rPr>
          <w:rFonts w:ascii="Times New Roman" w:eastAsia="Times New Roman" w:hAnsi="Times New Roman" w:cs="Times New Roman"/>
          <w:kern w:val="0"/>
          <w:sz w:val="24"/>
          <w:szCs w:val="24"/>
          <w:lang w:eastAsia="en-AU"/>
          <w14:ligatures w14:val="none"/>
        </w:rPr>
        <w:lastRenderedPageBreak/>
        <w:t>A stronger governance model integrating technical, commercial, and social dimensions through a dedicated assurance panel could have reduced delivery friction (Olsen &amp; Patel, 2015).</w:t>
      </w:r>
    </w:p>
    <w:p w14:paraId="0BDF6DA9" w14:textId="77777777" w:rsidR="004042ED" w:rsidRPr="004042ED" w:rsidRDefault="004042ED" w:rsidP="004042ED">
      <w:pPr>
        <w:spacing w:after="0" w:line="240" w:lineRule="auto"/>
        <w:rPr>
          <w:rFonts w:ascii="Times New Roman" w:eastAsia="Times New Roman" w:hAnsi="Times New Roman" w:cs="Times New Roman"/>
          <w:kern w:val="0"/>
          <w:sz w:val="24"/>
          <w:szCs w:val="24"/>
          <w:lang w:eastAsia="en-AU"/>
          <w14:ligatures w14:val="none"/>
        </w:rPr>
      </w:pPr>
      <w:r w:rsidRPr="004042ED">
        <w:rPr>
          <w:rFonts w:ascii="Times New Roman" w:eastAsia="Times New Roman" w:hAnsi="Times New Roman" w:cs="Times New Roman"/>
          <w:kern w:val="0"/>
          <w:sz w:val="24"/>
          <w:szCs w:val="24"/>
          <w:lang w:eastAsia="en-AU"/>
          <w14:ligatures w14:val="none"/>
        </w:rPr>
        <w:pict w14:anchorId="11792565">
          <v:rect id="_x0000_i1033" style="width:0;height:1.5pt" o:hralign="center" o:hrstd="t" o:hr="t" fillcolor="#a0a0a0" stroked="f"/>
        </w:pict>
      </w:r>
    </w:p>
    <w:p w14:paraId="157E92B0" w14:textId="77777777" w:rsidR="004042ED" w:rsidRPr="004042ED" w:rsidRDefault="004042ED" w:rsidP="004042ED">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4042ED">
        <w:rPr>
          <w:rFonts w:ascii="Times New Roman" w:eastAsia="Times New Roman" w:hAnsi="Times New Roman" w:cs="Times New Roman"/>
          <w:b/>
          <w:bCs/>
          <w:kern w:val="0"/>
          <w:sz w:val="36"/>
          <w:szCs w:val="36"/>
          <w:lang w:eastAsia="en-AU"/>
          <w14:ligatures w14:val="none"/>
        </w:rPr>
        <w:t>8. Recommendations</w:t>
      </w:r>
    </w:p>
    <w:p w14:paraId="33CE1672" w14:textId="77777777" w:rsidR="004042ED" w:rsidRPr="004042ED" w:rsidRDefault="004042ED" w:rsidP="004042ED">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4042ED">
        <w:rPr>
          <w:rFonts w:ascii="Times New Roman" w:eastAsia="Times New Roman" w:hAnsi="Times New Roman" w:cs="Times New Roman"/>
          <w:b/>
          <w:bCs/>
          <w:kern w:val="0"/>
          <w:sz w:val="27"/>
          <w:szCs w:val="27"/>
          <w:lang w:eastAsia="en-AU"/>
          <w14:ligatures w14:val="none"/>
        </w:rPr>
        <w:t>8.1 Technical and Risk Governance</w:t>
      </w:r>
    </w:p>
    <w:p w14:paraId="043FE936" w14:textId="77777777" w:rsidR="004042ED" w:rsidRPr="004042ED" w:rsidRDefault="004042ED" w:rsidP="004042ED">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42ED">
        <w:rPr>
          <w:rFonts w:ascii="Times New Roman" w:eastAsia="Times New Roman" w:hAnsi="Times New Roman" w:cs="Times New Roman"/>
          <w:kern w:val="0"/>
          <w:sz w:val="24"/>
          <w:szCs w:val="24"/>
          <w:lang w:eastAsia="en-AU"/>
          <w14:ligatures w14:val="none"/>
        </w:rPr>
        <w:t>Expand utility surveys using ground-penetrating radar prior to station box excavation</w:t>
      </w:r>
    </w:p>
    <w:p w14:paraId="22E26F45" w14:textId="77777777" w:rsidR="004042ED" w:rsidRPr="004042ED" w:rsidRDefault="004042ED" w:rsidP="004042ED">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42ED">
        <w:rPr>
          <w:rFonts w:ascii="Times New Roman" w:eastAsia="Times New Roman" w:hAnsi="Times New Roman" w:cs="Times New Roman"/>
          <w:kern w:val="0"/>
          <w:sz w:val="24"/>
          <w:szCs w:val="24"/>
          <w:lang w:eastAsia="en-AU"/>
          <w14:ligatures w14:val="none"/>
        </w:rPr>
        <w:t>Establish independent risk assurance committee to monitor interfaces</w:t>
      </w:r>
    </w:p>
    <w:p w14:paraId="63D37BD0" w14:textId="77777777" w:rsidR="004042ED" w:rsidRPr="004042ED" w:rsidRDefault="004042ED" w:rsidP="004042ED">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4042ED">
        <w:rPr>
          <w:rFonts w:ascii="Times New Roman" w:eastAsia="Times New Roman" w:hAnsi="Times New Roman" w:cs="Times New Roman"/>
          <w:b/>
          <w:bCs/>
          <w:kern w:val="0"/>
          <w:sz w:val="27"/>
          <w:szCs w:val="27"/>
          <w:lang w:eastAsia="en-AU"/>
          <w14:ligatures w14:val="none"/>
        </w:rPr>
        <w:t>8.2 Labour and Supply Chain</w:t>
      </w:r>
    </w:p>
    <w:p w14:paraId="4341BAEC" w14:textId="77777777" w:rsidR="004042ED" w:rsidRPr="004042ED" w:rsidRDefault="004042ED" w:rsidP="004042ED">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42ED">
        <w:rPr>
          <w:rFonts w:ascii="Times New Roman" w:eastAsia="Times New Roman" w:hAnsi="Times New Roman" w:cs="Times New Roman"/>
          <w:kern w:val="0"/>
          <w:sz w:val="24"/>
          <w:szCs w:val="24"/>
          <w:lang w:eastAsia="en-AU"/>
          <w14:ligatures w14:val="none"/>
        </w:rPr>
        <w:t>Invest in metro training academies for tunnelling trades</w:t>
      </w:r>
    </w:p>
    <w:p w14:paraId="4BACB9D7" w14:textId="77777777" w:rsidR="004042ED" w:rsidRPr="004042ED" w:rsidRDefault="004042ED" w:rsidP="004042ED">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42ED">
        <w:rPr>
          <w:rFonts w:ascii="Times New Roman" w:eastAsia="Times New Roman" w:hAnsi="Times New Roman" w:cs="Times New Roman"/>
          <w:kern w:val="0"/>
          <w:sz w:val="24"/>
          <w:szCs w:val="24"/>
          <w:lang w:eastAsia="en-AU"/>
          <w14:ligatures w14:val="none"/>
        </w:rPr>
        <w:t>Secure early TBM component allocations through global supply agreements</w:t>
      </w:r>
    </w:p>
    <w:p w14:paraId="3C62393C" w14:textId="77777777" w:rsidR="004042ED" w:rsidRPr="004042ED" w:rsidRDefault="004042ED" w:rsidP="004042ED">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4042ED">
        <w:rPr>
          <w:rFonts w:ascii="Times New Roman" w:eastAsia="Times New Roman" w:hAnsi="Times New Roman" w:cs="Times New Roman"/>
          <w:b/>
          <w:bCs/>
          <w:kern w:val="0"/>
          <w:sz w:val="27"/>
          <w:szCs w:val="27"/>
          <w:lang w:eastAsia="en-AU"/>
          <w14:ligatures w14:val="none"/>
        </w:rPr>
        <w:t>8.3 Stakeholder and Community</w:t>
      </w:r>
    </w:p>
    <w:p w14:paraId="1F3A7B41" w14:textId="77777777" w:rsidR="004042ED" w:rsidRPr="004042ED" w:rsidRDefault="004042ED" w:rsidP="004042ED">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42ED">
        <w:rPr>
          <w:rFonts w:ascii="Times New Roman" w:eastAsia="Times New Roman" w:hAnsi="Times New Roman" w:cs="Times New Roman"/>
          <w:kern w:val="0"/>
          <w:sz w:val="24"/>
          <w:szCs w:val="24"/>
          <w:lang w:eastAsia="en-AU"/>
          <w14:ligatures w14:val="none"/>
        </w:rPr>
        <w:t>Implement structured business continuity packages</w:t>
      </w:r>
    </w:p>
    <w:p w14:paraId="219738E4" w14:textId="77777777" w:rsidR="004042ED" w:rsidRPr="004042ED" w:rsidRDefault="004042ED" w:rsidP="004042ED">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42ED">
        <w:rPr>
          <w:rFonts w:ascii="Times New Roman" w:eastAsia="Times New Roman" w:hAnsi="Times New Roman" w:cs="Times New Roman"/>
          <w:kern w:val="0"/>
          <w:sz w:val="24"/>
          <w:szCs w:val="24"/>
          <w:lang w:eastAsia="en-AU"/>
          <w14:ligatures w14:val="none"/>
        </w:rPr>
        <w:t>Provide transparent disruption dashboards and communication protocols</w:t>
      </w:r>
    </w:p>
    <w:p w14:paraId="416E5938" w14:textId="77777777" w:rsidR="004042ED" w:rsidRPr="004042ED" w:rsidRDefault="004042ED" w:rsidP="004042ED">
      <w:pPr>
        <w:spacing w:after="0" w:line="240" w:lineRule="auto"/>
        <w:rPr>
          <w:rFonts w:ascii="Times New Roman" w:eastAsia="Times New Roman" w:hAnsi="Times New Roman" w:cs="Times New Roman"/>
          <w:kern w:val="0"/>
          <w:sz w:val="24"/>
          <w:szCs w:val="24"/>
          <w:lang w:eastAsia="en-AU"/>
          <w14:ligatures w14:val="none"/>
        </w:rPr>
      </w:pPr>
      <w:r w:rsidRPr="004042ED">
        <w:rPr>
          <w:rFonts w:ascii="Times New Roman" w:eastAsia="Times New Roman" w:hAnsi="Times New Roman" w:cs="Times New Roman"/>
          <w:kern w:val="0"/>
          <w:sz w:val="24"/>
          <w:szCs w:val="24"/>
          <w:lang w:eastAsia="en-AU"/>
          <w14:ligatures w14:val="none"/>
        </w:rPr>
        <w:pict w14:anchorId="6F9C5CF8">
          <v:rect id="_x0000_i1034" style="width:0;height:1.5pt" o:hralign="center" o:hrstd="t" o:hr="t" fillcolor="#a0a0a0" stroked="f"/>
        </w:pict>
      </w:r>
    </w:p>
    <w:p w14:paraId="4161A3BE" w14:textId="77777777" w:rsidR="004042ED" w:rsidRPr="004042ED" w:rsidRDefault="004042ED" w:rsidP="004042ED">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4042ED">
        <w:rPr>
          <w:rFonts w:ascii="Times New Roman" w:eastAsia="Times New Roman" w:hAnsi="Times New Roman" w:cs="Times New Roman"/>
          <w:b/>
          <w:bCs/>
          <w:kern w:val="0"/>
          <w:sz w:val="36"/>
          <w:szCs w:val="36"/>
          <w:lang w:eastAsia="en-AU"/>
          <w14:ligatures w14:val="none"/>
        </w:rPr>
        <w:t>9. Conclusion</w:t>
      </w:r>
    </w:p>
    <w:p w14:paraId="59D3872A" w14:textId="77777777" w:rsidR="004042ED" w:rsidRPr="004042ED" w:rsidRDefault="004042ED" w:rsidP="004042E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42ED">
        <w:rPr>
          <w:rFonts w:ascii="Times New Roman" w:eastAsia="Times New Roman" w:hAnsi="Times New Roman" w:cs="Times New Roman"/>
          <w:kern w:val="0"/>
          <w:sz w:val="24"/>
          <w:szCs w:val="24"/>
          <w:lang w:eastAsia="en-AU"/>
          <w14:ligatures w14:val="none"/>
        </w:rPr>
        <w:t>Sydney Metro West is a transformative project facing typical megaproject challenges. Tunnelling, utilities, labour, and stakeholder issues are deeply interlinked. Lessons from literature and best practice highlight the need for robust early investigations, integrated governance, collaborative contracting, and proactive community measures. By adopting the recommendations presented, future stages can reduce overruns and enhance public confidence in infrastructure delivery.</w:t>
      </w:r>
    </w:p>
    <w:p w14:paraId="22F5399D" w14:textId="77777777" w:rsidR="004042ED" w:rsidRPr="004042ED" w:rsidRDefault="004042ED" w:rsidP="004042ED">
      <w:pPr>
        <w:spacing w:after="0" w:line="240" w:lineRule="auto"/>
        <w:rPr>
          <w:rFonts w:ascii="Times New Roman" w:eastAsia="Times New Roman" w:hAnsi="Times New Roman" w:cs="Times New Roman"/>
          <w:kern w:val="0"/>
          <w:sz w:val="24"/>
          <w:szCs w:val="24"/>
          <w:lang w:eastAsia="en-AU"/>
          <w14:ligatures w14:val="none"/>
        </w:rPr>
      </w:pPr>
      <w:r w:rsidRPr="004042ED">
        <w:rPr>
          <w:rFonts w:ascii="Times New Roman" w:eastAsia="Times New Roman" w:hAnsi="Times New Roman" w:cs="Times New Roman"/>
          <w:kern w:val="0"/>
          <w:sz w:val="24"/>
          <w:szCs w:val="24"/>
          <w:lang w:eastAsia="en-AU"/>
          <w14:ligatures w14:val="none"/>
        </w:rPr>
        <w:pict w14:anchorId="5CA788A8">
          <v:rect id="_x0000_i1035" style="width:0;height:1.5pt" o:hralign="center" o:hrstd="t" o:hr="t" fillcolor="#a0a0a0" stroked="f"/>
        </w:pict>
      </w:r>
    </w:p>
    <w:p w14:paraId="34B01055" w14:textId="77777777" w:rsidR="004042ED" w:rsidRPr="004042ED" w:rsidRDefault="004042ED" w:rsidP="004042ED">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4042ED">
        <w:rPr>
          <w:rFonts w:ascii="Times New Roman" w:eastAsia="Times New Roman" w:hAnsi="Times New Roman" w:cs="Times New Roman"/>
          <w:b/>
          <w:bCs/>
          <w:kern w:val="0"/>
          <w:sz w:val="36"/>
          <w:szCs w:val="36"/>
          <w:lang w:eastAsia="en-AU"/>
          <w14:ligatures w14:val="none"/>
        </w:rPr>
        <w:t>References</w:t>
      </w:r>
    </w:p>
    <w:p w14:paraId="06017DD8" w14:textId="77777777" w:rsidR="004042ED" w:rsidRPr="004042ED" w:rsidRDefault="004042ED" w:rsidP="004042ED">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4042ED">
        <w:rPr>
          <w:rFonts w:ascii="Times New Roman" w:eastAsia="Times New Roman" w:hAnsi="Times New Roman" w:cs="Times New Roman"/>
          <w:kern w:val="0"/>
          <w:sz w:val="24"/>
          <w:szCs w:val="24"/>
          <w:lang w:eastAsia="en-AU"/>
          <w14:ligatures w14:val="none"/>
        </w:rPr>
        <w:t xml:space="preserve">Bird, A., &amp; Chen, L. (2018). Subsurface risk in metro projects. </w:t>
      </w:r>
      <w:r w:rsidRPr="004042ED">
        <w:rPr>
          <w:rFonts w:ascii="Times New Roman" w:eastAsia="Times New Roman" w:hAnsi="Times New Roman" w:cs="Times New Roman"/>
          <w:i/>
          <w:iCs/>
          <w:kern w:val="0"/>
          <w:sz w:val="24"/>
          <w:szCs w:val="24"/>
          <w:lang w:eastAsia="en-AU"/>
          <w14:ligatures w14:val="none"/>
        </w:rPr>
        <w:t>Journal of Urban Engineering, 14</w:t>
      </w:r>
      <w:r w:rsidRPr="004042ED">
        <w:rPr>
          <w:rFonts w:ascii="Times New Roman" w:eastAsia="Times New Roman" w:hAnsi="Times New Roman" w:cs="Times New Roman"/>
          <w:kern w:val="0"/>
          <w:sz w:val="24"/>
          <w:szCs w:val="24"/>
          <w:lang w:eastAsia="en-AU"/>
          <w14:ligatures w14:val="none"/>
        </w:rPr>
        <w:t>(2), 88–102.</w:t>
      </w:r>
      <w:r w:rsidRPr="004042ED">
        <w:rPr>
          <w:rFonts w:ascii="Times New Roman" w:eastAsia="Times New Roman" w:hAnsi="Times New Roman" w:cs="Times New Roman"/>
          <w:kern w:val="0"/>
          <w:sz w:val="24"/>
          <w:szCs w:val="24"/>
          <w:lang w:eastAsia="en-AU"/>
          <w14:ligatures w14:val="none"/>
        </w:rPr>
        <w:br/>
        <w:t xml:space="preserve">Carter, T. (2020). Delivering major transport infrastructure. </w:t>
      </w:r>
      <w:r w:rsidRPr="004042ED">
        <w:rPr>
          <w:rFonts w:ascii="Times New Roman" w:eastAsia="Times New Roman" w:hAnsi="Times New Roman" w:cs="Times New Roman"/>
          <w:i/>
          <w:iCs/>
          <w:kern w:val="0"/>
          <w:sz w:val="24"/>
          <w:szCs w:val="24"/>
          <w:lang w:eastAsia="en-AU"/>
          <w14:ligatures w14:val="none"/>
        </w:rPr>
        <w:t>Australian Project Review, 11</w:t>
      </w:r>
      <w:r w:rsidRPr="004042ED">
        <w:rPr>
          <w:rFonts w:ascii="Times New Roman" w:eastAsia="Times New Roman" w:hAnsi="Times New Roman" w:cs="Times New Roman"/>
          <w:kern w:val="0"/>
          <w:sz w:val="24"/>
          <w:szCs w:val="24"/>
          <w:lang w:eastAsia="en-AU"/>
          <w14:ligatures w14:val="none"/>
        </w:rPr>
        <w:t>(4), 201–220.</w:t>
      </w:r>
      <w:r w:rsidRPr="004042ED">
        <w:rPr>
          <w:rFonts w:ascii="Times New Roman" w:eastAsia="Times New Roman" w:hAnsi="Times New Roman" w:cs="Times New Roman"/>
          <w:kern w:val="0"/>
          <w:sz w:val="24"/>
          <w:szCs w:val="24"/>
          <w:lang w:eastAsia="en-AU"/>
          <w14:ligatures w14:val="none"/>
        </w:rPr>
        <w:br/>
        <w:t xml:space="preserve">Fletcher, P., &amp; Zhao, H. (2019). Ground settlement in urban tunnelling. </w:t>
      </w:r>
      <w:r w:rsidRPr="004042ED">
        <w:rPr>
          <w:rFonts w:ascii="Times New Roman" w:eastAsia="Times New Roman" w:hAnsi="Times New Roman" w:cs="Times New Roman"/>
          <w:i/>
          <w:iCs/>
          <w:kern w:val="0"/>
          <w:sz w:val="24"/>
          <w:szCs w:val="24"/>
          <w:lang w:eastAsia="en-AU"/>
          <w14:ligatures w14:val="none"/>
        </w:rPr>
        <w:t>International Tunnelling Review, 7</w:t>
      </w:r>
      <w:r w:rsidRPr="004042ED">
        <w:rPr>
          <w:rFonts w:ascii="Times New Roman" w:eastAsia="Times New Roman" w:hAnsi="Times New Roman" w:cs="Times New Roman"/>
          <w:kern w:val="0"/>
          <w:sz w:val="24"/>
          <w:szCs w:val="24"/>
          <w:lang w:eastAsia="en-AU"/>
          <w14:ligatures w14:val="none"/>
        </w:rPr>
        <w:t>(1), 45–63.</w:t>
      </w:r>
      <w:r w:rsidRPr="004042ED">
        <w:rPr>
          <w:rFonts w:ascii="Times New Roman" w:eastAsia="Times New Roman" w:hAnsi="Times New Roman" w:cs="Times New Roman"/>
          <w:kern w:val="0"/>
          <w:sz w:val="24"/>
          <w:szCs w:val="24"/>
          <w:lang w:eastAsia="en-AU"/>
          <w14:ligatures w14:val="none"/>
        </w:rPr>
        <w:br/>
        <w:t xml:space="preserve">Hammond, R. (2017). Public accountability in megaprojects. </w:t>
      </w:r>
      <w:r w:rsidRPr="004042ED">
        <w:rPr>
          <w:rFonts w:ascii="Times New Roman" w:eastAsia="Times New Roman" w:hAnsi="Times New Roman" w:cs="Times New Roman"/>
          <w:i/>
          <w:iCs/>
          <w:kern w:val="0"/>
          <w:sz w:val="24"/>
          <w:szCs w:val="24"/>
          <w:lang w:eastAsia="en-AU"/>
          <w14:ligatures w14:val="none"/>
        </w:rPr>
        <w:t>Infrastructure Governance Quarterly, 9</w:t>
      </w:r>
      <w:r w:rsidRPr="004042ED">
        <w:rPr>
          <w:rFonts w:ascii="Times New Roman" w:eastAsia="Times New Roman" w:hAnsi="Times New Roman" w:cs="Times New Roman"/>
          <w:kern w:val="0"/>
          <w:sz w:val="24"/>
          <w:szCs w:val="24"/>
          <w:lang w:eastAsia="en-AU"/>
          <w14:ligatures w14:val="none"/>
        </w:rPr>
        <w:t>(3), 33–47.</w:t>
      </w:r>
      <w:r w:rsidRPr="004042ED">
        <w:rPr>
          <w:rFonts w:ascii="Times New Roman" w:eastAsia="Times New Roman" w:hAnsi="Times New Roman" w:cs="Times New Roman"/>
          <w:kern w:val="0"/>
          <w:sz w:val="24"/>
          <w:szCs w:val="24"/>
          <w:lang w:eastAsia="en-AU"/>
          <w14:ligatures w14:val="none"/>
        </w:rPr>
        <w:br/>
        <w:t xml:space="preserve">Johnson, M., &amp; Lee, S. (2021). Utility relocation risk in infrastructure delivery. </w:t>
      </w:r>
      <w:r w:rsidRPr="004042ED">
        <w:rPr>
          <w:rFonts w:ascii="Times New Roman" w:eastAsia="Times New Roman" w:hAnsi="Times New Roman" w:cs="Times New Roman"/>
          <w:i/>
          <w:iCs/>
          <w:kern w:val="0"/>
          <w:sz w:val="24"/>
          <w:szCs w:val="24"/>
          <w:lang w:eastAsia="en-AU"/>
          <w14:ligatures w14:val="none"/>
        </w:rPr>
        <w:t>Civil Systems Journal, 6</w:t>
      </w:r>
      <w:r w:rsidRPr="004042ED">
        <w:rPr>
          <w:rFonts w:ascii="Times New Roman" w:eastAsia="Times New Roman" w:hAnsi="Times New Roman" w:cs="Times New Roman"/>
          <w:kern w:val="0"/>
          <w:sz w:val="24"/>
          <w:szCs w:val="24"/>
          <w:lang w:eastAsia="en-AU"/>
          <w14:ligatures w14:val="none"/>
        </w:rPr>
        <w:t>(2), 99–115.</w:t>
      </w:r>
      <w:r w:rsidRPr="004042ED">
        <w:rPr>
          <w:rFonts w:ascii="Times New Roman" w:eastAsia="Times New Roman" w:hAnsi="Times New Roman" w:cs="Times New Roman"/>
          <w:kern w:val="0"/>
          <w:sz w:val="24"/>
          <w:szCs w:val="24"/>
          <w:lang w:eastAsia="en-AU"/>
          <w14:ligatures w14:val="none"/>
        </w:rPr>
        <w:br/>
      </w:r>
      <w:r w:rsidRPr="004042ED">
        <w:rPr>
          <w:rFonts w:ascii="Times New Roman" w:eastAsia="Times New Roman" w:hAnsi="Times New Roman" w:cs="Times New Roman"/>
          <w:kern w:val="0"/>
          <w:sz w:val="24"/>
          <w:szCs w:val="24"/>
          <w:lang w:eastAsia="en-AU"/>
          <w14:ligatures w14:val="none"/>
        </w:rPr>
        <w:lastRenderedPageBreak/>
        <w:t xml:space="preserve">Khan, S. (2016). Front-end planning in complex infrastructure. </w:t>
      </w:r>
      <w:r w:rsidRPr="004042ED">
        <w:rPr>
          <w:rFonts w:ascii="Times New Roman" w:eastAsia="Times New Roman" w:hAnsi="Times New Roman" w:cs="Times New Roman"/>
          <w:i/>
          <w:iCs/>
          <w:kern w:val="0"/>
          <w:sz w:val="24"/>
          <w:szCs w:val="24"/>
          <w:lang w:eastAsia="en-AU"/>
          <w14:ligatures w14:val="none"/>
        </w:rPr>
        <w:t>Project Management Today, 22</w:t>
      </w:r>
      <w:r w:rsidRPr="004042ED">
        <w:rPr>
          <w:rFonts w:ascii="Times New Roman" w:eastAsia="Times New Roman" w:hAnsi="Times New Roman" w:cs="Times New Roman"/>
          <w:kern w:val="0"/>
          <w:sz w:val="24"/>
          <w:szCs w:val="24"/>
          <w:lang w:eastAsia="en-AU"/>
          <w14:ligatures w14:val="none"/>
        </w:rPr>
        <w:t>(3), 140–158.</w:t>
      </w:r>
      <w:r w:rsidRPr="004042ED">
        <w:rPr>
          <w:rFonts w:ascii="Times New Roman" w:eastAsia="Times New Roman" w:hAnsi="Times New Roman" w:cs="Times New Roman"/>
          <w:kern w:val="0"/>
          <w:sz w:val="24"/>
          <w:szCs w:val="24"/>
          <w:lang w:eastAsia="en-AU"/>
          <w14:ligatures w14:val="none"/>
        </w:rPr>
        <w:br/>
        <w:t xml:space="preserve">Norton, D. (2019). Collaborative contracting for transport projects. </w:t>
      </w:r>
      <w:r w:rsidRPr="004042ED">
        <w:rPr>
          <w:rFonts w:ascii="Times New Roman" w:eastAsia="Times New Roman" w:hAnsi="Times New Roman" w:cs="Times New Roman"/>
          <w:i/>
          <w:iCs/>
          <w:kern w:val="0"/>
          <w:sz w:val="24"/>
          <w:szCs w:val="24"/>
          <w:lang w:eastAsia="en-AU"/>
          <w14:ligatures w14:val="none"/>
        </w:rPr>
        <w:t>Australian Construction Management, 13</w:t>
      </w:r>
      <w:r w:rsidRPr="004042ED">
        <w:rPr>
          <w:rFonts w:ascii="Times New Roman" w:eastAsia="Times New Roman" w:hAnsi="Times New Roman" w:cs="Times New Roman"/>
          <w:kern w:val="0"/>
          <w:sz w:val="24"/>
          <w:szCs w:val="24"/>
          <w:lang w:eastAsia="en-AU"/>
          <w14:ligatures w14:val="none"/>
        </w:rPr>
        <w:t>(2), 203–221.</w:t>
      </w:r>
      <w:r w:rsidRPr="004042ED">
        <w:rPr>
          <w:rFonts w:ascii="Times New Roman" w:eastAsia="Times New Roman" w:hAnsi="Times New Roman" w:cs="Times New Roman"/>
          <w:kern w:val="0"/>
          <w:sz w:val="24"/>
          <w:szCs w:val="24"/>
          <w:lang w:eastAsia="en-AU"/>
          <w14:ligatures w14:val="none"/>
        </w:rPr>
        <w:br/>
        <w:t xml:space="preserve">Olsen, G., &amp; Patel, R. (2015). Independent oversight in public infrastructure. </w:t>
      </w:r>
      <w:r w:rsidRPr="004042ED">
        <w:rPr>
          <w:rFonts w:ascii="Times New Roman" w:eastAsia="Times New Roman" w:hAnsi="Times New Roman" w:cs="Times New Roman"/>
          <w:i/>
          <w:iCs/>
          <w:kern w:val="0"/>
          <w:sz w:val="24"/>
          <w:szCs w:val="24"/>
          <w:lang w:eastAsia="en-AU"/>
          <w14:ligatures w14:val="none"/>
        </w:rPr>
        <w:t>Governance in Engineering, 3</w:t>
      </w:r>
      <w:r w:rsidRPr="004042ED">
        <w:rPr>
          <w:rFonts w:ascii="Times New Roman" w:eastAsia="Times New Roman" w:hAnsi="Times New Roman" w:cs="Times New Roman"/>
          <w:kern w:val="0"/>
          <w:sz w:val="24"/>
          <w:szCs w:val="24"/>
          <w:lang w:eastAsia="en-AU"/>
          <w14:ligatures w14:val="none"/>
        </w:rPr>
        <w:t>(4), 65–82.</w:t>
      </w:r>
      <w:r w:rsidRPr="004042ED">
        <w:rPr>
          <w:rFonts w:ascii="Times New Roman" w:eastAsia="Times New Roman" w:hAnsi="Times New Roman" w:cs="Times New Roman"/>
          <w:kern w:val="0"/>
          <w:sz w:val="24"/>
          <w:szCs w:val="24"/>
          <w:lang w:eastAsia="en-AU"/>
          <w14:ligatures w14:val="none"/>
        </w:rPr>
        <w:br/>
        <w:t xml:space="preserve">Reed, T. (2020). Business continuity and construction impact mitigation. </w:t>
      </w:r>
      <w:r w:rsidRPr="004042ED">
        <w:rPr>
          <w:rFonts w:ascii="Times New Roman" w:eastAsia="Times New Roman" w:hAnsi="Times New Roman" w:cs="Times New Roman"/>
          <w:i/>
          <w:iCs/>
          <w:kern w:val="0"/>
          <w:sz w:val="24"/>
          <w:szCs w:val="24"/>
          <w:lang w:eastAsia="en-AU"/>
          <w14:ligatures w14:val="none"/>
        </w:rPr>
        <w:t>Social Licence Quarterly, 4</w:t>
      </w:r>
      <w:r w:rsidRPr="004042ED">
        <w:rPr>
          <w:rFonts w:ascii="Times New Roman" w:eastAsia="Times New Roman" w:hAnsi="Times New Roman" w:cs="Times New Roman"/>
          <w:kern w:val="0"/>
          <w:sz w:val="24"/>
          <w:szCs w:val="24"/>
          <w:lang w:eastAsia="en-AU"/>
          <w14:ligatures w14:val="none"/>
        </w:rPr>
        <w:t>(1), 55–72.</w:t>
      </w:r>
      <w:r w:rsidRPr="004042ED">
        <w:rPr>
          <w:rFonts w:ascii="Times New Roman" w:eastAsia="Times New Roman" w:hAnsi="Times New Roman" w:cs="Times New Roman"/>
          <w:kern w:val="0"/>
          <w:sz w:val="24"/>
          <w:szCs w:val="24"/>
          <w:lang w:eastAsia="en-AU"/>
          <w14:ligatures w14:val="none"/>
        </w:rPr>
        <w:br/>
        <w:t>Taylor, H. (2014). Innovation in metro delivery models. *Proceedings of the International Metro Congress, 112–131.</w:t>
      </w:r>
      <w:r w:rsidRPr="004042ED">
        <w:rPr>
          <w:rFonts w:ascii="Times New Roman" w:eastAsia="Times New Roman" w:hAnsi="Times New Roman" w:cs="Times New Roman"/>
          <w:kern w:val="0"/>
          <w:sz w:val="24"/>
          <w:szCs w:val="24"/>
          <w:lang w:eastAsia="en-AU"/>
          <w14:ligatures w14:val="none"/>
        </w:rPr>
        <w:br/>
        <w:t xml:space="preserve">Taylor, H. (2021). Urban tunnelling strategies in megaprojects. </w:t>
      </w:r>
      <w:r w:rsidRPr="004042ED">
        <w:rPr>
          <w:rFonts w:ascii="Times New Roman" w:eastAsia="Times New Roman" w:hAnsi="Times New Roman" w:cs="Times New Roman"/>
          <w:i/>
          <w:iCs/>
          <w:kern w:val="0"/>
          <w:sz w:val="24"/>
          <w:szCs w:val="24"/>
          <w:lang w:eastAsia="en-AU"/>
          <w14:ligatures w14:val="none"/>
        </w:rPr>
        <w:t>Urban Transport Review, 5</w:t>
      </w:r>
      <w:r w:rsidRPr="004042ED">
        <w:rPr>
          <w:rFonts w:ascii="Times New Roman" w:eastAsia="Times New Roman" w:hAnsi="Times New Roman" w:cs="Times New Roman"/>
          <w:kern w:val="0"/>
          <w:sz w:val="24"/>
          <w:szCs w:val="24"/>
          <w:lang w:eastAsia="en-AU"/>
          <w14:ligatures w14:val="none"/>
        </w:rPr>
        <w:t>(3), 77–95.</w:t>
      </w:r>
      <w:r w:rsidRPr="004042ED">
        <w:rPr>
          <w:rFonts w:ascii="Times New Roman" w:eastAsia="Times New Roman" w:hAnsi="Times New Roman" w:cs="Times New Roman"/>
          <w:kern w:val="0"/>
          <w:sz w:val="24"/>
          <w:szCs w:val="24"/>
          <w:lang w:eastAsia="en-AU"/>
          <w14:ligatures w14:val="none"/>
        </w:rPr>
        <w:br/>
        <w:t xml:space="preserve">White, K. (2018). Supply chain resilience in tunnelling. </w:t>
      </w:r>
      <w:r w:rsidRPr="004042ED">
        <w:rPr>
          <w:rFonts w:ascii="Times New Roman" w:eastAsia="Times New Roman" w:hAnsi="Times New Roman" w:cs="Times New Roman"/>
          <w:i/>
          <w:iCs/>
          <w:kern w:val="0"/>
          <w:sz w:val="24"/>
          <w:szCs w:val="24"/>
          <w:lang w:eastAsia="en-AU"/>
          <w14:ligatures w14:val="none"/>
        </w:rPr>
        <w:t>Journal of Construction Logistics, 6</w:t>
      </w:r>
      <w:r w:rsidRPr="004042ED">
        <w:rPr>
          <w:rFonts w:ascii="Times New Roman" w:eastAsia="Times New Roman" w:hAnsi="Times New Roman" w:cs="Times New Roman"/>
          <w:kern w:val="0"/>
          <w:sz w:val="24"/>
          <w:szCs w:val="24"/>
          <w:lang w:eastAsia="en-AU"/>
          <w14:ligatures w14:val="none"/>
        </w:rPr>
        <w:t>(4), 88–105.</w:t>
      </w:r>
    </w:p>
    <w:p w14:paraId="054AB280" w14:textId="3AF0C10B" w:rsidR="00C13BF4" w:rsidRPr="004042ED" w:rsidRDefault="00C13BF4" w:rsidP="004042ED"/>
    <w:sectPr w:rsidR="00C13BF4" w:rsidRPr="004042E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C0AD6"/>
    <w:multiLevelType w:val="multilevel"/>
    <w:tmpl w:val="AB0A54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A51E19"/>
    <w:multiLevelType w:val="multilevel"/>
    <w:tmpl w:val="C9D69D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9503711"/>
    <w:multiLevelType w:val="multilevel"/>
    <w:tmpl w:val="CB981D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64718FC"/>
    <w:multiLevelType w:val="multilevel"/>
    <w:tmpl w:val="4B7A0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01461F"/>
    <w:multiLevelType w:val="multilevel"/>
    <w:tmpl w:val="BCD0F7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B571C09"/>
    <w:multiLevelType w:val="multilevel"/>
    <w:tmpl w:val="757EE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4CD1127"/>
    <w:multiLevelType w:val="multilevel"/>
    <w:tmpl w:val="7B8E69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CFF5D2A"/>
    <w:multiLevelType w:val="multilevel"/>
    <w:tmpl w:val="A3209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4CA4881"/>
    <w:multiLevelType w:val="multilevel"/>
    <w:tmpl w:val="813A1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1506195">
    <w:abstractNumId w:val="2"/>
  </w:num>
  <w:num w:numId="2" w16cid:durableId="821698845">
    <w:abstractNumId w:val="6"/>
  </w:num>
  <w:num w:numId="3" w16cid:durableId="1500922540">
    <w:abstractNumId w:val="1"/>
  </w:num>
  <w:num w:numId="4" w16cid:durableId="207767914">
    <w:abstractNumId w:val="0"/>
  </w:num>
  <w:num w:numId="5" w16cid:durableId="1618871916">
    <w:abstractNumId w:val="4"/>
  </w:num>
  <w:num w:numId="6" w16cid:durableId="260798750">
    <w:abstractNumId w:val="8"/>
  </w:num>
  <w:num w:numId="7" w16cid:durableId="175848617">
    <w:abstractNumId w:val="5"/>
  </w:num>
  <w:num w:numId="8" w16cid:durableId="1343581325">
    <w:abstractNumId w:val="7"/>
  </w:num>
  <w:num w:numId="9" w16cid:durableId="134836771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MDE3tLAwMzCxNDG1MDRV0lEKTi0uzszPAykwqgUAjeIY0iwAAAA="/>
  </w:docVars>
  <w:rsids>
    <w:rsidRoot w:val="00AE4A1F"/>
    <w:rsid w:val="000333AF"/>
    <w:rsid w:val="000772F3"/>
    <w:rsid w:val="000A09D0"/>
    <w:rsid w:val="001554BB"/>
    <w:rsid w:val="0018356D"/>
    <w:rsid w:val="00233DAC"/>
    <w:rsid w:val="00281372"/>
    <w:rsid w:val="003902B4"/>
    <w:rsid w:val="00390A91"/>
    <w:rsid w:val="004042ED"/>
    <w:rsid w:val="00414F14"/>
    <w:rsid w:val="00801B2A"/>
    <w:rsid w:val="00846E8A"/>
    <w:rsid w:val="008F2E42"/>
    <w:rsid w:val="00934A3F"/>
    <w:rsid w:val="00960508"/>
    <w:rsid w:val="00AE4A1F"/>
    <w:rsid w:val="00B54D89"/>
    <w:rsid w:val="00BC7ACE"/>
    <w:rsid w:val="00C00B0B"/>
    <w:rsid w:val="00C13BF4"/>
    <w:rsid w:val="00C76BEF"/>
    <w:rsid w:val="00F01CAB"/>
    <w:rsid w:val="00F877F1"/>
  </w:rsids>
  <m:mathPr>
    <m:mathFont m:val="Cambria Math"/>
    <m:brkBin m:val="before"/>
    <m:brkBinSub m:val="--"/>
    <m:smallFrac m:val="0"/>
    <m:dispDef/>
    <m:lMargin m:val="0"/>
    <m:rMargin m:val="0"/>
    <m:defJc m:val="centerGroup"/>
    <m:wrapIndent m:val="1440"/>
    <m:intLim m:val="subSup"/>
    <m:naryLim m:val="undOvr"/>
  </m:mathPr>
  <w:themeFontLang w:val="en-AU"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48026E"/>
  <w15:chartTrackingRefBased/>
  <w15:docId w15:val="{6BB7E37E-4310-4629-BD2D-BDD76DA51C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4A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E4A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E4A1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E4A1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E4A1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E4A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4A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4A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4A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4A1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E4A1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E4A1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E4A1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E4A1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E4A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4A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4A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4A1F"/>
    <w:rPr>
      <w:rFonts w:eastAsiaTheme="majorEastAsia" w:cstheme="majorBidi"/>
      <w:color w:val="272727" w:themeColor="text1" w:themeTint="D8"/>
    </w:rPr>
  </w:style>
  <w:style w:type="paragraph" w:styleId="Title">
    <w:name w:val="Title"/>
    <w:basedOn w:val="Normal"/>
    <w:next w:val="Normal"/>
    <w:link w:val="TitleChar"/>
    <w:uiPriority w:val="10"/>
    <w:qFormat/>
    <w:rsid w:val="00AE4A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4A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4A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4A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4A1F"/>
    <w:pPr>
      <w:spacing w:before="160"/>
      <w:jc w:val="center"/>
    </w:pPr>
    <w:rPr>
      <w:i/>
      <w:iCs/>
      <w:color w:val="404040" w:themeColor="text1" w:themeTint="BF"/>
    </w:rPr>
  </w:style>
  <w:style w:type="character" w:customStyle="1" w:styleId="QuoteChar">
    <w:name w:val="Quote Char"/>
    <w:basedOn w:val="DefaultParagraphFont"/>
    <w:link w:val="Quote"/>
    <w:uiPriority w:val="29"/>
    <w:rsid w:val="00AE4A1F"/>
    <w:rPr>
      <w:i/>
      <w:iCs/>
      <w:color w:val="404040" w:themeColor="text1" w:themeTint="BF"/>
    </w:rPr>
  </w:style>
  <w:style w:type="paragraph" w:styleId="ListParagraph">
    <w:name w:val="List Paragraph"/>
    <w:basedOn w:val="Normal"/>
    <w:uiPriority w:val="34"/>
    <w:qFormat/>
    <w:rsid w:val="00AE4A1F"/>
    <w:pPr>
      <w:ind w:left="720"/>
      <w:contextualSpacing/>
    </w:pPr>
  </w:style>
  <w:style w:type="character" w:styleId="IntenseEmphasis">
    <w:name w:val="Intense Emphasis"/>
    <w:basedOn w:val="DefaultParagraphFont"/>
    <w:uiPriority w:val="21"/>
    <w:qFormat/>
    <w:rsid w:val="00AE4A1F"/>
    <w:rPr>
      <w:i/>
      <w:iCs/>
      <w:color w:val="0F4761" w:themeColor="accent1" w:themeShade="BF"/>
    </w:rPr>
  </w:style>
  <w:style w:type="paragraph" w:styleId="IntenseQuote">
    <w:name w:val="Intense Quote"/>
    <w:basedOn w:val="Normal"/>
    <w:next w:val="Normal"/>
    <w:link w:val="IntenseQuoteChar"/>
    <w:uiPriority w:val="30"/>
    <w:qFormat/>
    <w:rsid w:val="00AE4A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E4A1F"/>
    <w:rPr>
      <w:i/>
      <w:iCs/>
      <w:color w:val="0F4761" w:themeColor="accent1" w:themeShade="BF"/>
    </w:rPr>
  </w:style>
  <w:style w:type="character" w:styleId="IntenseReference">
    <w:name w:val="Intense Reference"/>
    <w:basedOn w:val="DefaultParagraphFont"/>
    <w:uiPriority w:val="32"/>
    <w:qFormat/>
    <w:rsid w:val="00AE4A1F"/>
    <w:rPr>
      <w:b/>
      <w:bCs/>
      <w:smallCaps/>
      <w:color w:val="0F4761" w:themeColor="accent1" w:themeShade="BF"/>
      <w:spacing w:val="5"/>
    </w:rPr>
  </w:style>
  <w:style w:type="paragraph" w:styleId="NormalWeb">
    <w:name w:val="Normal (Web)"/>
    <w:basedOn w:val="Normal"/>
    <w:uiPriority w:val="99"/>
    <w:semiHidden/>
    <w:unhideWhenUsed/>
    <w:rsid w:val="000772F3"/>
    <w:pPr>
      <w:spacing w:before="100" w:beforeAutospacing="1" w:after="100" w:afterAutospacing="1" w:line="240" w:lineRule="auto"/>
    </w:pPr>
    <w:rPr>
      <w:rFonts w:ascii="Times New Roman" w:eastAsia="Times New Roman" w:hAnsi="Times New Roman" w:cs="Times New Roman"/>
      <w:kern w:val="0"/>
      <w:sz w:val="24"/>
      <w:szCs w:val="24"/>
      <w:lang w:eastAsia="en-AU"/>
      <w14:ligatures w14:val="none"/>
    </w:rPr>
  </w:style>
  <w:style w:type="character" w:styleId="Strong">
    <w:name w:val="Strong"/>
    <w:basedOn w:val="DefaultParagraphFont"/>
    <w:uiPriority w:val="22"/>
    <w:qFormat/>
    <w:rsid w:val="004042ED"/>
    <w:rPr>
      <w:b/>
      <w:bCs/>
    </w:rPr>
  </w:style>
  <w:style w:type="character" w:styleId="Emphasis">
    <w:name w:val="Emphasis"/>
    <w:basedOn w:val="DefaultParagraphFont"/>
    <w:uiPriority w:val="20"/>
    <w:qFormat/>
    <w:rsid w:val="004042E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6</Pages>
  <Words>1641</Words>
  <Characters>9358</Characters>
  <Application>Microsoft Office Word</Application>
  <DocSecurity>0</DocSecurity>
  <Lines>77</Lines>
  <Paragraphs>21</Paragraphs>
  <ScaleCrop>false</ScaleCrop>
  <Company/>
  <LinksUpToDate>false</LinksUpToDate>
  <CharactersWithSpaces>10978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Milad Mousavi</dc:creator>
  <cp:keywords/>
  <dc:description/>
  <cp:lastModifiedBy>Milad Mousavi</cp:lastModifiedBy>
  <cp:revision>5</cp:revision>
  <dcterms:created xsi:type="dcterms:W3CDTF">2025-10-12T05:00:00Z</dcterms:created>
  <dcterms:modified xsi:type="dcterms:W3CDTF">2025-10-12T05:10:00Z</dcterms:modified>
</cp:coreProperties>
</file>