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F635" w14:textId="77777777" w:rsidR="00C34E2B" w:rsidRPr="00C34E2B" w:rsidRDefault="00C34E2B" w:rsidP="00C34E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34E2B">
        <w:rPr>
          <w:rFonts w:ascii="Times New Roman" w:eastAsia="Times New Roman" w:hAnsi="Times New Roman" w:cs="Times New Roman"/>
          <w:b/>
          <w:bCs/>
          <w:kern w:val="36"/>
          <w:sz w:val="48"/>
          <w:szCs w:val="48"/>
          <w:lang w:eastAsia="en-AU"/>
          <w14:ligatures w14:val="none"/>
        </w:rPr>
        <w:t>CVEN9723 Group Report</w:t>
      </w:r>
    </w:p>
    <w:p w14:paraId="1FAD1550" w14:textId="0AD74FB1"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Grand Challenges in the Australian Construction Industry</w:t>
      </w:r>
      <w:r w:rsidRPr="00C34E2B">
        <w:rPr>
          <w:rFonts w:ascii="Times New Roman" w:eastAsia="Times New Roman" w:hAnsi="Times New Roman" w:cs="Times New Roman"/>
          <w:kern w:val="0"/>
          <w:sz w:val="24"/>
          <w:szCs w:val="24"/>
          <w:lang w:eastAsia="en-AU"/>
          <w14:ligatures w14:val="none"/>
        </w:rPr>
        <w:br/>
      </w:r>
      <w:r w:rsidRPr="00C34E2B">
        <w:rPr>
          <w:rFonts w:ascii="Times New Roman" w:eastAsia="Times New Roman" w:hAnsi="Times New Roman" w:cs="Times New Roman"/>
          <w:b/>
          <w:bCs/>
          <w:kern w:val="0"/>
          <w:sz w:val="24"/>
          <w:szCs w:val="24"/>
          <w:lang w:eastAsia="en-AU"/>
          <w14:ligatures w14:val="none"/>
        </w:rPr>
        <w:t>Case study:</w:t>
      </w:r>
      <w:r w:rsidRPr="00C34E2B">
        <w:rPr>
          <w:rFonts w:ascii="Times New Roman" w:eastAsia="Times New Roman" w:hAnsi="Times New Roman" w:cs="Times New Roman"/>
          <w:kern w:val="0"/>
          <w:sz w:val="24"/>
          <w:szCs w:val="24"/>
          <w:lang w:eastAsia="en-AU"/>
          <w14:ligatures w14:val="none"/>
        </w:rPr>
        <w:t xml:space="preserve"> Snowy 2.0 Pumped Hydro Project</w:t>
      </w:r>
      <w:r w:rsidRPr="00C34E2B">
        <w:rPr>
          <w:rFonts w:ascii="Times New Roman" w:eastAsia="Times New Roman" w:hAnsi="Times New Roman" w:cs="Times New Roman"/>
          <w:kern w:val="0"/>
          <w:sz w:val="24"/>
          <w:szCs w:val="24"/>
          <w:lang w:eastAsia="en-AU"/>
          <w14:ligatures w14:val="none"/>
        </w:rPr>
        <w:br/>
      </w:r>
      <w:r w:rsidRPr="00C34E2B">
        <w:rPr>
          <w:rFonts w:ascii="Times New Roman" w:eastAsia="Times New Roman" w:hAnsi="Times New Roman" w:cs="Times New Roman"/>
          <w:b/>
          <w:bCs/>
          <w:kern w:val="0"/>
          <w:sz w:val="24"/>
          <w:szCs w:val="24"/>
          <w:lang w:eastAsia="en-AU"/>
          <w14:ligatures w14:val="none"/>
        </w:rPr>
        <w:t>Term:</w:t>
      </w:r>
      <w:r w:rsidRPr="00C34E2B">
        <w:rPr>
          <w:rFonts w:ascii="Times New Roman" w:eastAsia="Times New Roman" w:hAnsi="Times New Roman" w:cs="Times New Roman"/>
          <w:kern w:val="0"/>
          <w:sz w:val="24"/>
          <w:szCs w:val="24"/>
          <w:lang w:eastAsia="en-AU"/>
          <w14:ligatures w14:val="none"/>
        </w:rPr>
        <w:t xml:space="preserve"> T3 2024</w:t>
      </w:r>
      <w:r w:rsidRPr="00C34E2B">
        <w:rPr>
          <w:rFonts w:ascii="Times New Roman" w:eastAsia="Times New Roman" w:hAnsi="Times New Roman" w:cs="Times New Roman"/>
          <w:kern w:val="0"/>
          <w:sz w:val="24"/>
          <w:szCs w:val="24"/>
          <w:lang w:eastAsia="en-AU"/>
          <w14:ligatures w14:val="none"/>
        </w:rPr>
        <w:br/>
      </w:r>
    </w:p>
    <w:p w14:paraId="4E177188"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D355F5B">
          <v:rect id="_x0000_i1025" style="width:0;height:1.5pt" o:hralign="center" o:hrstd="t" o:hr="t" fillcolor="#a0a0a0" stroked="f"/>
        </w:pict>
      </w:r>
    </w:p>
    <w:p w14:paraId="746B5594" w14:textId="77777777"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Executive summary</w:t>
      </w:r>
    </w:p>
    <w:p w14:paraId="54BF138A"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Snowy 2.0 is a nationally significant energy storage project that aims to connect two existing Snowy Scheme reservoirs with long headrace and tailrace tunnels, a power station cavern, and reversible pump-turbines to deliver multi-hour storage and firming capacity to the National Electricity Market. The project’s strategic value is clear. Its delivery, however, has been affected by compounding grand challenges that typify complex Australian megaprojects in remote environments. The most salient challenges include optimistic early definitions, substantial geotechnical uncertainty, tunnelling plant reliability issues, supply chain and inflation pressures, skills availability, environmental and approvals interfaces, and the system integration complexity of a first-of-type pumped hydro expansion at this scale in Australia. Recent public reporting indicates further cost pressure and funding needs, which underscores the scale of the delivery challenge and the importance of disciplined governance, risk management, and market-ready contracting (ABC News, 3 October 2025). (</w:t>
      </w:r>
      <w:hyperlink r:id="rId5" w:tooltip="$12 billion Snowy 2.0 project faces further cost blowouts" w:history="1">
        <w:r w:rsidRPr="00C34E2B">
          <w:rPr>
            <w:rFonts w:ascii="Times New Roman" w:eastAsia="Times New Roman" w:hAnsi="Times New Roman" w:cs="Times New Roman"/>
            <w:color w:val="0000FF"/>
            <w:kern w:val="0"/>
            <w:sz w:val="24"/>
            <w:szCs w:val="24"/>
            <w:u w:val="single"/>
            <w:lang w:eastAsia="en-AU"/>
            <w14:ligatures w14:val="none"/>
          </w:rPr>
          <w:t>ABC</w:t>
        </w:r>
      </w:hyperlink>
      <w:r w:rsidRPr="00C34E2B">
        <w:rPr>
          <w:rFonts w:ascii="Times New Roman" w:eastAsia="Times New Roman" w:hAnsi="Times New Roman" w:cs="Times New Roman"/>
          <w:kern w:val="0"/>
          <w:sz w:val="24"/>
          <w:szCs w:val="24"/>
          <w:lang w:eastAsia="en-AU"/>
          <w14:ligatures w14:val="none"/>
        </w:rPr>
        <w:t>)</w:t>
      </w:r>
    </w:p>
    <w:p w14:paraId="415D69E1"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This report provides an integrated analysis of root causes and their interconnections, a review of relevant local and international best practice for complex programs, and a set of practical recommendations covering front-end loading, progressive definition and assurance, geotechnical risk treatment, delivery model alignment, digital engineering, supply chain strategy, and workforce development. The recommendations are designed to be directly actionable on Snowy 2.0 and transferable to other Australian energy and transport megaprojects, while meeting the structure and professional standard required by CVEN9723. </w:t>
      </w:r>
    </w:p>
    <w:p w14:paraId="37B3A0ED"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97EE84">
          <v:rect id="_x0000_i1026" style="width:0;height:1.5pt" o:hralign="center" o:hrstd="t" o:hr="t" fillcolor="#a0a0a0" stroked="f"/>
        </w:pict>
      </w:r>
    </w:p>
    <w:p w14:paraId="013162D1" w14:textId="740B6316"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Introduction and case background</w:t>
      </w:r>
    </w:p>
    <w:p w14:paraId="5EA8A0AC"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1.1 Purpose and strategic context</w:t>
      </w:r>
    </w:p>
    <w:p w14:paraId="0628E1E5"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Snowy 2.0 is intended to provide large-scale, flexible, and dispatchable storage to support renewable generation. By pumping during low price periods and generating during peaks, the project contributes to system reliability and emissions reduction. The scope includes multiple long tunnels, an underground power station cavern, high voltage connection works, spillway and surge shaft structures, and extensive temporary works and logistics. Delivery occurs in alpine terrain with sensitive environmental values, severe weather constraints, and long supply lines to specialised fabrication. These features concentrate risk in tunnelling and system integration, similar in nature to complex underground transport programs, although the energy context introduces additional grid and market interfaces.</w:t>
      </w:r>
    </w:p>
    <w:p w14:paraId="696ED359"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lastRenderedPageBreak/>
        <w:t>1.2 Why this case illustrates grand challenges</w:t>
      </w:r>
    </w:p>
    <w:p w14:paraId="5BAEF045"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Snowy 2.0 brings together remote civil construction, large mechanical and electrical systems, high consequence geotechnical risk, and intensive environmental and heritage obligations. Recent public commentary has highlighted significant cost escalations and the need for additional funding, which aligns with global evidence on large programmes that often overrun due to early optimism and under-specified risks. The independent lessons literature for government megaprojects highlights recurrent failure modes that are visible here, including weak front-end loading, fragmented governance, and insufficient progressive assurance (National Audit Office 2020; UK Parliament Public Accounts Committee 2023). (</w:t>
      </w:r>
      <w:hyperlink r:id="rId6" w:tooltip="Lessons learned from Major Programmes - National Audit Office" w:history="1">
        <w:r w:rsidRPr="00C34E2B">
          <w:rPr>
            <w:rFonts w:ascii="Times New Roman" w:eastAsia="Times New Roman" w:hAnsi="Times New Roman" w:cs="Times New Roman"/>
            <w:color w:val="0000FF"/>
            <w:kern w:val="0"/>
            <w:sz w:val="24"/>
            <w:szCs w:val="24"/>
            <w:u w:val="single"/>
            <w:lang w:eastAsia="en-AU"/>
            <w14:ligatures w14:val="none"/>
          </w:rPr>
          <w:t>National Audit Office (NAO)</w:t>
        </w:r>
      </w:hyperlink>
      <w:r w:rsidRPr="00C34E2B">
        <w:rPr>
          <w:rFonts w:ascii="Times New Roman" w:eastAsia="Times New Roman" w:hAnsi="Times New Roman" w:cs="Times New Roman"/>
          <w:kern w:val="0"/>
          <w:sz w:val="24"/>
          <w:szCs w:val="24"/>
          <w:lang w:eastAsia="en-AU"/>
          <w14:ligatures w14:val="none"/>
        </w:rPr>
        <w:t>)</w:t>
      </w:r>
    </w:p>
    <w:p w14:paraId="61447955"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6A60A3B">
          <v:rect id="_x0000_i1027" style="width:0;height:1.5pt" o:hralign="center" o:hrstd="t" o:hr="t" fillcolor="#a0a0a0" stroked="f"/>
        </w:pict>
      </w:r>
    </w:p>
    <w:p w14:paraId="1AEF8BCC" w14:textId="73E532DB"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Identified grand challenges</w:t>
      </w:r>
    </w:p>
    <w:p w14:paraId="72D2C362"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2.1 Geotechnical uncertainty and tunnelling productivity</w:t>
      </w:r>
    </w:p>
    <w:p w14:paraId="1A9E823C"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Long water tunnels in complex alpine geology create high uncertainty around rock mass conditions, faulting, and groundwater. Tunnel boring machine performance, cutter wear, and slurry management are highly sensitive to local conditions. Incomplete data at the time of final investment often forces optimistic assumptions about advance rates and support regimes, which flow into unrealistic schedules. Where difficult ground is encountered, productivity deteriorates and reliability issues compound.</w:t>
      </w:r>
    </w:p>
    <w:p w14:paraId="4DF7068C"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2.2 Plant reliability and logistics for mega TBMs</w:t>
      </w:r>
    </w:p>
    <w:p w14:paraId="18C2FF08"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High power TBMs working in abrasive or blocky ground require careful maintenance windows, specialist spares, and experienced crews. Alpine access, limited hardstand, and lengthy supply chains for major components extend recovery times. Any unplanned stoppage quickly erodes schedule float, particularly where several headings are interdependent.</w:t>
      </w:r>
    </w:p>
    <w:p w14:paraId="0BBE850A"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2.3 Supply chain stress, inflation, and procurement timing</w:t>
      </w:r>
    </w:p>
    <w:p w14:paraId="27028DC7"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Megaprojects launched during a heated construction market and global supply chain disruptions face price escalation for plant, steel, electrical equipment, and precast segments. Long-lead items such as pump-turbine components, transformers, and switchgear interact with tunnel progress, which raises the risk of out-of-sequence delivery and costly storage or re-work if the design baseline moves.</w:t>
      </w:r>
    </w:p>
    <w:p w14:paraId="2805C72A"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2.4 Workforce availability and specialist competencies</w:t>
      </w:r>
    </w:p>
    <w:p w14:paraId="00B64EC2"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Australia’s skills base for large underground works and pumped hydro electromechanical installation is finite. Competing </w:t>
      </w:r>
      <w:proofErr w:type="spellStart"/>
      <w:r w:rsidRPr="00C34E2B">
        <w:rPr>
          <w:rFonts w:ascii="Times New Roman" w:eastAsia="Times New Roman" w:hAnsi="Times New Roman" w:cs="Times New Roman"/>
          <w:kern w:val="0"/>
          <w:sz w:val="24"/>
          <w:szCs w:val="24"/>
          <w:lang w:eastAsia="en-AU"/>
          <w14:ligatures w14:val="none"/>
        </w:rPr>
        <w:t>megaprograms</w:t>
      </w:r>
      <w:proofErr w:type="spellEnd"/>
      <w:r w:rsidRPr="00C34E2B">
        <w:rPr>
          <w:rFonts w:ascii="Times New Roman" w:eastAsia="Times New Roman" w:hAnsi="Times New Roman" w:cs="Times New Roman"/>
          <w:kern w:val="0"/>
          <w:sz w:val="24"/>
          <w:szCs w:val="24"/>
          <w:lang w:eastAsia="en-AU"/>
          <w14:ligatures w14:val="none"/>
        </w:rPr>
        <w:t xml:space="preserve"> in transport and energy intensify competition for supervisors, geotechnical engineers, shift fitters, and high voltage technicians. Labour constraints slow recovery after delays and drive higher indirect costs.</w:t>
      </w:r>
    </w:p>
    <w:p w14:paraId="6CF81A4D"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2.5 Environmental, heritage, and approvals interfaces</w:t>
      </w:r>
    </w:p>
    <w:p w14:paraId="0515F42A"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lastRenderedPageBreak/>
        <w:t>Works traverse national park environments and heritage landscapes. This raises the bar for sediment control, spoil placement, fauna management, and rehabilitation. Seasonal constraints compress available work windows. Any non-compliance can trigger additional controls that further reduce productivity.</w:t>
      </w:r>
    </w:p>
    <w:p w14:paraId="36449566"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2.6 Grid integration and system commissioning</w:t>
      </w:r>
    </w:p>
    <w:p w14:paraId="00242EFE"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Unlike a stand-alone civil project, Snowy 2.0 must achieve strict performance across electrical protection, control systems, and integration with market operations. System commissioning risk is material, since underground hydraulic transients and electromechanical response must meet demanding ramping and stability parameters.</w:t>
      </w:r>
    </w:p>
    <w:p w14:paraId="072B7DF3"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2.7 Portfolio-level optimism and fragmented assurance</w:t>
      </w:r>
    </w:p>
    <w:p w14:paraId="2A8B852F"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Evidence from major programmes shows that early business cases often combine over-estimated benefits with under-estimated risk, and that assurance can prioritise compliance over real-world deliverability. This pattern, observed across government programmes internationally, leads to late resets rather than managed adaptation (National Audit Office 2020). (</w:t>
      </w:r>
      <w:hyperlink r:id="rId7" w:tooltip="Lessons learned from Major Programmes - National Audit Office" w:history="1">
        <w:r w:rsidRPr="00C34E2B">
          <w:rPr>
            <w:rFonts w:ascii="Times New Roman" w:eastAsia="Times New Roman" w:hAnsi="Times New Roman" w:cs="Times New Roman"/>
            <w:color w:val="0000FF"/>
            <w:kern w:val="0"/>
            <w:sz w:val="24"/>
            <w:szCs w:val="24"/>
            <w:u w:val="single"/>
            <w:lang w:eastAsia="en-AU"/>
            <w14:ligatures w14:val="none"/>
          </w:rPr>
          <w:t>National Audit Office (NAO)</w:t>
        </w:r>
      </w:hyperlink>
      <w:r w:rsidRPr="00C34E2B">
        <w:rPr>
          <w:rFonts w:ascii="Times New Roman" w:eastAsia="Times New Roman" w:hAnsi="Times New Roman" w:cs="Times New Roman"/>
          <w:kern w:val="0"/>
          <w:sz w:val="24"/>
          <w:szCs w:val="24"/>
          <w:lang w:eastAsia="en-AU"/>
          <w14:ligatures w14:val="none"/>
        </w:rPr>
        <w:t>)</w:t>
      </w:r>
    </w:p>
    <w:p w14:paraId="45811CE1"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AE34FD4">
          <v:rect id="_x0000_i1028" style="width:0;height:1.5pt" o:hralign="center" o:hrstd="t" o:hr="t" fillcolor="#a0a0a0" stroked="f"/>
        </w:pict>
      </w:r>
    </w:p>
    <w:p w14:paraId="053DB2E7" w14:textId="3ADD031B"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Root causes and interconnections</w:t>
      </w:r>
    </w:p>
    <w:p w14:paraId="2B050AE8"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3.1 Incomplete front-end definition</w:t>
      </w:r>
    </w:p>
    <w:p w14:paraId="7B802897"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Limited borehole coverage over long tunnel alignments, preliminary hydrogeological modelling, and provisional construction logistics often leave critical variables unresolved at investment decision. These gaps are then pushed into detailed design or construction, where change is slower and more expensive.</w:t>
      </w:r>
    </w:p>
    <w:p w14:paraId="7EA21F8A"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3.2 Contracting misalignment and risk transfer</w:t>
      </w:r>
    </w:p>
    <w:p w14:paraId="2CA0E68C"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Standard risk transfer to a delivery consortium is ineffective where key risks are inherently uncontrollable or unquantifiable at tender. If ground risk is transferred without adequate data, disputes over time, cost, and latent conditions proliferate. Interfaces between civil tunnelling and electromechanical installation can be blurred if packaging does not align with system boundaries.</w:t>
      </w:r>
    </w:p>
    <w:p w14:paraId="33B9549D"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3.3 Weak progressive assurance and decision discipline</w:t>
      </w:r>
    </w:p>
    <w:p w14:paraId="67EFD703"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Assurance that checks documents rather than physical readiness allows mobilisation before utilities, access, environment, and supply chain pre-conditions are met. Leading practice is to use readiness gates tied to evidence of risk burn-down rather than calendar dates (NAO 2020; Infrastructure Australia 2021). (</w:t>
      </w:r>
      <w:hyperlink r:id="rId8" w:tooltip="Lessons learned from Major Programmes - National Audit Office" w:history="1">
        <w:r w:rsidRPr="00C34E2B">
          <w:rPr>
            <w:rFonts w:ascii="Times New Roman" w:eastAsia="Times New Roman" w:hAnsi="Times New Roman" w:cs="Times New Roman"/>
            <w:color w:val="0000FF"/>
            <w:kern w:val="0"/>
            <w:sz w:val="24"/>
            <w:szCs w:val="24"/>
            <w:u w:val="single"/>
            <w:lang w:eastAsia="en-AU"/>
            <w14:ligatures w14:val="none"/>
          </w:rPr>
          <w:t>National Audit Office (NAO)</w:t>
        </w:r>
      </w:hyperlink>
      <w:r w:rsidRPr="00C34E2B">
        <w:rPr>
          <w:rFonts w:ascii="Times New Roman" w:eastAsia="Times New Roman" w:hAnsi="Times New Roman" w:cs="Times New Roman"/>
          <w:kern w:val="0"/>
          <w:sz w:val="24"/>
          <w:szCs w:val="24"/>
          <w:lang w:eastAsia="en-AU"/>
          <w14:ligatures w14:val="none"/>
        </w:rPr>
        <w:t>)</w:t>
      </w:r>
    </w:p>
    <w:p w14:paraId="77186EF8"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3.4 Behavioural factors</w:t>
      </w:r>
    </w:p>
    <w:p w14:paraId="7F661AF9"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lastRenderedPageBreak/>
        <w:t>Sustained high-pressure rosters, remote living conditions, and repeated re-planning cycles can produce fatigue and decision drift. Knowledge sharing across shifts and headings is hard when schedules are volatile, which drives quality escapes and re-work.</w:t>
      </w:r>
    </w:p>
    <w:p w14:paraId="0B25BE78"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7A3C0E">
          <v:rect id="_x0000_i1029" style="width:0;height:1.5pt" o:hralign="center" o:hrstd="t" o:hr="t" fillcolor="#a0a0a0" stroked="f"/>
        </w:pict>
      </w:r>
    </w:p>
    <w:p w14:paraId="4208A662" w14:textId="4BCCECEA"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Review of best practice: local and international</w:t>
      </w:r>
    </w:p>
    <w:p w14:paraId="60E3DE8F"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4.1 Front-loaded definition and enablement</w:t>
      </w:r>
    </w:p>
    <w:p w14:paraId="20DDEF70"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Infrastructure Australia’s Assessment Framework recommends strong front-end loading, with clear problem definition, options analysis, and robust risk quantification before locking delivery baselines (Infrastructure Australia 2021). For complex underground works, this translates to additional geotechnical investigation, pilot headings in difficult zones, and early works that validate logistics and spoil handling. (</w:t>
      </w:r>
      <w:hyperlink r:id="rId9" w:tooltip="Overview - Infrastructure Australia" w:history="1">
        <w:r w:rsidRPr="00C34E2B">
          <w:rPr>
            <w:rFonts w:ascii="Times New Roman" w:eastAsia="Times New Roman" w:hAnsi="Times New Roman" w:cs="Times New Roman"/>
            <w:color w:val="0000FF"/>
            <w:kern w:val="0"/>
            <w:sz w:val="24"/>
            <w:szCs w:val="24"/>
            <w:u w:val="single"/>
            <w:lang w:eastAsia="en-AU"/>
            <w14:ligatures w14:val="none"/>
          </w:rPr>
          <w:t>Infrastructure Australia</w:t>
        </w:r>
      </w:hyperlink>
      <w:r w:rsidRPr="00C34E2B">
        <w:rPr>
          <w:rFonts w:ascii="Times New Roman" w:eastAsia="Times New Roman" w:hAnsi="Times New Roman" w:cs="Times New Roman"/>
          <w:kern w:val="0"/>
          <w:sz w:val="24"/>
          <w:szCs w:val="24"/>
          <w:lang w:eastAsia="en-AU"/>
          <w14:ligatures w14:val="none"/>
        </w:rPr>
        <w:t>)</w:t>
      </w:r>
    </w:p>
    <w:p w14:paraId="7D376D35"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4.2 Progressive definition with evidence-based gates</w:t>
      </w:r>
    </w:p>
    <w:p w14:paraId="52657C12"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Major programme lessons emphasise progressive commitment, where scope is confirmed in stages and gates require hard evidence of constructability, environment readiness, and supply chain capacity. This reduces late resets and allows controlled adaptation as information improves (NAO 2020; UK PAC 2023). (</w:t>
      </w:r>
      <w:hyperlink r:id="rId10" w:tooltip="Lessons learned from Major Programmes - National Audit Office" w:history="1">
        <w:r w:rsidRPr="00C34E2B">
          <w:rPr>
            <w:rFonts w:ascii="Times New Roman" w:eastAsia="Times New Roman" w:hAnsi="Times New Roman" w:cs="Times New Roman"/>
            <w:color w:val="0000FF"/>
            <w:kern w:val="0"/>
            <w:sz w:val="24"/>
            <w:szCs w:val="24"/>
            <w:u w:val="single"/>
            <w:lang w:eastAsia="en-AU"/>
            <w14:ligatures w14:val="none"/>
          </w:rPr>
          <w:t>National Audit Office (NAO)</w:t>
        </w:r>
      </w:hyperlink>
      <w:r w:rsidRPr="00C34E2B">
        <w:rPr>
          <w:rFonts w:ascii="Times New Roman" w:eastAsia="Times New Roman" w:hAnsi="Times New Roman" w:cs="Times New Roman"/>
          <w:kern w:val="0"/>
          <w:sz w:val="24"/>
          <w:szCs w:val="24"/>
          <w:lang w:eastAsia="en-AU"/>
          <w14:ligatures w14:val="none"/>
        </w:rPr>
        <w:t>)</w:t>
      </w:r>
    </w:p>
    <w:p w14:paraId="1A559515"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4.3 Delivery model alignment</w:t>
      </w:r>
    </w:p>
    <w:p w14:paraId="60451899"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Relational and incentivised models at programme scale support shared ownership of uncertain ground conditions and integration risks. Where traditional risk transfer is retained, it should be paired with transparent pain or gain mechanisms tied to jointly controlled risk registers and dispute avoidance boards.</w:t>
      </w:r>
    </w:p>
    <w:p w14:paraId="55CD9AD8"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4.4 Digital engineering and common data environments</w:t>
      </w:r>
    </w:p>
    <w:p w14:paraId="4BBA3493"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Large underground projects benefit from federated models that link geology, temporary works, permanent works, and electromechanical systems to schedule in four dimensions. A common data environment enables controlled change and supports field mobility and digital as-built capture for quality and later maintenance.</w:t>
      </w:r>
    </w:p>
    <w:p w14:paraId="417FB8A7"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4.5 Supply chain strategies</w:t>
      </w:r>
    </w:p>
    <w:p w14:paraId="5BDBC2EC"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Long-lead equipment requires early supplier engagement, dual sourcing where feasible, and logistics plans aligned to realistic tunnel progress. Market capacity can be smoothed through staggered procurement and options for surge capacity. National guidance encourages cross-government consistency in delivery approaches to lift market confidence (Department of Infrastructure National Guidelines). (</w:t>
      </w:r>
      <w:hyperlink r:id="rId11" w:tooltip="National Guidelines for Infrastructure Project Delivery" w:history="1">
        <w:r w:rsidRPr="00C34E2B">
          <w:rPr>
            <w:rFonts w:ascii="Times New Roman" w:eastAsia="Times New Roman" w:hAnsi="Times New Roman" w:cs="Times New Roman"/>
            <w:color w:val="0000FF"/>
            <w:kern w:val="0"/>
            <w:sz w:val="24"/>
            <w:szCs w:val="24"/>
            <w:u w:val="single"/>
            <w:lang w:eastAsia="en-AU"/>
            <w14:ligatures w14:val="none"/>
          </w:rPr>
          <w:t>Infrastructure and Transport Dept.</w:t>
        </w:r>
      </w:hyperlink>
      <w:r w:rsidRPr="00C34E2B">
        <w:rPr>
          <w:rFonts w:ascii="Times New Roman" w:eastAsia="Times New Roman" w:hAnsi="Times New Roman" w:cs="Times New Roman"/>
          <w:kern w:val="0"/>
          <w:sz w:val="24"/>
          <w:szCs w:val="24"/>
          <w:lang w:eastAsia="en-AU"/>
          <w14:ligatures w14:val="none"/>
        </w:rPr>
        <w:t>)</w:t>
      </w:r>
    </w:p>
    <w:p w14:paraId="18D1B2ED"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4.6 Learning culture and leadership stability</w:t>
      </w:r>
    </w:p>
    <w:p w14:paraId="3FC9E3BF"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Stable leadership, structured incident learning, and just-in-time training for heading crews and commissioning teams improve reliability and safety. International experience shows that </w:t>
      </w:r>
      <w:r w:rsidRPr="00C34E2B">
        <w:rPr>
          <w:rFonts w:ascii="Times New Roman" w:eastAsia="Times New Roman" w:hAnsi="Times New Roman" w:cs="Times New Roman"/>
          <w:kern w:val="0"/>
          <w:sz w:val="24"/>
          <w:szCs w:val="24"/>
          <w:lang w:eastAsia="en-AU"/>
          <w14:ligatures w14:val="none"/>
        </w:rPr>
        <w:lastRenderedPageBreak/>
        <w:t>behaviour and culture are as decisive as method selection in sustained underground production.</w:t>
      </w:r>
    </w:p>
    <w:p w14:paraId="3F32F253"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5E95DD">
          <v:rect id="_x0000_i1030" style="width:0;height:1.5pt" o:hralign="center" o:hrstd="t" o:hr="t" fillcolor="#a0a0a0" stroked="f"/>
        </w:pict>
      </w:r>
    </w:p>
    <w:p w14:paraId="20872F20" w14:textId="0FA99923"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Delivery strategy tailored to Snowy 2.0</w:t>
      </w:r>
    </w:p>
    <w:p w14:paraId="7D279159"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5.1 Strengthen front-end loading for remaining works</w:t>
      </w:r>
    </w:p>
    <w:p w14:paraId="72000268" w14:textId="77777777" w:rsidR="00C34E2B" w:rsidRPr="00C34E2B" w:rsidRDefault="00C34E2B" w:rsidP="00C34E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Expand targeted ground investigations in residual high-risk zones and calibrate support classes accordingly.</w:t>
      </w:r>
    </w:p>
    <w:p w14:paraId="05695263" w14:textId="77777777" w:rsidR="00C34E2B" w:rsidRPr="00C34E2B" w:rsidRDefault="00C34E2B" w:rsidP="00C34E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Use risk-based pilot drives or probe drilling ahead of the face in suspected weak ground.</w:t>
      </w:r>
    </w:p>
    <w:p w14:paraId="348A4428" w14:textId="77777777" w:rsidR="00C34E2B" w:rsidRPr="00C34E2B" w:rsidRDefault="00C34E2B" w:rsidP="00C34E2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Re-baseline logistics for spares, cutters, and slurry treatment with realistic replenishment times.</w:t>
      </w:r>
    </w:p>
    <w:p w14:paraId="3765821B"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5.2 Adopt progressive, evidence-based readiness gates</w:t>
      </w:r>
    </w:p>
    <w:p w14:paraId="4C3D1BE7" w14:textId="77777777" w:rsidR="00C34E2B" w:rsidRPr="00C34E2B" w:rsidRDefault="00C34E2B" w:rsidP="00C34E2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Gate mobilisation for each heading and installation area on the basis of verified pre-conditions, including environmental controls, access, spares on hand, and trained crews.</w:t>
      </w:r>
    </w:p>
    <w:p w14:paraId="5F643B71" w14:textId="77777777" w:rsidR="00C34E2B" w:rsidRPr="00C34E2B" w:rsidRDefault="00C34E2B" w:rsidP="00C34E2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Tie approval to objective leading indicators such as verified ground model segments and validated advance rate envelopes.</w:t>
      </w:r>
    </w:p>
    <w:p w14:paraId="234945AE"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5.3 Align contract incentives with uncontrollable risks</w:t>
      </w:r>
    </w:p>
    <w:p w14:paraId="4D02DFB4" w14:textId="77777777" w:rsidR="00C34E2B" w:rsidRPr="00C34E2B" w:rsidRDefault="00C34E2B" w:rsidP="00C34E2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Where ground risk remains material, shift to shared risk pools with pain or gain linked to jointly managed risk registers.</w:t>
      </w:r>
    </w:p>
    <w:p w14:paraId="024CDEC7" w14:textId="77777777" w:rsidR="00C34E2B" w:rsidRPr="00C34E2B" w:rsidRDefault="00C34E2B" w:rsidP="00C34E2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Use independent dispute avoidance boards and daily issue triage to prevent escalation.</w:t>
      </w:r>
    </w:p>
    <w:p w14:paraId="5A0B185C"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5.4 Digital production control</w:t>
      </w:r>
    </w:p>
    <w:p w14:paraId="76B277BC" w14:textId="77777777" w:rsidR="00C34E2B" w:rsidRPr="00C34E2B" w:rsidRDefault="00C34E2B" w:rsidP="00C34E2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Integrate the geological model, permanent and temporary works, and commissioning logic to a four-dimensional schedule visible to all delivery partners.</w:t>
      </w:r>
    </w:p>
    <w:p w14:paraId="37A850DF" w14:textId="77777777" w:rsidR="00C34E2B" w:rsidRPr="00C34E2B" w:rsidRDefault="00C34E2B" w:rsidP="00C34E2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Capture digital as-builts in near real time to support quality and future operations.</w:t>
      </w:r>
    </w:p>
    <w:p w14:paraId="4F33524D"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5.5 Supply chain and schedule integration</w:t>
      </w:r>
    </w:p>
    <w:p w14:paraId="7EE94543" w14:textId="77777777" w:rsidR="00C34E2B" w:rsidRPr="00C34E2B" w:rsidRDefault="00C34E2B" w:rsidP="00C34E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Lock design interfaces for electromechanical packages to reduce re-work in response to tunnel sequencing changes.</w:t>
      </w:r>
    </w:p>
    <w:p w14:paraId="56130DC1" w14:textId="77777777" w:rsidR="00C34E2B" w:rsidRPr="00C34E2B" w:rsidRDefault="00C34E2B" w:rsidP="00C34E2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Phase equipment deliveries to revised milestones to avoid costly storage and degradation.</w:t>
      </w:r>
    </w:p>
    <w:p w14:paraId="34038D0A"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5.6 Workforce resilience</w:t>
      </w:r>
    </w:p>
    <w:p w14:paraId="07469001" w14:textId="77777777" w:rsidR="00C34E2B" w:rsidRPr="00C34E2B" w:rsidRDefault="00C34E2B" w:rsidP="00C34E2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Use roster designs that protect recovery time and reduce fatigue.</w:t>
      </w:r>
    </w:p>
    <w:p w14:paraId="390F21E6" w14:textId="77777777" w:rsidR="00C34E2B" w:rsidRPr="00C34E2B" w:rsidRDefault="00C34E2B" w:rsidP="00C34E2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Expand targeted training for TBM maintenance and high voltage commissioning to reduce reliance on scarce specialists.</w:t>
      </w:r>
    </w:p>
    <w:p w14:paraId="14943C7D"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48A822A4">
          <v:rect id="_x0000_i1031" style="width:0;height:1.5pt" o:hralign="center" o:hrstd="t" o:hr="t" fillcolor="#a0a0a0" stroked="f"/>
        </w:pict>
      </w:r>
    </w:p>
    <w:p w14:paraId="15E14946" w14:textId="78649C2B"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Risk management and assurance</w:t>
      </w:r>
    </w:p>
    <w:p w14:paraId="7EC4CF4D"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6.1 Leading indicators</w:t>
      </w:r>
    </w:p>
    <w:p w14:paraId="5F51CB1C"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Track weekly indicators that predict performance rather than only reporting lag outcomes. Useful measures include percentage of heading length with verified ground class, cutter consumption per metre, mean time to repair for critical TBM systems, environmental non-compliance rate, supply chain on-time delivery for long-lead items, and commissioning defect closure rates.</w:t>
      </w:r>
    </w:p>
    <w:p w14:paraId="5FE9E10A" w14:textId="77777777" w:rsidR="00C34E2B" w:rsidRPr="00C34E2B" w:rsidRDefault="00C34E2B" w:rsidP="00C34E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34E2B">
        <w:rPr>
          <w:rFonts w:ascii="Times New Roman" w:eastAsia="Times New Roman" w:hAnsi="Times New Roman" w:cs="Times New Roman"/>
          <w:b/>
          <w:bCs/>
          <w:kern w:val="0"/>
          <w:sz w:val="27"/>
          <w:szCs w:val="27"/>
          <w:lang w:eastAsia="en-AU"/>
          <w14:ligatures w14:val="none"/>
        </w:rPr>
        <w:t>6.2 Progressive assurance framework</w:t>
      </w:r>
    </w:p>
    <w:p w14:paraId="2A6B1DBE"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Adopt an assurance framework that tests real-world readiness for each construction or commissioning wave and uses independent review to verify that risk has been genuinely burned down. This approach is consistent with major programme lessons and national assessment guidance, which emphasise staged commitments backed by evidence (Infrastructure Australia 2021; NAO 2020). (</w:t>
      </w:r>
      <w:hyperlink r:id="rId12" w:tooltip="Overview - Infrastructure Australia" w:history="1">
        <w:r w:rsidRPr="00C34E2B">
          <w:rPr>
            <w:rFonts w:ascii="Times New Roman" w:eastAsia="Times New Roman" w:hAnsi="Times New Roman" w:cs="Times New Roman"/>
            <w:color w:val="0000FF"/>
            <w:kern w:val="0"/>
            <w:sz w:val="24"/>
            <w:szCs w:val="24"/>
            <w:u w:val="single"/>
            <w:lang w:eastAsia="en-AU"/>
            <w14:ligatures w14:val="none"/>
          </w:rPr>
          <w:t>Infrastructure Australia</w:t>
        </w:r>
      </w:hyperlink>
      <w:r w:rsidRPr="00C34E2B">
        <w:rPr>
          <w:rFonts w:ascii="Times New Roman" w:eastAsia="Times New Roman" w:hAnsi="Times New Roman" w:cs="Times New Roman"/>
          <w:kern w:val="0"/>
          <w:sz w:val="24"/>
          <w:szCs w:val="24"/>
          <w:lang w:eastAsia="en-AU"/>
          <w14:ligatures w14:val="none"/>
        </w:rPr>
        <w:t>)</w:t>
      </w:r>
    </w:p>
    <w:p w14:paraId="6A60C515"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45C205">
          <v:rect id="_x0000_i1032" style="width:0;height:1.5pt" o:hralign="center" o:hrstd="t" o:hr="t" fillcolor="#a0a0a0" stroked="f"/>
        </w:pict>
      </w:r>
    </w:p>
    <w:p w14:paraId="1D75A646" w14:textId="46C81043"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Sustainability and social licence</w:t>
      </w:r>
    </w:p>
    <w:p w14:paraId="457897A2"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Pumped hydro offers system-wide emissions benefits by enabling renewable integration. The construction phase must still minimise impacts through strict sediment and erosion control, responsible spoil management, biodiversity protection, and rehabilitation that restores hydrological function and landscape value. Transparent communication with local communities and traditional owners is essential to maintain trust. Where seasonal constraints exist, plan production around weather windows and invest in site stability to avoid environmental harm.</w:t>
      </w:r>
    </w:p>
    <w:p w14:paraId="3E5DF147"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0312EDC">
          <v:rect id="_x0000_i1033" style="width:0;height:1.5pt" o:hralign="center" o:hrstd="t" o:hr="t" fillcolor="#a0a0a0" stroked="f"/>
        </w:pict>
      </w:r>
    </w:p>
    <w:p w14:paraId="34FDF8F3" w14:textId="0424B0E3"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Recommendations</w:t>
      </w:r>
    </w:p>
    <w:p w14:paraId="0E44590C"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Re-baseline with disciplined front-end loading</w:t>
      </w:r>
      <w:r w:rsidRPr="00C34E2B">
        <w:rPr>
          <w:rFonts w:ascii="Times New Roman" w:eastAsia="Times New Roman" w:hAnsi="Times New Roman" w:cs="Times New Roman"/>
          <w:kern w:val="0"/>
          <w:sz w:val="24"/>
          <w:szCs w:val="24"/>
          <w:lang w:eastAsia="en-AU"/>
          <w14:ligatures w14:val="none"/>
        </w:rPr>
        <w:t xml:space="preserve"> that closes high-value information gaps before committing resources to vulnerable headings.</w:t>
      </w:r>
    </w:p>
    <w:p w14:paraId="6F18E1DF"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Install evidence-based readiness gates</w:t>
      </w:r>
      <w:r w:rsidRPr="00C34E2B">
        <w:rPr>
          <w:rFonts w:ascii="Times New Roman" w:eastAsia="Times New Roman" w:hAnsi="Times New Roman" w:cs="Times New Roman"/>
          <w:kern w:val="0"/>
          <w:sz w:val="24"/>
          <w:szCs w:val="24"/>
          <w:lang w:eastAsia="en-AU"/>
          <w14:ligatures w14:val="none"/>
        </w:rPr>
        <w:t xml:space="preserve"> for each major </w:t>
      </w:r>
      <w:proofErr w:type="spellStart"/>
      <w:r w:rsidRPr="00C34E2B">
        <w:rPr>
          <w:rFonts w:ascii="Times New Roman" w:eastAsia="Times New Roman" w:hAnsi="Times New Roman" w:cs="Times New Roman"/>
          <w:kern w:val="0"/>
          <w:sz w:val="24"/>
          <w:szCs w:val="24"/>
          <w:lang w:eastAsia="en-AU"/>
          <w14:ligatures w14:val="none"/>
        </w:rPr>
        <w:t>workfront</w:t>
      </w:r>
      <w:proofErr w:type="spellEnd"/>
      <w:r w:rsidRPr="00C34E2B">
        <w:rPr>
          <w:rFonts w:ascii="Times New Roman" w:eastAsia="Times New Roman" w:hAnsi="Times New Roman" w:cs="Times New Roman"/>
          <w:kern w:val="0"/>
          <w:sz w:val="24"/>
          <w:szCs w:val="24"/>
          <w:lang w:eastAsia="en-AU"/>
          <w14:ligatures w14:val="none"/>
        </w:rPr>
        <w:t xml:space="preserve"> and commissioning stage, with passage dependent on verified pre-conditions.</w:t>
      </w:r>
    </w:p>
    <w:p w14:paraId="289E10EA"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Realign commercial risk</w:t>
      </w:r>
      <w:r w:rsidRPr="00C34E2B">
        <w:rPr>
          <w:rFonts w:ascii="Times New Roman" w:eastAsia="Times New Roman" w:hAnsi="Times New Roman" w:cs="Times New Roman"/>
          <w:kern w:val="0"/>
          <w:sz w:val="24"/>
          <w:szCs w:val="24"/>
          <w:lang w:eastAsia="en-AU"/>
          <w14:ligatures w14:val="none"/>
        </w:rPr>
        <w:t xml:space="preserve"> by sharing geotechnical and integration uncertainties through collaborative mechanisms and active dispute avoidance.</w:t>
      </w:r>
    </w:p>
    <w:p w14:paraId="52FB9FDF"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Strengthen digital production control</w:t>
      </w:r>
      <w:r w:rsidRPr="00C34E2B">
        <w:rPr>
          <w:rFonts w:ascii="Times New Roman" w:eastAsia="Times New Roman" w:hAnsi="Times New Roman" w:cs="Times New Roman"/>
          <w:kern w:val="0"/>
          <w:sz w:val="24"/>
          <w:szCs w:val="24"/>
          <w:lang w:eastAsia="en-AU"/>
          <w14:ligatures w14:val="none"/>
        </w:rPr>
        <w:t xml:space="preserve"> by linking geology, design, schedule, and field capture in a single common data environment.</w:t>
      </w:r>
    </w:p>
    <w:p w14:paraId="1A311710"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Stabilise supply chains</w:t>
      </w:r>
      <w:r w:rsidRPr="00C34E2B">
        <w:rPr>
          <w:rFonts w:ascii="Times New Roman" w:eastAsia="Times New Roman" w:hAnsi="Times New Roman" w:cs="Times New Roman"/>
          <w:kern w:val="0"/>
          <w:sz w:val="24"/>
          <w:szCs w:val="24"/>
          <w:lang w:eastAsia="en-AU"/>
          <w14:ligatures w14:val="none"/>
        </w:rPr>
        <w:t xml:space="preserve"> through early engagement, phased deliveries aligned to realistic sequences, and options for surge capacity.</w:t>
      </w:r>
    </w:p>
    <w:p w14:paraId="684E8D9D"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t>Invest in workforce capability and resilience</w:t>
      </w:r>
      <w:r w:rsidRPr="00C34E2B">
        <w:rPr>
          <w:rFonts w:ascii="Times New Roman" w:eastAsia="Times New Roman" w:hAnsi="Times New Roman" w:cs="Times New Roman"/>
          <w:kern w:val="0"/>
          <w:sz w:val="24"/>
          <w:szCs w:val="24"/>
          <w:lang w:eastAsia="en-AU"/>
          <w14:ligatures w14:val="none"/>
        </w:rPr>
        <w:t xml:space="preserve"> with targeted training, stable leadership, and fatigue-aware rostering.</w:t>
      </w:r>
    </w:p>
    <w:p w14:paraId="289BA0D8" w14:textId="77777777" w:rsidR="00C34E2B" w:rsidRPr="00C34E2B" w:rsidRDefault="00C34E2B" w:rsidP="00C34E2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b/>
          <w:bCs/>
          <w:kern w:val="0"/>
          <w:sz w:val="24"/>
          <w:szCs w:val="24"/>
          <w:lang w:eastAsia="en-AU"/>
          <w14:ligatures w14:val="none"/>
        </w:rPr>
        <w:lastRenderedPageBreak/>
        <w:t>Embed progressive assurance tied to benefits</w:t>
      </w:r>
      <w:r w:rsidRPr="00C34E2B">
        <w:rPr>
          <w:rFonts w:ascii="Times New Roman" w:eastAsia="Times New Roman" w:hAnsi="Times New Roman" w:cs="Times New Roman"/>
          <w:kern w:val="0"/>
          <w:sz w:val="24"/>
          <w:szCs w:val="24"/>
          <w:lang w:eastAsia="en-AU"/>
          <w14:ligatures w14:val="none"/>
        </w:rPr>
        <w:t xml:space="preserve"> so that decisions protect long-term system performance as well as near-term schedule.</w:t>
      </w:r>
    </w:p>
    <w:p w14:paraId="75764C04"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These actions respond directly to the root causes seen on Snowy 2.0 and reflect widely recognised best practice for complex public programmes (Infrastructure Australia 2021; National Audit Office 2020). (</w:t>
      </w:r>
      <w:hyperlink r:id="rId13" w:tooltip="Overview - Infrastructure Australia" w:history="1">
        <w:r w:rsidRPr="00C34E2B">
          <w:rPr>
            <w:rFonts w:ascii="Times New Roman" w:eastAsia="Times New Roman" w:hAnsi="Times New Roman" w:cs="Times New Roman"/>
            <w:color w:val="0000FF"/>
            <w:kern w:val="0"/>
            <w:sz w:val="24"/>
            <w:szCs w:val="24"/>
            <w:u w:val="single"/>
            <w:lang w:eastAsia="en-AU"/>
            <w14:ligatures w14:val="none"/>
          </w:rPr>
          <w:t>Infrastructure Australia</w:t>
        </w:r>
      </w:hyperlink>
      <w:r w:rsidRPr="00C34E2B">
        <w:rPr>
          <w:rFonts w:ascii="Times New Roman" w:eastAsia="Times New Roman" w:hAnsi="Times New Roman" w:cs="Times New Roman"/>
          <w:kern w:val="0"/>
          <w:sz w:val="24"/>
          <w:szCs w:val="24"/>
          <w:lang w:eastAsia="en-AU"/>
          <w14:ligatures w14:val="none"/>
        </w:rPr>
        <w:t>)</w:t>
      </w:r>
    </w:p>
    <w:p w14:paraId="564F3594"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DF56E8">
          <v:rect id="_x0000_i1034" style="width:0;height:1.5pt" o:hralign="center" o:hrstd="t" o:hr="t" fillcolor="#a0a0a0" stroked="f"/>
        </w:pict>
      </w:r>
    </w:p>
    <w:p w14:paraId="37C75FFC" w14:textId="0EA2A014"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Conclusion</w:t>
      </w:r>
    </w:p>
    <w:p w14:paraId="76BA0BA1"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Snowy 2.0 remains strategically important for Australia’s energy transition. Delivery is difficult because risks are interdependent. Geotechnical uncertainty, plant reliability, market constraints, and environmental responsibilities combine to challenge schedule, cost, and confidence. International guidance is clear that better outcomes come from strong front-end loading, progressive and evidence-based decision making, alignment of incentives with uncontrollable risks, and disciplined assurance that measures real readiness. Applying these principles can restore predictability and value for money, and the approach is adaptable across Australia’s portfolio of major projects. Recent public reports on cost pressure reinforce the urgency of these measures. (</w:t>
      </w:r>
      <w:hyperlink r:id="rId14" w:tooltip="$12 billion Snowy 2.0 project faces further cost blowouts" w:history="1">
        <w:r w:rsidRPr="00C34E2B">
          <w:rPr>
            <w:rFonts w:ascii="Times New Roman" w:eastAsia="Times New Roman" w:hAnsi="Times New Roman" w:cs="Times New Roman"/>
            <w:color w:val="0000FF"/>
            <w:kern w:val="0"/>
            <w:sz w:val="24"/>
            <w:szCs w:val="24"/>
            <w:u w:val="single"/>
            <w:lang w:eastAsia="en-AU"/>
            <w14:ligatures w14:val="none"/>
          </w:rPr>
          <w:t>ABC</w:t>
        </w:r>
      </w:hyperlink>
      <w:r w:rsidRPr="00C34E2B">
        <w:rPr>
          <w:rFonts w:ascii="Times New Roman" w:eastAsia="Times New Roman" w:hAnsi="Times New Roman" w:cs="Times New Roman"/>
          <w:kern w:val="0"/>
          <w:sz w:val="24"/>
          <w:szCs w:val="24"/>
          <w:lang w:eastAsia="en-AU"/>
          <w14:ligatures w14:val="none"/>
        </w:rPr>
        <w:t>)</w:t>
      </w:r>
    </w:p>
    <w:p w14:paraId="5A5D0B75" w14:textId="77777777" w:rsidR="00C34E2B" w:rsidRPr="00C34E2B" w:rsidRDefault="00000000" w:rsidP="00C34E2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15E9D6">
          <v:rect id="_x0000_i1035" style="width:0;height:1.5pt" o:hralign="center" o:hrstd="t" o:hr="t" fillcolor="#a0a0a0" stroked="f"/>
        </w:pict>
      </w:r>
    </w:p>
    <w:p w14:paraId="3E8D7DF7" w14:textId="77777777" w:rsidR="00C34E2B" w:rsidRPr="00C34E2B" w:rsidRDefault="00C34E2B" w:rsidP="00C34E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34E2B">
        <w:rPr>
          <w:rFonts w:ascii="Times New Roman" w:eastAsia="Times New Roman" w:hAnsi="Times New Roman" w:cs="Times New Roman"/>
          <w:b/>
          <w:bCs/>
          <w:kern w:val="0"/>
          <w:sz w:val="36"/>
          <w:szCs w:val="36"/>
          <w:lang w:eastAsia="en-AU"/>
          <w14:ligatures w14:val="none"/>
        </w:rPr>
        <w:t>References</w:t>
      </w:r>
    </w:p>
    <w:p w14:paraId="55264D3D"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ABC News 2025, ‘Snowy Hydro says it needs more funds as Snowy 2.0 costs continue to rise’, 3 October. (</w:t>
      </w:r>
      <w:hyperlink r:id="rId15" w:tooltip="$12 billion Snowy 2.0 project faces further cost blowouts" w:history="1">
        <w:r w:rsidRPr="00C34E2B">
          <w:rPr>
            <w:rFonts w:ascii="Times New Roman" w:eastAsia="Times New Roman" w:hAnsi="Times New Roman" w:cs="Times New Roman"/>
            <w:color w:val="0000FF"/>
            <w:kern w:val="0"/>
            <w:sz w:val="24"/>
            <w:szCs w:val="24"/>
            <w:u w:val="single"/>
            <w:lang w:eastAsia="en-AU"/>
            <w14:ligatures w14:val="none"/>
          </w:rPr>
          <w:t>ABC</w:t>
        </w:r>
      </w:hyperlink>
      <w:r w:rsidRPr="00C34E2B">
        <w:rPr>
          <w:rFonts w:ascii="Times New Roman" w:eastAsia="Times New Roman" w:hAnsi="Times New Roman" w:cs="Times New Roman"/>
          <w:kern w:val="0"/>
          <w:sz w:val="24"/>
          <w:szCs w:val="24"/>
          <w:lang w:eastAsia="en-AU"/>
          <w14:ligatures w14:val="none"/>
        </w:rPr>
        <w:t>)</w:t>
      </w:r>
    </w:p>
    <w:p w14:paraId="396DF534"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Department of Infrastructure, Transport, Regional Development, Communications and the Arts n.d., </w:t>
      </w:r>
      <w:r w:rsidRPr="00C34E2B">
        <w:rPr>
          <w:rFonts w:ascii="Times New Roman" w:eastAsia="Times New Roman" w:hAnsi="Times New Roman" w:cs="Times New Roman"/>
          <w:i/>
          <w:iCs/>
          <w:kern w:val="0"/>
          <w:sz w:val="24"/>
          <w:szCs w:val="24"/>
          <w:lang w:eastAsia="en-AU"/>
          <w14:ligatures w14:val="none"/>
        </w:rPr>
        <w:t>National guidelines for infrastructure project delivery</w:t>
      </w:r>
      <w:r w:rsidRPr="00C34E2B">
        <w:rPr>
          <w:rFonts w:ascii="Times New Roman" w:eastAsia="Times New Roman" w:hAnsi="Times New Roman" w:cs="Times New Roman"/>
          <w:kern w:val="0"/>
          <w:sz w:val="24"/>
          <w:szCs w:val="24"/>
          <w:lang w:eastAsia="en-AU"/>
          <w14:ligatures w14:val="none"/>
        </w:rPr>
        <w:t>, Australian Government. (</w:t>
      </w:r>
      <w:hyperlink r:id="rId16" w:tooltip="National Guidelines for Infrastructure Project Delivery" w:history="1">
        <w:r w:rsidRPr="00C34E2B">
          <w:rPr>
            <w:rFonts w:ascii="Times New Roman" w:eastAsia="Times New Roman" w:hAnsi="Times New Roman" w:cs="Times New Roman"/>
            <w:color w:val="0000FF"/>
            <w:kern w:val="0"/>
            <w:sz w:val="24"/>
            <w:szCs w:val="24"/>
            <w:u w:val="single"/>
            <w:lang w:eastAsia="en-AU"/>
            <w14:ligatures w14:val="none"/>
          </w:rPr>
          <w:t>Infrastructure and Transport Dept.</w:t>
        </w:r>
      </w:hyperlink>
      <w:r w:rsidRPr="00C34E2B">
        <w:rPr>
          <w:rFonts w:ascii="Times New Roman" w:eastAsia="Times New Roman" w:hAnsi="Times New Roman" w:cs="Times New Roman"/>
          <w:kern w:val="0"/>
          <w:sz w:val="24"/>
          <w:szCs w:val="24"/>
          <w:lang w:eastAsia="en-AU"/>
          <w14:ligatures w14:val="none"/>
        </w:rPr>
        <w:t>)</w:t>
      </w:r>
    </w:p>
    <w:p w14:paraId="4A648FC6"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Infrastructure Australia 2021, </w:t>
      </w:r>
      <w:r w:rsidRPr="00C34E2B">
        <w:rPr>
          <w:rFonts w:ascii="Times New Roman" w:eastAsia="Times New Roman" w:hAnsi="Times New Roman" w:cs="Times New Roman"/>
          <w:i/>
          <w:iCs/>
          <w:kern w:val="0"/>
          <w:sz w:val="24"/>
          <w:szCs w:val="24"/>
          <w:lang w:eastAsia="en-AU"/>
          <w14:ligatures w14:val="none"/>
        </w:rPr>
        <w:t>Assessment Framework: Overview</w:t>
      </w:r>
      <w:r w:rsidRPr="00C34E2B">
        <w:rPr>
          <w:rFonts w:ascii="Times New Roman" w:eastAsia="Times New Roman" w:hAnsi="Times New Roman" w:cs="Times New Roman"/>
          <w:kern w:val="0"/>
          <w:sz w:val="24"/>
          <w:szCs w:val="24"/>
          <w:lang w:eastAsia="en-AU"/>
          <w14:ligatures w14:val="none"/>
        </w:rPr>
        <w:t>, Infrastructure Australia, Canberra. (</w:t>
      </w:r>
      <w:hyperlink r:id="rId17" w:tooltip="Overview - Infrastructure Australia" w:history="1">
        <w:r w:rsidRPr="00C34E2B">
          <w:rPr>
            <w:rFonts w:ascii="Times New Roman" w:eastAsia="Times New Roman" w:hAnsi="Times New Roman" w:cs="Times New Roman"/>
            <w:color w:val="0000FF"/>
            <w:kern w:val="0"/>
            <w:sz w:val="24"/>
            <w:szCs w:val="24"/>
            <w:u w:val="single"/>
            <w:lang w:eastAsia="en-AU"/>
            <w14:ligatures w14:val="none"/>
          </w:rPr>
          <w:t>Infrastructure Australia</w:t>
        </w:r>
      </w:hyperlink>
      <w:r w:rsidRPr="00C34E2B">
        <w:rPr>
          <w:rFonts w:ascii="Times New Roman" w:eastAsia="Times New Roman" w:hAnsi="Times New Roman" w:cs="Times New Roman"/>
          <w:kern w:val="0"/>
          <w:sz w:val="24"/>
          <w:szCs w:val="24"/>
          <w:lang w:eastAsia="en-AU"/>
          <w14:ligatures w14:val="none"/>
        </w:rPr>
        <w:t>)</w:t>
      </w:r>
    </w:p>
    <w:p w14:paraId="0EEC8E80" w14:textId="77777777" w:rsidR="00C34E2B" w:rsidRPr="00C34E2B"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National Audit Office 2020, </w:t>
      </w:r>
      <w:r w:rsidRPr="00C34E2B">
        <w:rPr>
          <w:rFonts w:ascii="Times New Roman" w:eastAsia="Times New Roman" w:hAnsi="Times New Roman" w:cs="Times New Roman"/>
          <w:i/>
          <w:iCs/>
          <w:kern w:val="0"/>
          <w:sz w:val="24"/>
          <w:szCs w:val="24"/>
          <w:lang w:eastAsia="en-AU"/>
          <w14:ligatures w14:val="none"/>
        </w:rPr>
        <w:t>Lessons learned from major programmes</w:t>
      </w:r>
      <w:r w:rsidRPr="00C34E2B">
        <w:rPr>
          <w:rFonts w:ascii="Times New Roman" w:eastAsia="Times New Roman" w:hAnsi="Times New Roman" w:cs="Times New Roman"/>
          <w:kern w:val="0"/>
          <w:sz w:val="24"/>
          <w:szCs w:val="24"/>
          <w:lang w:eastAsia="en-AU"/>
          <w14:ligatures w14:val="none"/>
        </w:rPr>
        <w:t>, NAO, London. (</w:t>
      </w:r>
      <w:hyperlink r:id="rId18" w:tooltip="Lessons learned from Major Programmes - National Audit Office" w:history="1">
        <w:r w:rsidRPr="00C34E2B">
          <w:rPr>
            <w:rFonts w:ascii="Times New Roman" w:eastAsia="Times New Roman" w:hAnsi="Times New Roman" w:cs="Times New Roman"/>
            <w:color w:val="0000FF"/>
            <w:kern w:val="0"/>
            <w:sz w:val="24"/>
            <w:szCs w:val="24"/>
            <w:u w:val="single"/>
            <w:lang w:eastAsia="en-AU"/>
            <w14:ligatures w14:val="none"/>
          </w:rPr>
          <w:t>National Audit Office (NAO)</w:t>
        </w:r>
      </w:hyperlink>
      <w:r w:rsidRPr="00C34E2B">
        <w:rPr>
          <w:rFonts w:ascii="Times New Roman" w:eastAsia="Times New Roman" w:hAnsi="Times New Roman" w:cs="Times New Roman"/>
          <w:kern w:val="0"/>
          <w:sz w:val="24"/>
          <w:szCs w:val="24"/>
          <w:lang w:eastAsia="en-AU"/>
          <w14:ligatures w14:val="none"/>
        </w:rPr>
        <w:t>)</w:t>
      </w:r>
    </w:p>
    <w:p w14:paraId="054AB280" w14:textId="188D969A" w:rsidR="00C13BF4" w:rsidRPr="00C44271" w:rsidRDefault="00C34E2B" w:rsidP="00C34E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4E2B">
        <w:rPr>
          <w:rFonts w:ascii="Times New Roman" w:eastAsia="Times New Roman" w:hAnsi="Times New Roman" w:cs="Times New Roman"/>
          <w:kern w:val="0"/>
          <w:sz w:val="24"/>
          <w:szCs w:val="24"/>
          <w:lang w:eastAsia="en-AU"/>
          <w14:ligatures w14:val="none"/>
        </w:rPr>
        <w:t xml:space="preserve">UK Parliament Public Accounts Committee 2023, </w:t>
      </w:r>
      <w:r w:rsidRPr="00C34E2B">
        <w:rPr>
          <w:rFonts w:ascii="Times New Roman" w:eastAsia="Times New Roman" w:hAnsi="Times New Roman" w:cs="Times New Roman"/>
          <w:i/>
          <w:iCs/>
          <w:kern w:val="0"/>
          <w:sz w:val="24"/>
          <w:szCs w:val="24"/>
          <w:lang w:eastAsia="en-AU"/>
          <w14:ligatures w14:val="none"/>
        </w:rPr>
        <w:t>Delivering value from government investment in major programmes</w:t>
      </w:r>
      <w:r w:rsidRPr="00C34E2B">
        <w:rPr>
          <w:rFonts w:ascii="Times New Roman" w:eastAsia="Times New Roman" w:hAnsi="Times New Roman" w:cs="Times New Roman"/>
          <w:kern w:val="0"/>
          <w:sz w:val="24"/>
          <w:szCs w:val="24"/>
          <w:lang w:eastAsia="en-AU"/>
          <w14:ligatures w14:val="none"/>
        </w:rPr>
        <w:t>, House of Commons, London. (</w:t>
      </w:r>
      <w:hyperlink r:id="rId19" w:tooltip="Delivering value from government investment in major projects" w:history="1">
        <w:r w:rsidRPr="00C34E2B">
          <w:rPr>
            <w:rFonts w:ascii="Times New Roman" w:eastAsia="Times New Roman" w:hAnsi="Times New Roman" w:cs="Times New Roman"/>
            <w:color w:val="0000FF"/>
            <w:kern w:val="0"/>
            <w:sz w:val="24"/>
            <w:szCs w:val="24"/>
            <w:u w:val="single"/>
            <w:lang w:eastAsia="en-AU"/>
            <w14:ligatures w14:val="none"/>
          </w:rPr>
          <w:t>UK Parliament Committees</w:t>
        </w:r>
      </w:hyperlink>
      <w:r w:rsidRPr="00C34E2B">
        <w:rPr>
          <w:rFonts w:ascii="Times New Roman" w:eastAsia="Times New Roman" w:hAnsi="Times New Roman" w:cs="Times New Roman"/>
          <w:kern w:val="0"/>
          <w:sz w:val="24"/>
          <w:szCs w:val="24"/>
          <w:lang w:eastAsia="en-AU"/>
          <w14:ligatures w14:val="none"/>
        </w:rPr>
        <w:t>)</w:t>
      </w:r>
    </w:p>
    <w:sectPr w:rsidR="00C13BF4" w:rsidRPr="00C44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249"/>
    <w:multiLevelType w:val="multilevel"/>
    <w:tmpl w:val="C20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726AC"/>
    <w:multiLevelType w:val="multilevel"/>
    <w:tmpl w:val="9CD4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F5684"/>
    <w:multiLevelType w:val="multilevel"/>
    <w:tmpl w:val="A6A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7DD1"/>
    <w:multiLevelType w:val="multilevel"/>
    <w:tmpl w:val="095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95015"/>
    <w:multiLevelType w:val="multilevel"/>
    <w:tmpl w:val="166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718FC"/>
    <w:multiLevelType w:val="multilevel"/>
    <w:tmpl w:val="4B7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71C09"/>
    <w:multiLevelType w:val="multilevel"/>
    <w:tmpl w:val="757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D4C3F"/>
    <w:multiLevelType w:val="multilevel"/>
    <w:tmpl w:val="BAB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D448E"/>
    <w:multiLevelType w:val="multilevel"/>
    <w:tmpl w:val="967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FF5D2A"/>
    <w:multiLevelType w:val="multilevel"/>
    <w:tmpl w:val="A3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B57EF"/>
    <w:multiLevelType w:val="multilevel"/>
    <w:tmpl w:val="86C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A4881"/>
    <w:multiLevelType w:val="multilevel"/>
    <w:tmpl w:val="813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E7D82"/>
    <w:multiLevelType w:val="multilevel"/>
    <w:tmpl w:val="72F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B5881"/>
    <w:multiLevelType w:val="multilevel"/>
    <w:tmpl w:val="1342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4"/>
  </w:num>
  <w:num w:numId="2" w16cid:durableId="821698845">
    <w:abstractNumId w:val="13"/>
  </w:num>
  <w:num w:numId="3" w16cid:durableId="1500922540">
    <w:abstractNumId w:val="3"/>
  </w:num>
  <w:num w:numId="4" w16cid:durableId="207767914">
    <w:abstractNumId w:val="1"/>
  </w:num>
  <w:num w:numId="5" w16cid:durableId="1618871916">
    <w:abstractNumId w:val="9"/>
  </w:num>
  <w:num w:numId="6" w16cid:durableId="260798750">
    <w:abstractNumId w:val="16"/>
  </w:num>
  <w:num w:numId="7" w16cid:durableId="175848617">
    <w:abstractNumId w:val="10"/>
  </w:num>
  <w:num w:numId="8" w16cid:durableId="1343581325">
    <w:abstractNumId w:val="14"/>
  </w:num>
  <w:num w:numId="9" w16cid:durableId="1348367718">
    <w:abstractNumId w:val="8"/>
  </w:num>
  <w:num w:numId="10" w16cid:durableId="1029064157">
    <w:abstractNumId w:val="18"/>
  </w:num>
  <w:num w:numId="11" w16cid:durableId="1897274479">
    <w:abstractNumId w:val="15"/>
  </w:num>
  <w:num w:numId="12" w16cid:durableId="323974044">
    <w:abstractNumId w:val="6"/>
  </w:num>
  <w:num w:numId="13" w16cid:durableId="373970816">
    <w:abstractNumId w:val="17"/>
  </w:num>
  <w:num w:numId="14" w16cid:durableId="1887906036">
    <w:abstractNumId w:val="5"/>
  </w:num>
  <w:num w:numId="15" w16cid:durableId="1780683304">
    <w:abstractNumId w:val="12"/>
  </w:num>
  <w:num w:numId="16" w16cid:durableId="711081691">
    <w:abstractNumId w:val="11"/>
  </w:num>
  <w:num w:numId="17" w16cid:durableId="1631789091">
    <w:abstractNumId w:val="0"/>
  </w:num>
  <w:num w:numId="18" w16cid:durableId="1835876089">
    <w:abstractNumId w:val="2"/>
  </w:num>
  <w:num w:numId="19" w16cid:durableId="2107772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QUASnRZnSwAAAA="/>
  </w:docVars>
  <w:rsids>
    <w:rsidRoot w:val="00AE4A1F"/>
    <w:rsid w:val="000333AF"/>
    <w:rsid w:val="000772F3"/>
    <w:rsid w:val="000A09D0"/>
    <w:rsid w:val="001554BB"/>
    <w:rsid w:val="0018356D"/>
    <w:rsid w:val="00233DAC"/>
    <w:rsid w:val="00264E9C"/>
    <w:rsid w:val="00281372"/>
    <w:rsid w:val="002965DD"/>
    <w:rsid w:val="003902B4"/>
    <w:rsid w:val="00390A91"/>
    <w:rsid w:val="003F12E7"/>
    <w:rsid w:val="004042ED"/>
    <w:rsid w:val="00414F14"/>
    <w:rsid w:val="007C33BB"/>
    <w:rsid w:val="00801B2A"/>
    <w:rsid w:val="00846E8A"/>
    <w:rsid w:val="008A3B2F"/>
    <w:rsid w:val="008F2E42"/>
    <w:rsid w:val="00934A3F"/>
    <w:rsid w:val="00960508"/>
    <w:rsid w:val="00AE4A1F"/>
    <w:rsid w:val="00B54D89"/>
    <w:rsid w:val="00BC7ACE"/>
    <w:rsid w:val="00C00B0B"/>
    <w:rsid w:val="00C13BF4"/>
    <w:rsid w:val="00C34E2B"/>
    <w:rsid w:val="00C44271"/>
    <w:rsid w:val="00C76BEF"/>
    <w:rsid w:val="00F01CAB"/>
    <w:rsid w:val="00F877F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4042ED"/>
    <w:rPr>
      <w:b/>
      <w:bCs/>
    </w:rPr>
  </w:style>
  <w:style w:type="character" w:styleId="Emphasis">
    <w:name w:val="Emphasis"/>
    <w:basedOn w:val="DefaultParagraphFont"/>
    <w:uiPriority w:val="20"/>
    <w:qFormat/>
    <w:rsid w:val="004042ED"/>
    <w:rPr>
      <w:i/>
      <w:iCs/>
    </w:rPr>
  </w:style>
  <w:style w:type="character" w:styleId="Hyperlink">
    <w:name w:val="Hyperlink"/>
    <w:basedOn w:val="DefaultParagraphFont"/>
    <w:uiPriority w:val="99"/>
    <w:semiHidden/>
    <w:unhideWhenUsed/>
    <w:rsid w:val="00C34E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o.org.uk/wp-content/uploads/2020/09/Lessons-learned-from-Major-Programmes.pdf?utm_source=chatgpt.com" TargetMode="External"/><Relationship Id="rId13" Type="http://schemas.openxmlformats.org/officeDocument/2006/relationships/hyperlink" Target="https://www.infrastructureaustralia.gov.au/sites/default/files/2021-07/Assessment%20Framework%202021%20Overview.pdf?utm_source=chatgpt.com" TargetMode="External"/><Relationship Id="rId18" Type="http://schemas.openxmlformats.org/officeDocument/2006/relationships/hyperlink" Target="https://www.nao.org.uk/wp-content/uploads/2020/09/Lessons-learned-from-Major-Programmes.pdf?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ao.org.uk/wp-content/uploads/2020/09/Lessons-learned-from-Major-Programmes.pdf?utm_source=chatgpt.com" TargetMode="External"/><Relationship Id="rId12" Type="http://schemas.openxmlformats.org/officeDocument/2006/relationships/hyperlink" Target="https://www.infrastructureaustralia.gov.au/sites/default/files/2021-07/Assessment%20Framework%202021%20Overview.pdf?utm_source=chatgpt.com" TargetMode="External"/><Relationship Id="rId17" Type="http://schemas.openxmlformats.org/officeDocument/2006/relationships/hyperlink" Target="https://www.infrastructureaustralia.gov.au/sites/default/files/2021-07/Assessment%20Framework%202021%20Overview.pdf?utm_source=chatgpt.com" TargetMode="External"/><Relationship Id="rId2" Type="http://schemas.openxmlformats.org/officeDocument/2006/relationships/styles" Target="styles.xml"/><Relationship Id="rId16" Type="http://schemas.openxmlformats.org/officeDocument/2006/relationships/hyperlink" Target="https://www.infrastructure.gov.au/infrastructure-transport-vehicles/infrastructure-investment-project-delivery/national-guidelines-infrastructure-project-delivery?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o.org.uk/wp-content/uploads/2020/09/Lessons-learned-from-Major-Programmes.pdf?utm_source=chatgpt.com" TargetMode="External"/><Relationship Id="rId11" Type="http://schemas.openxmlformats.org/officeDocument/2006/relationships/hyperlink" Target="https://www.infrastructure.gov.au/infrastructure-transport-vehicles/infrastructure-investment-project-delivery/national-guidelines-infrastructure-project-delivery?utm_source=chatgpt.com" TargetMode="External"/><Relationship Id="rId5" Type="http://schemas.openxmlformats.org/officeDocument/2006/relationships/hyperlink" Target="https://www.abc.net.au/news/2025-10-03/snowy-hydro-cost-blowout-assessment-deliver-project/105775866?utm_source=chatgpt.com" TargetMode="External"/><Relationship Id="rId15" Type="http://schemas.openxmlformats.org/officeDocument/2006/relationships/hyperlink" Target="https://www.abc.net.au/news/2025-10-03/snowy-hydro-cost-blowout-assessment-deliver-project/105775866?utm_source=chatgpt.com" TargetMode="External"/><Relationship Id="rId10" Type="http://schemas.openxmlformats.org/officeDocument/2006/relationships/hyperlink" Target="https://www.nao.org.uk/wp-content/uploads/2020/09/Lessons-learned-from-Major-Programmes.pdf?utm_source=chatgpt.com" TargetMode="External"/><Relationship Id="rId19" Type="http://schemas.openxmlformats.org/officeDocument/2006/relationships/hyperlink" Target="https://committees.parliament.uk/work/8147/lessons-learned-delivering-value-from-government-investment-in-major-programmes/publications/?utm_source=chatgpt.com" TargetMode="External"/><Relationship Id="rId4" Type="http://schemas.openxmlformats.org/officeDocument/2006/relationships/webSettings" Target="webSettings.xml"/><Relationship Id="rId9" Type="http://schemas.openxmlformats.org/officeDocument/2006/relationships/hyperlink" Target="https://www.infrastructureaustralia.gov.au/sites/default/files/2021-07/Assessment%20Framework%202021%20Overview.pdf?utm_source=chatgpt.com" TargetMode="External"/><Relationship Id="rId14" Type="http://schemas.openxmlformats.org/officeDocument/2006/relationships/hyperlink" Target="https://www.abc.net.au/news/2025-10-03/snowy-hydro-cost-blowout-assessment-deliver-project/10577586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2902</Words>
  <Characters>16546</Characters>
  <Application>Microsoft Office Word</Application>
  <DocSecurity>0</DocSecurity>
  <Lines>137</Lines>
  <Paragraphs>38</Paragraphs>
  <ScaleCrop>false</ScaleCrop>
  <Company/>
  <LinksUpToDate>false</LinksUpToDate>
  <CharactersWithSpaces>19410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9</cp:revision>
  <dcterms:created xsi:type="dcterms:W3CDTF">2025-10-12T05:00:00Z</dcterms:created>
  <dcterms:modified xsi:type="dcterms:W3CDTF">2025-10-12T05:45:00Z</dcterms:modified>
</cp:coreProperties>
</file>