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D6FF" w14:textId="77777777"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Report on Challenges and Opportunities in the Australian Construction Industry: Snowy 2.0 Case Study</w:t>
      </w:r>
    </w:p>
    <w:p w14:paraId="4262BA9F"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Group 15</w:t>
      </w:r>
      <w:r>
        <w:rPr>
          <w:rFonts w:ascii="Segoe UI" w:hAnsi="Segoe UI" w:cs="Segoe UI"/>
          <w:color w:val="0F1115"/>
        </w:rPr>
        <w:br/>
        <w:t>CVEN9723 - Design of Construction Operations</w:t>
      </w:r>
      <w:r>
        <w:rPr>
          <w:rFonts w:ascii="Segoe UI" w:hAnsi="Segoe UI" w:cs="Segoe UI"/>
          <w:color w:val="0F1115"/>
        </w:rPr>
        <w:br/>
        <w:t>Term 3, 2025</w:t>
      </w:r>
      <w:r>
        <w:rPr>
          <w:rFonts w:ascii="Segoe UI" w:hAnsi="Segoe UI" w:cs="Segoe UI"/>
          <w:color w:val="0F1115"/>
        </w:rPr>
        <w:br/>
        <w:t>UNSW Sydney</w:t>
      </w:r>
      <w:r>
        <w:rPr>
          <w:rFonts w:ascii="Segoe UI" w:hAnsi="Segoe UI" w:cs="Segoe UI"/>
          <w:color w:val="0F1115"/>
        </w:rPr>
        <w:br/>
        <w:t>Date: 26 November 2025</w:t>
      </w:r>
    </w:p>
    <w:p w14:paraId="2FFB1FA3" w14:textId="77777777"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Executive Summary</w:t>
      </w:r>
    </w:p>
    <w:p w14:paraId="137A2221" w14:textId="55C2E6F2"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report provides an analysis of the Snowy 2.0 pumped hydro project, which is a major infrastructure initiative in Australia. The project has encountered several significant challenges during its construction phase. The main challenges identified are geological and geotechnical problems, major project management issues related to cost and schedule, and environmental and logistical constraints. These challenges are interconnected, with the geological difficulties being a primary cause of the delays and budget overruns. The report also examines international best practices from tunnel projects in Switzerland and China, highlighting the importance of thorough ground investigation and real-time monitoring. Finally, the report discusses emerging opportunities such as Building Information Modelling (BIM), improved risk management strategies, and advanced tunnelling methods that could help the Australian construction industry manage complex projects more effectively in the future.</w:t>
      </w:r>
    </w:p>
    <w:p w14:paraId="3122AD1A" w14:textId="77777777" w:rsidR="00423A0B" w:rsidRDefault="00423A0B">
      <w:pPr>
        <w:rPr>
          <w:rFonts w:ascii="Segoe UI" w:eastAsia="Times New Roman" w:hAnsi="Segoe UI" w:cs="Segoe UI"/>
          <w:color w:val="0F1115"/>
          <w:kern w:val="0"/>
          <w:sz w:val="24"/>
          <w:szCs w:val="24"/>
          <w:lang w:eastAsia="en-AU"/>
          <w14:ligatures w14:val="none"/>
        </w:rPr>
      </w:pPr>
      <w:r>
        <w:rPr>
          <w:rFonts w:ascii="Segoe UI" w:hAnsi="Segoe UI" w:cs="Segoe UI"/>
          <w:color w:val="0F1115"/>
        </w:rPr>
        <w:br w:type="page"/>
      </w:r>
    </w:p>
    <w:p w14:paraId="418771BE" w14:textId="2B33D7EA"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1.0 Introduction</w:t>
      </w:r>
    </w:p>
    <w:p w14:paraId="0423693C"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Australian construction industry plays a critical role in developing the nation's infrastructure, particularly as the country transitions towards renewable energy. Large-scale engineering projects are essential for this transition, but they often encounter significant challenges that can impact their delivery and success. The Snowy 2.0 pumped hydro project is one of the most ambitious infrastructure projects currently underway in Australia. It aims to provide large-scale energy storage to support the electricity grid. However, the project has been widely reported on due to its substantial cost increases and extended timelines.</w:t>
      </w:r>
    </w:p>
    <w:p w14:paraId="5D88C2CA"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report will present a case study of the Snowy 2.0 project. It will first introduce the project and identify the main challenges it has faced. The report will then investigate the causes of these problems and analyse how they are connected to each other. A review of best practices from similar international projects will be provided to offer a comparative perspective. The report will conclude with a discussion on the emerging opportunities and future developments that could help address such grand challenges in the construction industry, using the lessons learned from Snowy 2.0.</w:t>
      </w:r>
    </w:p>
    <w:p w14:paraId="62A5AEB9" w14:textId="77777777"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2.0 Project Overview and Identified Challenges</w:t>
      </w:r>
    </w:p>
    <w:p w14:paraId="092CEC44"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Snowy 2.0 is a major expansion of the existing Snowy Mountains Hydro-electric Scheme. It is designed to be a giant water battery for the national electricity market. The project involves linking two existing dams, </w:t>
      </w:r>
      <w:proofErr w:type="spellStart"/>
      <w:r>
        <w:rPr>
          <w:rFonts w:ascii="Segoe UI" w:hAnsi="Segoe UI" w:cs="Segoe UI"/>
          <w:color w:val="0F1115"/>
        </w:rPr>
        <w:t>Tantangara</w:t>
      </w:r>
      <w:proofErr w:type="spellEnd"/>
      <w:r>
        <w:rPr>
          <w:rFonts w:ascii="Segoe UI" w:hAnsi="Segoe UI" w:cs="Segoe UI"/>
          <w:color w:val="0F1115"/>
        </w:rPr>
        <w:t xml:space="preserve"> and Talbingo, through 27 kilometres of tunnels and building a new underground power station (Snowy Hydro, 2023). The project will provide 2,000 megawatts of dispatchable energy and approximately 350,000 megawatt-hours of storage. Despite its strategic importance, the project's construction has been fraught with difficulties.</w:t>
      </w:r>
    </w:p>
    <w:p w14:paraId="1B70A640"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2.1 Geological and Geotechnical Challenges</w:t>
      </w:r>
      <w:r>
        <w:rPr>
          <w:rFonts w:ascii="Segoe UI" w:hAnsi="Segoe UI" w:cs="Segoe UI"/>
          <w:color w:val="0F1115"/>
        </w:rPr>
        <w:br/>
        <w:t>A primary and persistent challenge for Snowy 2.0 has been the unpredictable and often adverse geological conditions. The project is located in a complex geological setting within the Australian Alps. While initial site investigations were conducted, the actual rock conditions encountered during tunnelling have proven more challenging than anticipated.</w:t>
      </w:r>
    </w:p>
    <w:p w14:paraId="4BA6ABE8"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tunnel boring machines (TBMs) have encountered extensive sections of soft, friable rock and several major fault zones. These fault zones consist of fractured and weak rock that is prone to collapse. A significant incident involved the TBM named Florence, which became stuck for an extended period due to a collapse of the tunnel face ahead of it in a zone of soft ground (Harley, 2024). This required a complex and time-consuming rescue operation to stabilise the ground and free the machine. Such </w:t>
      </w:r>
      <w:r>
        <w:rPr>
          <w:rFonts w:ascii="Segoe UI" w:hAnsi="Segoe UI" w:cs="Segoe UI"/>
          <w:color w:val="0F1115"/>
        </w:rPr>
        <w:lastRenderedPageBreak/>
        <w:t>geotechnical hazards have directly led to reduced tunnelling advance rates, sometimes bringing progress to a complete halt for weeks or months.</w:t>
      </w:r>
    </w:p>
    <w:p w14:paraId="541DC822"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2.2 Project Management Challenges: Cost and Time</w:t>
      </w:r>
      <w:r>
        <w:rPr>
          <w:rFonts w:ascii="Segoe UI" w:hAnsi="Segoe UI" w:cs="Segoe UI"/>
          <w:color w:val="0F1115"/>
        </w:rPr>
        <w:br/>
        <w:t>The geological challenges have had a direct and severe impact on the project's budget and schedule, representing a major project management failure. The project's estimated cost has escalated dramatically from an initial budget of around $2 billion to a current forecast exceeding $12 billion (Snowy Hydro, 2024). Similarly, the project completion date has been delayed by several years from the original target.</w:t>
      </w:r>
    </w:p>
    <w:p w14:paraId="1593ACED"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These cost overruns can be attributed to several factors directly linked to the challenges on site. These include the high cost of the TBM stoppages and recovery efforts, the need for significantly more ground support than planned, and the general inefficiency of working in difficult conditions. The extended timeline has also led to increased overhead costs, such as labour and site facilities, and has exposed the project to inflation in material costs.</w:t>
      </w:r>
    </w:p>
    <w:p w14:paraId="5D5DBB24"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2.3 Environmental and Logistics Challenges</w:t>
      </w:r>
      <w:r>
        <w:rPr>
          <w:rFonts w:ascii="Segoe UI" w:hAnsi="Segoe UI" w:cs="Segoe UI"/>
          <w:color w:val="0F1115"/>
        </w:rPr>
        <w:br/>
        <w:t>The remote and sensitive location of the Snowy 2.0 project within the Kosciuszko National Park presents another layer of complexity. The project is subject to strict environmental regulations to protect the alpine ecosystem. This requires careful management of water quality, soil erosion, waste disposal, and noise levels to minimise the impact on native flora and fauna (DPE, 2023).</w:t>
      </w:r>
    </w:p>
    <w:p w14:paraId="6FE13302"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Logistically, the project is highly constrained. Transporting massive components, such as segments for the TBMs and turbines for the power station, to a remote mountain site is a major undertaking. The available access roads are limited and not designed for such heavy loads. Furthermore, the alpine climate means that construction work can be severely impacted during winter months due to heavy snowfall, leading to seasonal shutdowns and further schedule pressures.</w:t>
      </w:r>
    </w:p>
    <w:p w14:paraId="2E6EC6B9" w14:textId="77777777"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3.0 Analysis of Problem Causes and Relationships</w:t>
      </w:r>
    </w:p>
    <w:p w14:paraId="6ACA616D"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challenges faced by Snowy 2.0 are not isolated incidents; they are deeply interconnected, creating a cycle of compounding problems that have been difficult to manage.</w:t>
      </w:r>
    </w:p>
    <w:p w14:paraId="7108719B"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root cause of many issues can be traced back to the </w:t>
      </w:r>
      <w:r>
        <w:rPr>
          <w:rStyle w:val="Strong"/>
          <w:rFonts w:ascii="Segoe UI" w:eastAsiaTheme="majorEastAsia" w:hAnsi="Segoe UI" w:cs="Segoe UI"/>
          <w:color w:val="0F1115"/>
        </w:rPr>
        <w:t>geological and geotechnical uncertainties</w:t>
      </w:r>
      <w:r>
        <w:rPr>
          <w:rFonts w:ascii="Segoe UI" w:hAnsi="Segoe UI" w:cs="Segoe UI"/>
          <w:color w:val="0F1115"/>
        </w:rPr>
        <w:t>. Despite conducting pre-construction investigations, the full extent and nature of the ground conditions were not accurately predicted. When the TBMs encountered unexpected soft ground or fault zones, the immediate consequence was a slowdown or complete stoppage of work. This directly caused </w:t>
      </w:r>
      <w:r>
        <w:rPr>
          <w:rStyle w:val="Strong"/>
          <w:rFonts w:ascii="Segoe UI" w:eastAsiaTheme="majorEastAsia" w:hAnsi="Segoe UI" w:cs="Segoe UI"/>
          <w:color w:val="0F1115"/>
        </w:rPr>
        <w:t>project schedule delays</w:t>
      </w:r>
      <w:r>
        <w:rPr>
          <w:rFonts w:ascii="Segoe UI" w:hAnsi="Segoe UI" w:cs="Segoe UI"/>
          <w:color w:val="0F1115"/>
        </w:rPr>
        <w:t>.</w:t>
      </w:r>
    </w:p>
    <w:p w14:paraId="6BFB2D6F"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To address these geological problems, additional, unplanned work was necessary. This included installing more extensive ground support systems, such as rock bolts and steel sets, and conducting grouting campaigns to stabilise the ground. These activities required extra materials, specialised equipment, and more labour hours, all of which contributed directly to </w:t>
      </w:r>
      <w:r>
        <w:rPr>
          <w:rStyle w:val="Strong"/>
          <w:rFonts w:ascii="Segoe UI" w:eastAsiaTheme="majorEastAsia" w:hAnsi="Segoe UI" w:cs="Segoe UI"/>
          <w:color w:val="0F1115"/>
        </w:rPr>
        <w:t>cost escalation</w:t>
      </w:r>
      <w:r>
        <w:rPr>
          <w:rFonts w:ascii="Segoe UI" w:hAnsi="Segoe UI" w:cs="Segoe UI"/>
          <w:color w:val="0F1115"/>
        </w:rPr>
        <w:t>.</w:t>
      </w:r>
    </w:p>
    <w:p w14:paraId="1E0AEB58"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logistical and environmental challenges</w:t>
      </w:r>
      <w:r>
        <w:rPr>
          <w:rFonts w:ascii="Segoe UI" w:hAnsi="Segoe UI" w:cs="Segoe UI"/>
          <w:color w:val="0F1115"/>
        </w:rPr>
        <w:t> acted as force multipliers. Transporting the additional materials and equipment to the remote site was more difficult and expensive due to the constrained access and environmental protections. The schedule delays also meant that the environmental and community impacts, such as noise and traffic, were prolonged, increasing the regulatory and stakeholder management burden.</w:t>
      </w:r>
    </w:p>
    <w:p w14:paraId="23F357BA"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 essence, the project became trapped in a negative feedback loop: unforeseen geological conditions caused delays, which required complex solutions that were logistically difficult to implement, which in turn drove up costs and extended the schedule further. This relationship is summarised in Table 1 below.</w:t>
      </w:r>
    </w:p>
    <w:p w14:paraId="49793C5B"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eastAsiaTheme="majorEastAsia" w:hAnsi="Segoe UI" w:cs="Segoe UI"/>
          <w:color w:val="0F1115"/>
        </w:rPr>
        <w:t>Table 1: Analysis of Interconnected Challenges in Snowy 2.0</w:t>
      </w:r>
    </w:p>
    <w:tbl>
      <w:tblPr>
        <w:tblW w:w="0" w:type="auto"/>
        <w:tblCellMar>
          <w:top w:w="15" w:type="dxa"/>
          <w:left w:w="15" w:type="dxa"/>
          <w:bottom w:w="15" w:type="dxa"/>
          <w:right w:w="15" w:type="dxa"/>
        </w:tblCellMar>
        <w:tblLook w:val="04A0" w:firstRow="1" w:lastRow="0" w:firstColumn="1" w:lastColumn="0" w:noHBand="0" w:noVBand="1"/>
      </w:tblPr>
      <w:tblGrid>
        <w:gridCol w:w="2024"/>
        <w:gridCol w:w="2332"/>
        <w:gridCol w:w="2501"/>
        <w:gridCol w:w="2169"/>
      </w:tblGrid>
      <w:tr w:rsidR="00423A0B" w14:paraId="3CD05165" w14:textId="77777777">
        <w:trPr>
          <w:tblHeader/>
        </w:trPr>
        <w:tc>
          <w:tcPr>
            <w:tcW w:w="0" w:type="auto"/>
            <w:tcBorders>
              <w:top w:val="nil"/>
            </w:tcBorders>
            <w:tcMar>
              <w:top w:w="150" w:type="dxa"/>
              <w:left w:w="0" w:type="dxa"/>
              <w:bottom w:w="150" w:type="dxa"/>
              <w:right w:w="240" w:type="dxa"/>
            </w:tcMar>
            <w:vAlign w:val="center"/>
            <w:hideMark/>
          </w:tcPr>
          <w:p w14:paraId="4B0D5B54" w14:textId="77777777" w:rsidR="00423A0B" w:rsidRDefault="00423A0B">
            <w:pPr>
              <w:spacing w:line="375" w:lineRule="atLeast"/>
              <w:rPr>
                <w:rFonts w:ascii="Segoe UI" w:hAnsi="Segoe UI" w:cs="Segoe UI"/>
                <w:sz w:val="23"/>
                <w:szCs w:val="23"/>
              </w:rPr>
            </w:pPr>
            <w:r>
              <w:rPr>
                <w:rStyle w:val="Strong"/>
                <w:rFonts w:ascii="Segoe UI" w:hAnsi="Segoe UI" w:cs="Segoe UI"/>
                <w:sz w:val="23"/>
                <w:szCs w:val="23"/>
              </w:rPr>
              <w:t>Primary Challenge</w:t>
            </w:r>
          </w:p>
        </w:tc>
        <w:tc>
          <w:tcPr>
            <w:tcW w:w="0" w:type="auto"/>
            <w:tcBorders>
              <w:top w:val="nil"/>
            </w:tcBorders>
            <w:tcMar>
              <w:top w:w="150" w:type="dxa"/>
              <w:left w:w="240" w:type="dxa"/>
              <w:bottom w:w="150" w:type="dxa"/>
              <w:right w:w="240" w:type="dxa"/>
            </w:tcMar>
            <w:vAlign w:val="center"/>
            <w:hideMark/>
          </w:tcPr>
          <w:p w14:paraId="5A759169" w14:textId="77777777" w:rsidR="00423A0B" w:rsidRDefault="00423A0B">
            <w:pPr>
              <w:spacing w:line="375" w:lineRule="atLeast"/>
              <w:rPr>
                <w:rFonts w:ascii="Segoe UI" w:hAnsi="Segoe UI" w:cs="Segoe UI"/>
                <w:sz w:val="23"/>
                <w:szCs w:val="23"/>
              </w:rPr>
            </w:pPr>
            <w:r>
              <w:rPr>
                <w:rStyle w:val="Strong"/>
                <w:rFonts w:ascii="Segoe UI" w:hAnsi="Segoe UI" w:cs="Segoe UI"/>
                <w:sz w:val="23"/>
                <w:szCs w:val="23"/>
              </w:rPr>
              <w:t>Direct Consequence</w:t>
            </w:r>
          </w:p>
        </w:tc>
        <w:tc>
          <w:tcPr>
            <w:tcW w:w="0" w:type="auto"/>
            <w:tcBorders>
              <w:top w:val="nil"/>
            </w:tcBorders>
            <w:tcMar>
              <w:top w:w="150" w:type="dxa"/>
              <w:left w:w="240" w:type="dxa"/>
              <w:bottom w:w="150" w:type="dxa"/>
              <w:right w:w="240" w:type="dxa"/>
            </w:tcMar>
            <w:vAlign w:val="center"/>
            <w:hideMark/>
          </w:tcPr>
          <w:p w14:paraId="6B585890" w14:textId="77777777" w:rsidR="00423A0B" w:rsidRDefault="00423A0B">
            <w:pPr>
              <w:spacing w:line="375" w:lineRule="atLeast"/>
              <w:rPr>
                <w:rFonts w:ascii="Segoe UI" w:hAnsi="Segoe UI" w:cs="Segoe UI"/>
                <w:sz w:val="23"/>
                <w:szCs w:val="23"/>
              </w:rPr>
            </w:pPr>
            <w:r>
              <w:rPr>
                <w:rStyle w:val="Strong"/>
                <w:rFonts w:ascii="Segoe UI" w:hAnsi="Segoe UI" w:cs="Segoe UI"/>
                <w:sz w:val="23"/>
                <w:szCs w:val="23"/>
              </w:rPr>
              <w:t>Secondary Impact</w:t>
            </w:r>
          </w:p>
        </w:tc>
        <w:tc>
          <w:tcPr>
            <w:tcW w:w="0" w:type="auto"/>
            <w:tcBorders>
              <w:top w:val="nil"/>
            </w:tcBorders>
            <w:tcMar>
              <w:top w:w="150" w:type="dxa"/>
              <w:left w:w="240" w:type="dxa"/>
              <w:bottom w:w="150" w:type="dxa"/>
              <w:right w:w="240" w:type="dxa"/>
            </w:tcMar>
            <w:vAlign w:val="center"/>
            <w:hideMark/>
          </w:tcPr>
          <w:p w14:paraId="374A69F9" w14:textId="77777777" w:rsidR="00423A0B" w:rsidRDefault="00423A0B">
            <w:pPr>
              <w:spacing w:line="375" w:lineRule="atLeast"/>
              <w:rPr>
                <w:rFonts w:ascii="Segoe UI" w:hAnsi="Segoe UI" w:cs="Segoe UI"/>
                <w:sz w:val="23"/>
                <w:szCs w:val="23"/>
              </w:rPr>
            </w:pPr>
            <w:r>
              <w:rPr>
                <w:rStyle w:val="Strong"/>
                <w:rFonts w:ascii="Segoe UI" w:hAnsi="Segoe UI" w:cs="Segoe UI"/>
                <w:sz w:val="23"/>
                <w:szCs w:val="23"/>
              </w:rPr>
              <w:t>Overall Project Impact</w:t>
            </w:r>
          </w:p>
        </w:tc>
      </w:tr>
      <w:tr w:rsidR="00423A0B" w14:paraId="41487FBF" w14:textId="77777777">
        <w:tc>
          <w:tcPr>
            <w:tcW w:w="0" w:type="auto"/>
            <w:tcMar>
              <w:top w:w="150" w:type="dxa"/>
              <w:left w:w="0" w:type="dxa"/>
              <w:bottom w:w="150" w:type="dxa"/>
              <w:right w:w="240" w:type="dxa"/>
            </w:tcMar>
            <w:vAlign w:val="center"/>
            <w:hideMark/>
          </w:tcPr>
          <w:p w14:paraId="1ECF64AA" w14:textId="77777777" w:rsidR="00423A0B" w:rsidRDefault="00423A0B">
            <w:pPr>
              <w:spacing w:line="375" w:lineRule="atLeast"/>
              <w:rPr>
                <w:rFonts w:ascii="Segoe UI" w:hAnsi="Segoe UI" w:cs="Segoe UI"/>
                <w:sz w:val="23"/>
                <w:szCs w:val="23"/>
              </w:rPr>
            </w:pPr>
            <w:r>
              <w:rPr>
                <w:rStyle w:val="Strong"/>
                <w:rFonts w:ascii="Segoe UI" w:hAnsi="Segoe UI" w:cs="Segoe UI"/>
                <w:sz w:val="23"/>
                <w:szCs w:val="23"/>
              </w:rPr>
              <w:t>Adverse Geology</w:t>
            </w:r>
          </w:p>
        </w:tc>
        <w:tc>
          <w:tcPr>
            <w:tcW w:w="0" w:type="auto"/>
            <w:tcMar>
              <w:top w:w="150" w:type="dxa"/>
              <w:left w:w="240" w:type="dxa"/>
              <w:bottom w:w="150" w:type="dxa"/>
              <w:right w:w="240" w:type="dxa"/>
            </w:tcMar>
            <w:vAlign w:val="center"/>
            <w:hideMark/>
          </w:tcPr>
          <w:p w14:paraId="1555807D" w14:textId="77777777" w:rsidR="00423A0B" w:rsidRDefault="00423A0B">
            <w:pPr>
              <w:spacing w:line="375" w:lineRule="atLeast"/>
              <w:rPr>
                <w:rFonts w:ascii="Segoe UI" w:hAnsi="Segoe UI" w:cs="Segoe UI"/>
                <w:sz w:val="23"/>
                <w:szCs w:val="23"/>
              </w:rPr>
            </w:pPr>
            <w:r>
              <w:rPr>
                <w:rFonts w:ascii="Segoe UI" w:hAnsi="Segoe UI" w:cs="Segoe UI"/>
                <w:sz w:val="23"/>
                <w:szCs w:val="23"/>
              </w:rPr>
              <w:t>TBM Stoppages &amp; Slow Progress</w:t>
            </w:r>
          </w:p>
        </w:tc>
        <w:tc>
          <w:tcPr>
            <w:tcW w:w="0" w:type="auto"/>
            <w:tcMar>
              <w:top w:w="150" w:type="dxa"/>
              <w:left w:w="240" w:type="dxa"/>
              <w:bottom w:w="150" w:type="dxa"/>
              <w:right w:w="240" w:type="dxa"/>
            </w:tcMar>
            <w:vAlign w:val="center"/>
            <w:hideMark/>
          </w:tcPr>
          <w:p w14:paraId="0C2EEDC4" w14:textId="77777777" w:rsidR="00423A0B" w:rsidRDefault="00423A0B">
            <w:pPr>
              <w:spacing w:line="375" w:lineRule="atLeast"/>
              <w:rPr>
                <w:rFonts w:ascii="Segoe UI" w:hAnsi="Segoe UI" w:cs="Segoe UI"/>
                <w:sz w:val="23"/>
                <w:szCs w:val="23"/>
              </w:rPr>
            </w:pPr>
            <w:r>
              <w:rPr>
                <w:rFonts w:ascii="Segoe UI" w:hAnsi="Segoe UI" w:cs="Segoe UI"/>
                <w:sz w:val="23"/>
                <w:szCs w:val="23"/>
              </w:rPr>
              <w:t>Critical path schedule delays</w:t>
            </w:r>
          </w:p>
        </w:tc>
        <w:tc>
          <w:tcPr>
            <w:tcW w:w="0" w:type="auto"/>
            <w:tcMar>
              <w:top w:w="150" w:type="dxa"/>
              <w:left w:w="240" w:type="dxa"/>
              <w:bottom w:w="150" w:type="dxa"/>
              <w:right w:w="0" w:type="dxa"/>
            </w:tcMar>
            <w:vAlign w:val="center"/>
            <w:hideMark/>
          </w:tcPr>
          <w:p w14:paraId="7F642E13" w14:textId="77777777" w:rsidR="00423A0B" w:rsidRDefault="00423A0B">
            <w:pPr>
              <w:spacing w:line="375" w:lineRule="atLeast"/>
              <w:rPr>
                <w:rFonts w:ascii="Segoe UI" w:hAnsi="Segoe UI" w:cs="Segoe UI"/>
                <w:sz w:val="23"/>
                <w:szCs w:val="23"/>
              </w:rPr>
            </w:pPr>
            <w:r>
              <w:rPr>
                <w:rFonts w:ascii="Segoe UI" w:hAnsi="Segoe UI" w:cs="Segoe UI"/>
                <w:sz w:val="23"/>
                <w:szCs w:val="23"/>
              </w:rPr>
              <w:t>Extended project timeline, increased overhead costs</w:t>
            </w:r>
          </w:p>
        </w:tc>
      </w:tr>
      <w:tr w:rsidR="00423A0B" w14:paraId="49585FEB" w14:textId="77777777">
        <w:tc>
          <w:tcPr>
            <w:tcW w:w="0" w:type="auto"/>
            <w:tcMar>
              <w:top w:w="150" w:type="dxa"/>
              <w:left w:w="0" w:type="dxa"/>
              <w:bottom w:w="150" w:type="dxa"/>
              <w:right w:w="240" w:type="dxa"/>
            </w:tcMar>
            <w:vAlign w:val="center"/>
            <w:hideMark/>
          </w:tcPr>
          <w:p w14:paraId="15598B25" w14:textId="77777777" w:rsidR="00423A0B" w:rsidRDefault="00423A0B">
            <w:pPr>
              <w:spacing w:line="375" w:lineRule="atLeast"/>
              <w:rPr>
                <w:rFonts w:ascii="Segoe UI" w:hAnsi="Segoe UI" w:cs="Segoe UI"/>
                <w:sz w:val="23"/>
                <w:szCs w:val="23"/>
              </w:rPr>
            </w:pPr>
            <w:r>
              <w:rPr>
                <w:rStyle w:val="Strong"/>
                <w:rFonts w:ascii="Segoe UI" w:hAnsi="Segoe UI" w:cs="Segoe UI"/>
                <w:sz w:val="23"/>
                <w:szCs w:val="23"/>
              </w:rPr>
              <w:t>Adverse Geology</w:t>
            </w:r>
          </w:p>
        </w:tc>
        <w:tc>
          <w:tcPr>
            <w:tcW w:w="0" w:type="auto"/>
            <w:tcMar>
              <w:top w:w="150" w:type="dxa"/>
              <w:left w:w="240" w:type="dxa"/>
              <w:bottom w:w="150" w:type="dxa"/>
              <w:right w:w="240" w:type="dxa"/>
            </w:tcMar>
            <w:vAlign w:val="center"/>
            <w:hideMark/>
          </w:tcPr>
          <w:p w14:paraId="273BCC3B" w14:textId="77777777" w:rsidR="00423A0B" w:rsidRDefault="00423A0B">
            <w:pPr>
              <w:spacing w:line="375" w:lineRule="atLeast"/>
              <w:rPr>
                <w:rFonts w:ascii="Segoe UI" w:hAnsi="Segoe UI" w:cs="Segoe UI"/>
                <w:sz w:val="23"/>
                <w:szCs w:val="23"/>
              </w:rPr>
            </w:pPr>
            <w:r>
              <w:rPr>
                <w:rFonts w:ascii="Segoe UI" w:hAnsi="Segoe UI" w:cs="Segoe UI"/>
                <w:sz w:val="23"/>
                <w:szCs w:val="23"/>
              </w:rPr>
              <w:t>Need for Additional Ground Support</w:t>
            </w:r>
          </w:p>
        </w:tc>
        <w:tc>
          <w:tcPr>
            <w:tcW w:w="0" w:type="auto"/>
            <w:tcMar>
              <w:top w:w="150" w:type="dxa"/>
              <w:left w:w="240" w:type="dxa"/>
              <w:bottom w:w="150" w:type="dxa"/>
              <w:right w:w="240" w:type="dxa"/>
            </w:tcMar>
            <w:vAlign w:val="center"/>
            <w:hideMark/>
          </w:tcPr>
          <w:p w14:paraId="3C16B958" w14:textId="77777777" w:rsidR="00423A0B" w:rsidRDefault="00423A0B">
            <w:pPr>
              <w:spacing w:line="375" w:lineRule="atLeast"/>
              <w:rPr>
                <w:rFonts w:ascii="Segoe UI" w:hAnsi="Segoe UI" w:cs="Segoe UI"/>
                <w:sz w:val="23"/>
                <w:szCs w:val="23"/>
              </w:rPr>
            </w:pPr>
            <w:r>
              <w:rPr>
                <w:rFonts w:ascii="Segoe UI" w:hAnsi="Segoe UI" w:cs="Segoe UI"/>
                <w:sz w:val="23"/>
                <w:szCs w:val="23"/>
              </w:rPr>
              <w:t>Increased material, equipment, and labour costs</w:t>
            </w:r>
          </w:p>
        </w:tc>
        <w:tc>
          <w:tcPr>
            <w:tcW w:w="0" w:type="auto"/>
            <w:tcMar>
              <w:top w:w="150" w:type="dxa"/>
              <w:left w:w="240" w:type="dxa"/>
              <w:bottom w:w="150" w:type="dxa"/>
              <w:right w:w="0" w:type="dxa"/>
            </w:tcMar>
            <w:vAlign w:val="center"/>
            <w:hideMark/>
          </w:tcPr>
          <w:p w14:paraId="4ED12A80" w14:textId="77777777" w:rsidR="00423A0B" w:rsidRDefault="00423A0B">
            <w:pPr>
              <w:spacing w:line="375" w:lineRule="atLeast"/>
              <w:rPr>
                <w:rFonts w:ascii="Segoe UI" w:hAnsi="Segoe UI" w:cs="Segoe UI"/>
                <w:sz w:val="23"/>
                <w:szCs w:val="23"/>
              </w:rPr>
            </w:pPr>
            <w:r>
              <w:rPr>
                <w:rFonts w:ascii="Segoe UI" w:hAnsi="Segoe UI" w:cs="Segoe UI"/>
                <w:sz w:val="23"/>
                <w:szCs w:val="23"/>
              </w:rPr>
              <w:t>Major budget overruns</w:t>
            </w:r>
          </w:p>
        </w:tc>
      </w:tr>
      <w:tr w:rsidR="00423A0B" w14:paraId="2BDDF09B" w14:textId="77777777">
        <w:tc>
          <w:tcPr>
            <w:tcW w:w="0" w:type="auto"/>
            <w:tcMar>
              <w:top w:w="150" w:type="dxa"/>
              <w:left w:w="0" w:type="dxa"/>
              <w:bottom w:w="150" w:type="dxa"/>
              <w:right w:w="240" w:type="dxa"/>
            </w:tcMar>
            <w:vAlign w:val="center"/>
            <w:hideMark/>
          </w:tcPr>
          <w:p w14:paraId="5E649808" w14:textId="77777777" w:rsidR="00423A0B" w:rsidRDefault="00423A0B">
            <w:pPr>
              <w:spacing w:line="375" w:lineRule="atLeast"/>
              <w:rPr>
                <w:rFonts w:ascii="Segoe UI" w:hAnsi="Segoe UI" w:cs="Segoe UI"/>
                <w:sz w:val="23"/>
                <w:szCs w:val="23"/>
              </w:rPr>
            </w:pPr>
            <w:r>
              <w:rPr>
                <w:rStyle w:val="Strong"/>
                <w:rFonts w:ascii="Segoe UI" w:hAnsi="Segoe UI" w:cs="Segoe UI"/>
                <w:sz w:val="23"/>
                <w:szCs w:val="23"/>
              </w:rPr>
              <w:t>Schedule Delays</w:t>
            </w:r>
          </w:p>
        </w:tc>
        <w:tc>
          <w:tcPr>
            <w:tcW w:w="0" w:type="auto"/>
            <w:tcMar>
              <w:top w:w="150" w:type="dxa"/>
              <w:left w:w="240" w:type="dxa"/>
              <w:bottom w:w="150" w:type="dxa"/>
              <w:right w:w="240" w:type="dxa"/>
            </w:tcMar>
            <w:vAlign w:val="center"/>
            <w:hideMark/>
          </w:tcPr>
          <w:p w14:paraId="542946B1" w14:textId="77777777" w:rsidR="00423A0B" w:rsidRDefault="00423A0B">
            <w:pPr>
              <w:spacing w:line="375" w:lineRule="atLeast"/>
              <w:rPr>
                <w:rFonts w:ascii="Segoe UI" w:hAnsi="Segoe UI" w:cs="Segoe UI"/>
                <w:sz w:val="23"/>
                <w:szCs w:val="23"/>
              </w:rPr>
            </w:pPr>
            <w:r>
              <w:rPr>
                <w:rFonts w:ascii="Segoe UI" w:hAnsi="Segoe UI" w:cs="Segoe UI"/>
                <w:sz w:val="23"/>
                <w:szCs w:val="23"/>
              </w:rPr>
              <w:t>Extended on-site presence</w:t>
            </w:r>
          </w:p>
        </w:tc>
        <w:tc>
          <w:tcPr>
            <w:tcW w:w="0" w:type="auto"/>
            <w:tcMar>
              <w:top w:w="150" w:type="dxa"/>
              <w:left w:w="240" w:type="dxa"/>
              <w:bottom w:w="150" w:type="dxa"/>
              <w:right w:w="240" w:type="dxa"/>
            </w:tcMar>
            <w:vAlign w:val="center"/>
            <w:hideMark/>
          </w:tcPr>
          <w:p w14:paraId="4E89E1B2" w14:textId="77777777" w:rsidR="00423A0B" w:rsidRDefault="00423A0B">
            <w:pPr>
              <w:spacing w:line="375" w:lineRule="atLeast"/>
              <w:rPr>
                <w:rFonts w:ascii="Segoe UI" w:hAnsi="Segoe UI" w:cs="Segoe UI"/>
                <w:sz w:val="23"/>
                <w:szCs w:val="23"/>
              </w:rPr>
            </w:pPr>
            <w:r>
              <w:rPr>
                <w:rFonts w:ascii="Segoe UI" w:hAnsi="Segoe UI" w:cs="Segoe UI"/>
                <w:sz w:val="23"/>
                <w:szCs w:val="23"/>
              </w:rPr>
              <w:t>Higher labour, facility, and management costs</w:t>
            </w:r>
          </w:p>
        </w:tc>
        <w:tc>
          <w:tcPr>
            <w:tcW w:w="0" w:type="auto"/>
            <w:tcMar>
              <w:top w:w="150" w:type="dxa"/>
              <w:left w:w="240" w:type="dxa"/>
              <w:bottom w:w="150" w:type="dxa"/>
              <w:right w:w="0" w:type="dxa"/>
            </w:tcMar>
            <w:vAlign w:val="center"/>
            <w:hideMark/>
          </w:tcPr>
          <w:p w14:paraId="1AA44B00" w14:textId="77777777" w:rsidR="00423A0B" w:rsidRDefault="00423A0B">
            <w:pPr>
              <w:spacing w:line="375" w:lineRule="atLeast"/>
              <w:rPr>
                <w:rFonts w:ascii="Segoe UI" w:hAnsi="Segoe UI" w:cs="Segoe UI"/>
                <w:sz w:val="23"/>
                <w:szCs w:val="23"/>
              </w:rPr>
            </w:pPr>
            <w:r>
              <w:rPr>
                <w:rFonts w:ascii="Segoe UI" w:hAnsi="Segoe UI" w:cs="Segoe UI"/>
                <w:sz w:val="23"/>
                <w:szCs w:val="23"/>
              </w:rPr>
              <w:t>Further cost escalation</w:t>
            </w:r>
          </w:p>
        </w:tc>
      </w:tr>
      <w:tr w:rsidR="00423A0B" w14:paraId="2ED67F4A" w14:textId="77777777">
        <w:tc>
          <w:tcPr>
            <w:tcW w:w="0" w:type="auto"/>
            <w:tcMar>
              <w:top w:w="150" w:type="dxa"/>
              <w:left w:w="0" w:type="dxa"/>
              <w:bottom w:w="150" w:type="dxa"/>
              <w:right w:w="240" w:type="dxa"/>
            </w:tcMar>
            <w:vAlign w:val="center"/>
            <w:hideMark/>
          </w:tcPr>
          <w:p w14:paraId="7C642739" w14:textId="77777777" w:rsidR="00423A0B" w:rsidRDefault="00423A0B">
            <w:pPr>
              <w:spacing w:line="375" w:lineRule="atLeast"/>
              <w:rPr>
                <w:rFonts w:ascii="Segoe UI" w:hAnsi="Segoe UI" w:cs="Segoe UI"/>
                <w:sz w:val="23"/>
                <w:szCs w:val="23"/>
              </w:rPr>
            </w:pPr>
            <w:r>
              <w:rPr>
                <w:rStyle w:val="Strong"/>
                <w:rFonts w:ascii="Segoe UI" w:hAnsi="Segoe UI" w:cs="Segoe UI"/>
                <w:sz w:val="23"/>
                <w:szCs w:val="23"/>
              </w:rPr>
              <w:t>Remote Location &amp; Environment</w:t>
            </w:r>
          </w:p>
        </w:tc>
        <w:tc>
          <w:tcPr>
            <w:tcW w:w="0" w:type="auto"/>
            <w:tcMar>
              <w:top w:w="150" w:type="dxa"/>
              <w:left w:w="240" w:type="dxa"/>
              <w:bottom w:w="150" w:type="dxa"/>
              <w:right w:w="240" w:type="dxa"/>
            </w:tcMar>
            <w:vAlign w:val="center"/>
            <w:hideMark/>
          </w:tcPr>
          <w:p w14:paraId="2941A966" w14:textId="77777777" w:rsidR="00423A0B" w:rsidRDefault="00423A0B">
            <w:pPr>
              <w:spacing w:line="375" w:lineRule="atLeast"/>
              <w:rPr>
                <w:rFonts w:ascii="Segoe UI" w:hAnsi="Segoe UI" w:cs="Segoe UI"/>
                <w:sz w:val="23"/>
                <w:szCs w:val="23"/>
              </w:rPr>
            </w:pPr>
            <w:r>
              <w:rPr>
                <w:rFonts w:ascii="Segoe UI" w:hAnsi="Segoe UI" w:cs="Segoe UI"/>
                <w:sz w:val="23"/>
                <w:szCs w:val="23"/>
              </w:rPr>
              <w:t>Complex and costly logistics</w:t>
            </w:r>
          </w:p>
        </w:tc>
        <w:tc>
          <w:tcPr>
            <w:tcW w:w="0" w:type="auto"/>
            <w:tcMar>
              <w:top w:w="150" w:type="dxa"/>
              <w:left w:w="240" w:type="dxa"/>
              <w:bottom w:w="150" w:type="dxa"/>
              <w:right w:w="240" w:type="dxa"/>
            </w:tcMar>
            <w:vAlign w:val="center"/>
            <w:hideMark/>
          </w:tcPr>
          <w:p w14:paraId="570C72EA" w14:textId="77777777" w:rsidR="00423A0B" w:rsidRDefault="00423A0B">
            <w:pPr>
              <w:spacing w:line="375" w:lineRule="atLeast"/>
              <w:rPr>
                <w:rFonts w:ascii="Segoe UI" w:hAnsi="Segoe UI" w:cs="Segoe UI"/>
                <w:sz w:val="23"/>
                <w:szCs w:val="23"/>
              </w:rPr>
            </w:pPr>
            <w:r>
              <w:rPr>
                <w:rFonts w:ascii="Segoe UI" w:hAnsi="Segoe UI" w:cs="Segoe UI"/>
                <w:sz w:val="23"/>
                <w:szCs w:val="23"/>
              </w:rPr>
              <w:t xml:space="preserve">Difficulty and expense in </w:t>
            </w:r>
            <w:r>
              <w:rPr>
                <w:rFonts w:ascii="Segoe UI" w:hAnsi="Segoe UI" w:cs="Segoe UI"/>
                <w:sz w:val="23"/>
                <w:szCs w:val="23"/>
              </w:rPr>
              <w:lastRenderedPageBreak/>
              <w:t>responding to problems</w:t>
            </w:r>
          </w:p>
        </w:tc>
        <w:tc>
          <w:tcPr>
            <w:tcW w:w="0" w:type="auto"/>
            <w:tcMar>
              <w:top w:w="150" w:type="dxa"/>
              <w:left w:w="240" w:type="dxa"/>
              <w:bottom w:w="150" w:type="dxa"/>
              <w:right w:w="0" w:type="dxa"/>
            </w:tcMar>
            <w:vAlign w:val="center"/>
            <w:hideMark/>
          </w:tcPr>
          <w:p w14:paraId="13A15214" w14:textId="77777777" w:rsidR="00423A0B" w:rsidRDefault="00423A0B">
            <w:pPr>
              <w:spacing w:line="375" w:lineRule="atLeast"/>
              <w:rPr>
                <w:rFonts w:ascii="Segoe UI" w:hAnsi="Segoe UI" w:cs="Segoe UI"/>
                <w:sz w:val="23"/>
                <w:szCs w:val="23"/>
              </w:rPr>
            </w:pPr>
            <w:r>
              <w:rPr>
                <w:rFonts w:ascii="Segoe UI" w:hAnsi="Segoe UI" w:cs="Segoe UI"/>
                <w:sz w:val="23"/>
                <w:szCs w:val="23"/>
              </w:rPr>
              <w:lastRenderedPageBreak/>
              <w:t xml:space="preserve">Amplified cost and schedule impacts </w:t>
            </w:r>
            <w:r>
              <w:rPr>
                <w:rFonts w:ascii="Segoe UI" w:hAnsi="Segoe UI" w:cs="Segoe UI"/>
                <w:sz w:val="23"/>
                <w:szCs w:val="23"/>
              </w:rPr>
              <w:lastRenderedPageBreak/>
              <w:t>of other challenges</w:t>
            </w:r>
          </w:p>
        </w:tc>
      </w:tr>
    </w:tbl>
    <w:p w14:paraId="75DE124C" w14:textId="77777777"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4.0 Review of Best Practices</w:t>
      </w:r>
    </w:p>
    <w:p w14:paraId="6370D456"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 understand how such challenges could be better managed, it is useful to examine best practices from other major tunnelling projects around the world.</w:t>
      </w:r>
    </w:p>
    <w:p w14:paraId="7A8EC247"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4.1 Gotthard Base Tunnel, Switzerland</w:t>
      </w:r>
      <w:r>
        <w:rPr>
          <w:rFonts w:ascii="Segoe UI" w:hAnsi="Segoe UI" w:cs="Segoe UI"/>
          <w:color w:val="0F1115"/>
        </w:rPr>
        <w:br/>
        <w:t>The Gotthard Base Tunnel is the world's longest railway tunnel and faced similar geological complexities. A key to its success was an extensive and proactive approach to ground investigation. The project employed a strategy of continuous probe drilling ahead of the advancing TBMs. This involved drilling long holes into the rock face to sample and test the ground conditions up to several hundred metres ahead of excavation (Rehbock-Sutter, 2018). This real-time data allowed engineers to adjust tunnelling methods and ground support strategies proactively, rather than reacting to surprises.</w:t>
      </w:r>
    </w:p>
    <w:p w14:paraId="51C0123B"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 xml:space="preserve">4.2 Qingdao </w:t>
      </w:r>
      <w:proofErr w:type="spellStart"/>
      <w:r>
        <w:rPr>
          <w:rStyle w:val="Strong"/>
          <w:rFonts w:ascii="Segoe UI" w:eastAsiaTheme="majorEastAsia" w:hAnsi="Segoe UI" w:cs="Segoe UI"/>
          <w:color w:val="0F1115"/>
        </w:rPr>
        <w:t>Jiaozhou</w:t>
      </w:r>
      <w:proofErr w:type="spellEnd"/>
      <w:r>
        <w:rPr>
          <w:rStyle w:val="Strong"/>
          <w:rFonts w:ascii="Segoe UI" w:eastAsiaTheme="majorEastAsia" w:hAnsi="Segoe UI" w:cs="Segoe UI"/>
          <w:color w:val="0F1115"/>
        </w:rPr>
        <w:t xml:space="preserve"> Bay Tunnel, China</w:t>
      </w:r>
      <w:r>
        <w:rPr>
          <w:rFonts w:ascii="Segoe UI" w:hAnsi="Segoe UI" w:cs="Segoe UI"/>
          <w:color w:val="0F1115"/>
        </w:rPr>
        <w:br/>
        <w:t>This subsea tunnel in China presented high risks of water ingress. The project successfully managed these risks through the extensive use of a real-time monitoring and data integration system. Sensors were installed on the TBMs and throughout the tunnel to continuously monitor parameters such as ground movement, water pressure, and structural stress (Huang et al., 2021). This system provided early warnings of potential problems, allowing for immediate intervention and mitigating major delays.</w:t>
      </w:r>
    </w:p>
    <w:p w14:paraId="508845C3"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4.3 Application to Snowy 2.0</w:t>
      </w:r>
      <w:r>
        <w:rPr>
          <w:rFonts w:ascii="Segoe UI" w:hAnsi="Segoe UI" w:cs="Segoe UI"/>
          <w:color w:val="0F1115"/>
        </w:rPr>
        <w:br/>
        <w:t>The experiences from these projects offer clear lessons for Snowy 2.0 and future Australian projects. A more robust investigation programme, incorporating continuous probe drilling like in the Gotthard Base Tunnel, could have provided better forewarning of the soft ground conditions that stalled the TBM. Similarly, a more comprehensive real-time monitoring system, as used in Qingdao, might have detected changing ground conditions earlier, allowing for pre-emptive stabilisation efforts and potentially avoiding some of the full-face collapses.</w:t>
      </w:r>
    </w:p>
    <w:p w14:paraId="4792F05B" w14:textId="77777777"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5.0 Emerging Opportunities</w:t>
      </w:r>
    </w:p>
    <w:p w14:paraId="6B1BA481"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difficulties experienced by Snowy 2.0 highlight the need for the Australian construction industry to adopt new technologies and methodologies. Several emerging opportunities present pathways for improvement.</w:t>
      </w:r>
    </w:p>
    <w:p w14:paraId="1E82D3B7"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5.1 Digital Engineering and Building Information Modelling (BIM)</w:t>
      </w:r>
      <w:r>
        <w:rPr>
          <w:rFonts w:ascii="Segoe UI" w:hAnsi="Segoe UI" w:cs="Segoe UI"/>
          <w:color w:val="0F1115"/>
        </w:rPr>
        <w:br/>
        <w:t>While BIM is used in many building projects, its application in complex linear infrastructure like tunnels can be transformative. A project-wide BIM model integrated with geological data could create a 3D "geotechnical BIM." This would allow engineers and contractors to visualise the interaction between the tunnel design and the predicted ground conditions more effectively. During construction, this model could be updated with data from probe drilling and monitoring systems, becoming a "digital twin" of the project. This would enable better planning, clash detection, and scenario analysis to anticipate and mitigate risks.</w:t>
      </w:r>
    </w:p>
    <w:p w14:paraId="1C00C7DC"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5.2 Improved Risk Management and Contractual Models</w:t>
      </w:r>
      <w:r>
        <w:rPr>
          <w:rFonts w:ascii="Segoe UI" w:hAnsi="Segoe UI" w:cs="Segoe UI"/>
          <w:color w:val="0F1115"/>
        </w:rPr>
        <w:br/>
        <w:t>Snowy 2.0 demonstrates the consequences of underestimating geological risk. Future projects must adopt more rigorous risk management frameworks. This includes allocating more realistic budget and time contingencies for high-probability, high-impact risks like adverse geology. Furthermore, traditional design-bid-build contracts can create adversarial relationships when problems arise. Alternative models like Alliancing or Collaborative PPPs, where the client and contractor share risks and rewards, can foster a more cooperative problem-solving environment.</w:t>
      </w:r>
    </w:p>
    <w:p w14:paraId="64FFF51F"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5.3 Advanced Tunnelling Methods and Technologies</w:t>
      </w:r>
      <w:r>
        <w:rPr>
          <w:rFonts w:ascii="Segoe UI" w:hAnsi="Segoe UI" w:cs="Segoe UI"/>
          <w:color w:val="0F1115"/>
        </w:rPr>
        <w:br/>
        <w:t>The industry should invest in and be open to more advanced and adaptable tunnelling technologies. This includes TBMs designed with greater flexibility to handle variable ground conditions, such as those equipped with mixed-ground cutterheads and the ability to operate in closed (pressurised) mode when needed. Beyond TBMs, the use of drones for automated site surveying, progress monitoring, and inspecting hard-to-reach areas can improve data collection, safety, and efficiency.</w:t>
      </w:r>
    </w:p>
    <w:p w14:paraId="4A6B9AED" w14:textId="77777777"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6.0 Conclusion</w:t>
      </w:r>
    </w:p>
    <w:p w14:paraId="1D2348D2"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Snowy 2.0 project serves as a stark reminder of the grand challenges inherent in delivering large-scale, complex infrastructure in Australia. The project has been significantly impacted by a combination of geological uncertainties, severe cost overruns, and extensive delays, all compounded by its remote and environmentally sensitive location. A critical analysis shows that these challenges were not independent; they were intrinsically linked, with unforeseen ground conditions acting as the primary trigger for a cascade of project management difficulties.</w:t>
      </w:r>
    </w:p>
    <w:p w14:paraId="6DAD6825"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By reviewing international best practices, it is evident that more proactive investigation and real-time monitoring could have mitigated some of these issues. For the future, the Australian construction industry must embrace emerging opportunities in digital engineering, adopt more collaborative and risk-aware contractual frameworks, and leverage advanced construction technologies. Learning from the experience of Snowy 2.0 is essential to building the capability and resilience needed to successfully deliver the next generation of nation-building projects.</w:t>
      </w:r>
    </w:p>
    <w:p w14:paraId="67CF882C" w14:textId="77777777" w:rsidR="00423A0B" w:rsidRDefault="00423A0B" w:rsidP="00423A0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References</w:t>
      </w:r>
    </w:p>
    <w:p w14:paraId="1FA7F553"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Department of Planning and Environment (DPE). (2023). </w:t>
      </w:r>
      <w:r>
        <w:rPr>
          <w:rStyle w:val="Emphasis"/>
          <w:rFonts w:ascii="Segoe UI" w:eastAsiaTheme="majorEastAsia" w:hAnsi="Segoe UI" w:cs="Segoe UI"/>
          <w:color w:val="0F1115"/>
        </w:rPr>
        <w:t>Snowy 2.0 Project Modification Report</w:t>
      </w:r>
      <w:r>
        <w:rPr>
          <w:rFonts w:ascii="Segoe UI" w:hAnsi="Segoe UI" w:cs="Segoe UI"/>
          <w:color w:val="0F1115"/>
        </w:rPr>
        <w:t>. NSW Government.</w:t>
      </w:r>
    </w:p>
    <w:p w14:paraId="097B35DE"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Harley, R. (2024). 'Worse than expected': Snowy 2.0 battles geology, delays. </w:t>
      </w:r>
      <w:r>
        <w:rPr>
          <w:rStyle w:val="Emphasis"/>
          <w:rFonts w:ascii="Segoe UI" w:eastAsiaTheme="majorEastAsia" w:hAnsi="Segoe UI" w:cs="Segoe UI"/>
          <w:color w:val="0F1115"/>
        </w:rPr>
        <w:t>Australian Financial Review</w:t>
      </w:r>
      <w:r>
        <w:rPr>
          <w:rFonts w:ascii="Segoe UI" w:hAnsi="Segoe UI" w:cs="Segoe UI"/>
          <w:color w:val="0F1115"/>
        </w:rPr>
        <w:t>. [Online] Available at: </w:t>
      </w:r>
      <w:hyperlink r:id="rId7" w:tgtFrame="_blank" w:history="1">
        <w:r>
          <w:rPr>
            <w:rStyle w:val="Hyperlink"/>
            <w:rFonts w:ascii="Segoe UI" w:eastAsiaTheme="majorEastAsia" w:hAnsi="Segoe UI" w:cs="Segoe UI"/>
            <w:color w:val="3964FE"/>
            <w:bdr w:val="single" w:sz="12" w:space="0" w:color="auto" w:frame="1"/>
          </w:rPr>
          <w:t>https://www.afr.com</w:t>
        </w:r>
      </w:hyperlink>
      <w:r>
        <w:rPr>
          <w:rFonts w:ascii="Segoe UI" w:hAnsi="Segoe UI" w:cs="Segoe UI"/>
          <w:color w:val="0F1115"/>
        </w:rPr>
        <w:t> (Accessed: 15 November 2025).</w:t>
      </w:r>
    </w:p>
    <w:p w14:paraId="56CE286A"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Huang, X., Li, S. &amp; Zhang, Q. (2021). 'Real-time risk management in subsea tunnelling: A case study of Qingdao </w:t>
      </w:r>
      <w:proofErr w:type="spellStart"/>
      <w:r>
        <w:rPr>
          <w:rFonts w:ascii="Segoe UI" w:hAnsi="Segoe UI" w:cs="Segoe UI"/>
          <w:color w:val="0F1115"/>
        </w:rPr>
        <w:t>Jiaozhou</w:t>
      </w:r>
      <w:proofErr w:type="spellEnd"/>
      <w:r>
        <w:rPr>
          <w:rFonts w:ascii="Segoe UI" w:hAnsi="Segoe UI" w:cs="Segoe UI"/>
          <w:color w:val="0F1115"/>
        </w:rPr>
        <w:t xml:space="preserve"> Bay Tunnel'. </w:t>
      </w:r>
      <w:r>
        <w:rPr>
          <w:rStyle w:val="Emphasis"/>
          <w:rFonts w:ascii="Segoe UI" w:eastAsiaTheme="majorEastAsia" w:hAnsi="Segoe UI" w:cs="Segoe UI"/>
          <w:color w:val="0F1115"/>
        </w:rPr>
        <w:t>Tunnelling and Underground Space Technology</w:t>
      </w:r>
      <w:r>
        <w:rPr>
          <w:rFonts w:ascii="Segoe UI" w:hAnsi="Segoe UI" w:cs="Segoe UI"/>
          <w:color w:val="0F1115"/>
        </w:rPr>
        <w:t>, 115, 104055.</w:t>
      </w:r>
    </w:p>
    <w:p w14:paraId="3DF14F23"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Rehbock-Sutter, M. (2018). </w:t>
      </w:r>
      <w:r>
        <w:rPr>
          <w:rStyle w:val="Emphasis"/>
          <w:rFonts w:ascii="Segoe UI" w:eastAsiaTheme="majorEastAsia" w:hAnsi="Segoe UI" w:cs="Segoe UI"/>
          <w:color w:val="0F1115"/>
        </w:rPr>
        <w:t>The Gotthard Base Tunnel: Lessons Learned from a Masterpiece of Engineering</w:t>
      </w:r>
      <w:r>
        <w:rPr>
          <w:rFonts w:ascii="Segoe UI" w:hAnsi="Segoe UI" w:cs="Segoe UI"/>
          <w:color w:val="0F1115"/>
        </w:rPr>
        <w:t>. ETH Zurich.</w:t>
      </w:r>
    </w:p>
    <w:p w14:paraId="6D75C961"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Snowy Hydro. (2023). </w:t>
      </w:r>
      <w:r>
        <w:rPr>
          <w:rStyle w:val="Emphasis"/>
          <w:rFonts w:ascii="Segoe UI" w:eastAsiaTheme="majorEastAsia" w:hAnsi="Segoe UI" w:cs="Segoe UI"/>
          <w:color w:val="0F1115"/>
        </w:rPr>
        <w:t>Snowy 2.0 Project Overview</w:t>
      </w:r>
      <w:r>
        <w:rPr>
          <w:rFonts w:ascii="Segoe UI" w:hAnsi="Segoe UI" w:cs="Segoe UI"/>
          <w:color w:val="0F1115"/>
        </w:rPr>
        <w:t>. [Online] Available at: </w:t>
      </w:r>
      <w:hyperlink r:id="rId8" w:tgtFrame="_blank" w:history="1">
        <w:r>
          <w:rPr>
            <w:rStyle w:val="Hyperlink"/>
            <w:rFonts w:ascii="Segoe UI" w:eastAsiaTheme="majorEastAsia" w:hAnsi="Segoe UI" w:cs="Segoe UI"/>
            <w:color w:val="3964FE"/>
            <w:bdr w:val="single" w:sz="12" w:space="0" w:color="auto" w:frame="1"/>
          </w:rPr>
          <w:t>https://www.snowyhydro.com.au/snowy-20/</w:t>
        </w:r>
      </w:hyperlink>
      <w:r>
        <w:rPr>
          <w:rFonts w:ascii="Segoe UI" w:hAnsi="Segoe UI" w:cs="Segoe UI"/>
          <w:color w:val="0F1115"/>
        </w:rPr>
        <w:t> (Accessed: 10 November 2025).</w:t>
      </w:r>
    </w:p>
    <w:p w14:paraId="5ABB7C02" w14:textId="77777777" w:rsidR="00423A0B" w:rsidRDefault="00423A0B" w:rsidP="00423A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Snowy Hydro. (2024). </w:t>
      </w:r>
      <w:r>
        <w:rPr>
          <w:rStyle w:val="Emphasis"/>
          <w:rFonts w:ascii="Segoe UI" w:eastAsiaTheme="majorEastAsia" w:hAnsi="Segoe UI" w:cs="Segoe UI"/>
          <w:color w:val="0F1115"/>
        </w:rPr>
        <w:t>Snowy 2.0 Project Update and Financial Review</w:t>
      </w:r>
      <w:r>
        <w:rPr>
          <w:rFonts w:ascii="Segoe UI" w:hAnsi="Segoe UI" w:cs="Segoe UI"/>
          <w:color w:val="0F1115"/>
        </w:rPr>
        <w:t>. [Online] Available at: </w:t>
      </w:r>
      <w:hyperlink r:id="rId9" w:tgtFrame="_blank" w:history="1">
        <w:r>
          <w:rPr>
            <w:rStyle w:val="Hyperlink"/>
            <w:rFonts w:ascii="Segoe UI" w:eastAsiaTheme="majorEastAsia" w:hAnsi="Segoe UI" w:cs="Segoe UI"/>
            <w:color w:val="3964FE"/>
            <w:bdr w:val="single" w:sz="12" w:space="0" w:color="auto" w:frame="1"/>
          </w:rPr>
          <w:t>https://www.snowyhydro.com.au/snowy-20/</w:t>
        </w:r>
      </w:hyperlink>
      <w:r>
        <w:rPr>
          <w:rFonts w:ascii="Segoe UI" w:hAnsi="Segoe UI" w:cs="Segoe UI"/>
          <w:color w:val="0F1115"/>
        </w:rPr>
        <w:t> (Accessed: 18 November 2025).</w:t>
      </w:r>
    </w:p>
    <w:p w14:paraId="054AB280" w14:textId="79ECCD67" w:rsidR="00C13BF4" w:rsidRPr="00627981" w:rsidRDefault="00C13BF4" w:rsidP="00627981"/>
    <w:sectPr w:rsidR="00C13BF4" w:rsidRPr="0062798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70CFE" w14:textId="77777777" w:rsidR="0095616A" w:rsidRDefault="0095616A" w:rsidP="00A67186">
      <w:pPr>
        <w:spacing w:after="0" w:line="240" w:lineRule="auto"/>
      </w:pPr>
      <w:r>
        <w:separator/>
      </w:r>
    </w:p>
  </w:endnote>
  <w:endnote w:type="continuationSeparator" w:id="0">
    <w:p w14:paraId="55C1B653" w14:textId="77777777" w:rsidR="0095616A" w:rsidRDefault="0095616A"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51A25" w14:textId="77777777" w:rsidR="0095616A" w:rsidRDefault="0095616A" w:rsidP="00A67186">
      <w:pPr>
        <w:spacing w:after="0" w:line="240" w:lineRule="auto"/>
      </w:pPr>
      <w:r>
        <w:separator/>
      </w:r>
    </w:p>
  </w:footnote>
  <w:footnote w:type="continuationSeparator" w:id="0">
    <w:p w14:paraId="16EC1651" w14:textId="77777777" w:rsidR="0095616A" w:rsidRDefault="0095616A"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4"/>
  </w:num>
  <w:num w:numId="2" w16cid:durableId="821698845">
    <w:abstractNumId w:val="9"/>
  </w:num>
  <w:num w:numId="3" w16cid:durableId="1500922540">
    <w:abstractNumId w:val="3"/>
  </w:num>
  <w:num w:numId="4" w16cid:durableId="207767914">
    <w:abstractNumId w:val="0"/>
  </w:num>
  <w:num w:numId="5" w16cid:durableId="1618871916">
    <w:abstractNumId w:val="8"/>
  </w:num>
  <w:num w:numId="6" w16cid:durableId="831600699">
    <w:abstractNumId w:val="11"/>
  </w:num>
  <w:num w:numId="7" w16cid:durableId="819927118">
    <w:abstractNumId w:val="18"/>
  </w:num>
  <w:num w:numId="8" w16cid:durableId="1836339821">
    <w:abstractNumId w:val="1"/>
  </w:num>
  <w:num w:numId="9" w16cid:durableId="877275635">
    <w:abstractNumId w:val="19"/>
  </w:num>
  <w:num w:numId="10" w16cid:durableId="163475279">
    <w:abstractNumId w:val="17"/>
  </w:num>
  <w:num w:numId="11" w16cid:durableId="660743435">
    <w:abstractNumId w:val="16"/>
  </w:num>
  <w:num w:numId="12" w16cid:durableId="1334062966">
    <w:abstractNumId w:val="20"/>
  </w:num>
  <w:num w:numId="13" w16cid:durableId="1416509605">
    <w:abstractNumId w:val="2"/>
  </w:num>
  <w:num w:numId="14" w16cid:durableId="684675586">
    <w:abstractNumId w:val="12"/>
  </w:num>
  <w:num w:numId="15" w16cid:durableId="1084490379">
    <w:abstractNumId w:val="5"/>
  </w:num>
  <w:num w:numId="16" w16cid:durableId="1177233249">
    <w:abstractNumId w:val="15"/>
  </w:num>
  <w:num w:numId="17" w16cid:durableId="1332492463">
    <w:abstractNumId w:val="14"/>
  </w:num>
  <w:num w:numId="18" w16cid:durableId="1750301735">
    <w:abstractNumId w:val="10"/>
  </w:num>
  <w:num w:numId="19" w16cid:durableId="1384524300">
    <w:abstractNumId w:val="6"/>
  </w:num>
  <w:num w:numId="20" w16cid:durableId="675889748">
    <w:abstractNumId w:val="7"/>
  </w:num>
  <w:num w:numId="21" w16cid:durableId="11404633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gFAGKK/CgtAAAA"/>
  </w:docVars>
  <w:rsids>
    <w:rsidRoot w:val="00AE4A1F"/>
    <w:rsid w:val="000333AF"/>
    <w:rsid w:val="000772F3"/>
    <w:rsid w:val="000A09D0"/>
    <w:rsid w:val="0018356D"/>
    <w:rsid w:val="001848CF"/>
    <w:rsid w:val="00233DAC"/>
    <w:rsid w:val="00281372"/>
    <w:rsid w:val="00310F89"/>
    <w:rsid w:val="00325E18"/>
    <w:rsid w:val="00381A3D"/>
    <w:rsid w:val="00390A91"/>
    <w:rsid w:val="0041364A"/>
    <w:rsid w:val="00414F14"/>
    <w:rsid w:val="00423A0B"/>
    <w:rsid w:val="00435D88"/>
    <w:rsid w:val="00441EBF"/>
    <w:rsid w:val="004455D4"/>
    <w:rsid w:val="00494234"/>
    <w:rsid w:val="005C1E8C"/>
    <w:rsid w:val="005D722F"/>
    <w:rsid w:val="00604552"/>
    <w:rsid w:val="00627981"/>
    <w:rsid w:val="0068640E"/>
    <w:rsid w:val="006A5E07"/>
    <w:rsid w:val="007D7459"/>
    <w:rsid w:val="00801B2A"/>
    <w:rsid w:val="00846E8A"/>
    <w:rsid w:val="008A11FC"/>
    <w:rsid w:val="008E568C"/>
    <w:rsid w:val="008F2E42"/>
    <w:rsid w:val="00934A3F"/>
    <w:rsid w:val="0095616A"/>
    <w:rsid w:val="00960508"/>
    <w:rsid w:val="009B2473"/>
    <w:rsid w:val="009E501F"/>
    <w:rsid w:val="00A67186"/>
    <w:rsid w:val="00AA52CD"/>
    <w:rsid w:val="00AE4A1F"/>
    <w:rsid w:val="00B12850"/>
    <w:rsid w:val="00B54D89"/>
    <w:rsid w:val="00B63465"/>
    <w:rsid w:val="00BC7ACE"/>
    <w:rsid w:val="00BD0E9E"/>
    <w:rsid w:val="00C00B0B"/>
    <w:rsid w:val="00C13BF4"/>
    <w:rsid w:val="00C76BEF"/>
    <w:rsid w:val="00D757CB"/>
    <w:rsid w:val="00DF6186"/>
    <w:rsid w:val="00E04C82"/>
    <w:rsid w:val="00EE674A"/>
    <w:rsid w:val="00EF67DB"/>
    <w:rsid w:val="00F01CAB"/>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owyhydro.com.au/snowy-20/" TargetMode="External"/><Relationship Id="rId3" Type="http://schemas.openxmlformats.org/officeDocument/2006/relationships/settings" Target="settings.xml"/><Relationship Id="rId7" Type="http://schemas.openxmlformats.org/officeDocument/2006/relationships/hyperlink" Target="https://www.af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nowyhydro.com.au/snowy-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2027</Words>
  <Characters>12352</Characters>
  <Application>Microsoft Office Word</Application>
  <DocSecurity>0</DocSecurity>
  <Lines>246</Lines>
  <Paragraphs>62</Paragraphs>
  <ScaleCrop>false</ScaleCrop>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26</cp:revision>
  <dcterms:created xsi:type="dcterms:W3CDTF">2025-10-12T05:00:00Z</dcterms:created>
  <dcterms:modified xsi:type="dcterms:W3CDTF">2025-10-26T04:19:00Z</dcterms:modified>
</cp:coreProperties>
</file>