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CACB"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Grand Challenges in Australian Infrastructure Delivery: A Systems Analysis of the Parramatta Light Rail and a Framework for Resilient Futures</w:t>
      </w:r>
    </w:p>
    <w:p w14:paraId="6391A303"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4</w:t>
      </w:r>
      <w:r>
        <w:rPr>
          <w:rFonts w:ascii="Segoe UI" w:hAnsi="Segoe UI" w:cs="Segoe UI"/>
          <w:color w:val="0F1115"/>
        </w:rPr>
        <w:br/>
        <w:t>CVEN9723 - Design of Construction Operations</w:t>
      </w:r>
      <w:r>
        <w:rPr>
          <w:rFonts w:ascii="Segoe UI" w:hAnsi="Segoe UI" w:cs="Segoe UI"/>
          <w:color w:val="0F1115"/>
        </w:rPr>
        <w:br/>
        <w:t>Term 3, 2025</w:t>
      </w:r>
      <w:r>
        <w:rPr>
          <w:rFonts w:ascii="Segoe UI" w:hAnsi="Segoe UI" w:cs="Segoe UI"/>
          <w:color w:val="0F1115"/>
        </w:rPr>
        <w:br/>
        <w:t>UNSW Sydney</w:t>
      </w:r>
      <w:r>
        <w:rPr>
          <w:rFonts w:ascii="Segoe UI" w:hAnsi="Segoe UI" w:cs="Segoe UI"/>
          <w:color w:val="0F1115"/>
        </w:rPr>
        <w:br/>
        <w:t>Date: 27 November 2025</w:t>
      </w:r>
    </w:p>
    <w:p w14:paraId="3C0DA451"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Executive Summary</w:t>
      </w:r>
    </w:p>
    <w:p w14:paraId="72659529"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delivery of urban transit megaprojects in Australia is perpetually challenged by systemic issues that lead to cost escalation, schedule overruns, and eroded public trust. This report presents a critical systems analysis of the Parramatta Light Rail (Stage 1) as a seminal case study. It identifies three grand challenges: the profound complexity of utility diversions in a congested urban corridor, fragmented stakeholder management leading to a loss of social license, and the resultant severe impacts on project delivery performance. The investigation reveals these are not discrete issues but are intrinsically linked through reinforcing feedback loops, where technical problems trigger managerial and commercial crises. A comparative review of best practices from Melbourne's Metro Tunnel and Copenhagen's City Ring Metro demonstrates the efficacy of proactive utility investigation and immersive stakeholder engagement. The report concludes by proposing a transformative framework for the Australian construction industry, built upon three pillars: the adoption of Project Digital Twins for predictive analytics, the implementation of collaborative project delivery models to foster a culture of shared risk, and the strategic deployment of Modern Methods of Construction (MMC) including Modular Integrated Construction (MiC). The lessons from Parramatta Light Rail are posited not as a failure, but as an imperative catalyst for industry-wide evolution towards more digital, collaborative, and resilient project delivery systems.</w:t>
      </w:r>
    </w:p>
    <w:p w14:paraId="3FDC51BB"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 Introduction</w:t>
      </w:r>
    </w:p>
    <w:p w14:paraId="02383C38"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Australian construction industry stands at a critical juncture, tasked with delivering an unprecedented pipeline of urban infrastructure to support growing populations and facilitate the transition to sustainable cities. Yet, the sector is consistently beleaguered by a reputation for cost overruns, delays, and community disruption. Urban transit megaprojects, with their inherent complexity and visibility, </w:t>
      </w:r>
      <w:r>
        <w:rPr>
          <w:rFonts w:ascii="Segoe UI" w:hAnsi="Segoe UI" w:cs="Segoe UI"/>
          <w:color w:val="0F1115"/>
        </w:rPr>
        <w:lastRenderedPageBreak/>
        <w:t>crystallise these challenges. The </w:t>
      </w:r>
      <w:r>
        <w:rPr>
          <w:rStyle w:val="Strong"/>
          <w:rFonts w:ascii="Segoe UI" w:eastAsiaTheme="majorEastAsia" w:hAnsi="Segoe UI" w:cs="Segoe UI"/>
          <w:color w:val="0F1115"/>
        </w:rPr>
        <w:t>Parramatta Light Rail (PLR) Stage 1</w:t>
      </w:r>
      <w:r>
        <w:rPr>
          <w:rFonts w:ascii="Segoe UI" w:hAnsi="Segoe UI" w:cs="Segoe UI"/>
          <w:color w:val="0F1115"/>
        </w:rPr>
        <w:t>, a $2.4 billion project linking Westmead to Carlingford via the Parramatta CBD, serves as a potent and illustrative case study of the grand challenges confronting the industry today (Transport for NSW, 2023).</w:t>
      </w:r>
    </w:p>
    <w:p w14:paraId="426AD62F"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While its strategic objectives—catalysing urban renewal, improving public transport connectivity, and supporting a doubling of the local population—are unequivocally sound, the project's delivery has been marked by significant operational and managerial difficulties. These challenges are not unique to Parramatta but are symptomatic of deeper, systemic issues within the conventional approach to project delivery in Australia.</w:t>
      </w:r>
    </w:p>
    <w:p w14:paraId="17A79881"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report provides a forensic examination of the PLR project. It moves beyond a superficial listing of problems to conduct a systems-based analysis that investigates the root causes and, critically, the </w:t>
      </w:r>
      <w:r>
        <w:rPr>
          <w:rStyle w:val="Strong"/>
          <w:rFonts w:ascii="Segoe UI" w:eastAsiaTheme="majorEastAsia" w:hAnsi="Segoe UI" w:cs="Segoe UI"/>
          <w:color w:val="0F1115"/>
        </w:rPr>
        <w:t>intrinsic synergies and feedback loops</w:t>
      </w:r>
      <w:r>
        <w:rPr>
          <w:rFonts w:ascii="Segoe UI" w:hAnsi="Segoe UI" w:cs="Segoe UI"/>
          <w:color w:val="0F1115"/>
        </w:rPr>
        <w:t> between identified challenges. The analysis is fortified by a rigorous review of international best practices, providing a benchmark for performance and a source of proven solutions. Finally, the report projects forward, framing these challenges as a catalyst for embracing a suite of emerging digital, contractual, and technological opportunities. The objective is to articulate a clear pathway for the Australian construction industry to enhance its resilience, efficiency, and social value, transforming the lessons from Parramatta into a blueprint for future success.</w:t>
      </w:r>
    </w:p>
    <w:p w14:paraId="139245A9"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Identification of Main Challenges</w:t>
      </w:r>
    </w:p>
    <w:p w14:paraId="6D873218"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delivery of the PLR has exposed a nexus of grand challenges that can be categorised into three interconnected domains: technical, managerial, and commercial.</w:t>
      </w:r>
    </w:p>
    <w:p w14:paraId="7699AA6B"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2.1 Technical Complexity: Subsurface Uncertainty and Utility Diversion</w:t>
      </w:r>
      <w:r>
        <w:rPr>
          <w:rFonts w:ascii="Segoe UI" w:hAnsi="Segoe UI" w:cs="Segoe UI"/>
          <w:color w:val="0F1115"/>
        </w:rPr>
        <w:br/>
        <w:t>The most formidable technical challenge has been the management of the congested and poorly documented subsurface environment. The project corridor is a dense tapestry of ageing and critical utilities, including water mains, high-voltage electricity cables, gas pipelines, and telecommunications infrastructure, all requiring extensive and complex diversion works.</w:t>
      </w:r>
    </w:p>
    <w:p w14:paraId="002BB3B3" w14:textId="77777777" w:rsidR="00552D52" w:rsidRDefault="00552D52" w:rsidP="00552D52">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Incidents included the encounter of undocumented Telstra fibre optic trunks, which necessitated a six-week work stoppage for delicate manual excavation and track realignment (Infrastructure NSW, 2024). Furthermore, the collapse of a century-old stormwater pipe during piling operations highlighted the fragility of existing assets. These conflicts were not isolated but recurrent, becoming the primary driver of design changes and construction delays.</w:t>
      </w:r>
    </w:p>
    <w:p w14:paraId="27999200" w14:textId="77777777" w:rsidR="00552D52" w:rsidRDefault="00552D52" w:rsidP="00552D52">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lastRenderedPageBreak/>
        <w:t>Root Causes:</w:t>
      </w:r>
      <w:r>
        <w:rPr>
          <w:rFonts w:ascii="Segoe UI" w:hAnsi="Segoe UI" w:cs="Segoe UI"/>
          <w:color w:val="0F1115"/>
        </w:rPr>
        <w:t> This challenge stemmed from inadequate historical records (incomplete or inaccurate as-built drawings), the brittle state of ageing infrastructure, and the imperative to maintain continuous service to a live CBD throughout the construction phase.</w:t>
      </w:r>
    </w:p>
    <w:p w14:paraId="4982D7C7"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2.2 Managerial Fragmentation: Stakeholder Engagement and Communication</w:t>
      </w:r>
      <w:r>
        <w:rPr>
          <w:rFonts w:ascii="Segoe UI" w:hAnsi="Segoe UI" w:cs="Segoe UI"/>
          <w:color w:val="0F1115"/>
        </w:rPr>
        <w:br/>
        <w:t>The project impacted a vast and diverse stakeholder ecosystem, including residents affected by noise and dust, local businesses suffering from prolonged loss of footfall and access, multiple tiers of government, and utility asset owners. Initial project communication was often perceived as top-down, transactional, and insufficient, leading to a rapid erosion of public trust and the emergence of formal disputes.</w:t>
      </w:r>
    </w:p>
    <w:p w14:paraId="3B9CC3FC" w14:textId="77777777" w:rsidR="00552D52" w:rsidRDefault="00552D52" w:rsidP="00552D52">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Organised business group protests and sustained negative media coverage became a significant feature of the project's lifecycle. A survey conducted by the Parramatta Chamber of Commerce in 2024 indicated that 68% of local businesses along the route reported a severe negative impact on revenue. This culminated in political pressure that forced costly scope changes, such as the implementation of additional noise barriers and a business compensation package.</w:t>
      </w:r>
    </w:p>
    <w:p w14:paraId="08177A75" w14:textId="77777777" w:rsidR="00552D52" w:rsidRDefault="00552D52" w:rsidP="00552D52">
      <w:pPr>
        <w:pStyle w:val="ds-markdown-paragraph"/>
        <w:numPr>
          <w:ilvl w:val="0"/>
          <w:numId w:val="3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A reactive, rather than proactive, engagement strategy; siloed communication between the principal contractor, Transport for NSW, and utility companies; and a critical underestimation of the socio-economic impact on small businesses.</w:t>
      </w:r>
    </w:p>
    <w:p w14:paraId="07C1A12A"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2.3 Commercial Impacts: Project Delivery Performance and Viability</w:t>
      </w:r>
      <w:r>
        <w:rPr>
          <w:rFonts w:ascii="Segoe UI" w:hAnsi="Segoe UI" w:cs="Segoe UI"/>
          <w:color w:val="0F1115"/>
        </w:rPr>
        <w:br/>
        <w:t>The interplay of the technical and managerial challenges directly manifested in traditional project performance metrics, threatening the project's viability and public value proposition.</w:t>
      </w:r>
    </w:p>
    <w:p w14:paraId="2A5086C0" w14:textId="77777777" w:rsidR="00552D52" w:rsidRDefault="00552D52" w:rsidP="00552D52">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The project timeline extended by over 18 months from the original forecast, with the commercial opening delayed accordingly. Financially, the final project cost is projected to exceed the initial budget by approximately 20%, representing a cost escalation of nearly $480 million (Auditor-General for New South Wales, 2024).</w:t>
      </w:r>
    </w:p>
    <w:p w14:paraId="6E4E39F5" w14:textId="77777777" w:rsidR="00552D52" w:rsidRDefault="00552D52" w:rsidP="00552D52">
      <w:pPr>
        <w:pStyle w:val="ds-markdown-paragraph"/>
        <w:numPr>
          <w:ilvl w:val="0"/>
          <w:numId w:val="3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The primary drivers were the cumulative impact of utility-related delays (critical path impacts), the costs associated with stakeholder mitigation measures, unplanned redesign work, and the general inefficiency of operating in a high-disruption, high-conflict environment.</w:t>
      </w:r>
    </w:p>
    <w:p w14:paraId="4A124D69"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Table 1: Summary of Grand Challenges in the Parramatta Light Rail Project</w:t>
      </w:r>
    </w:p>
    <w:tbl>
      <w:tblPr>
        <w:tblW w:w="0" w:type="auto"/>
        <w:tblCellMar>
          <w:top w:w="15" w:type="dxa"/>
          <w:left w:w="15" w:type="dxa"/>
          <w:bottom w:w="15" w:type="dxa"/>
          <w:right w:w="15" w:type="dxa"/>
        </w:tblCellMar>
        <w:tblLook w:val="04A0" w:firstRow="1" w:lastRow="0" w:firstColumn="1" w:lastColumn="0" w:noHBand="0" w:noVBand="1"/>
      </w:tblPr>
      <w:tblGrid>
        <w:gridCol w:w="1902"/>
        <w:gridCol w:w="2377"/>
        <w:gridCol w:w="2587"/>
        <w:gridCol w:w="2160"/>
      </w:tblGrid>
      <w:tr w:rsidR="00552D52" w14:paraId="3CB9A386" w14:textId="77777777">
        <w:trPr>
          <w:tblHeader/>
        </w:trPr>
        <w:tc>
          <w:tcPr>
            <w:tcW w:w="0" w:type="auto"/>
            <w:tcBorders>
              <w:top w:val="nil"/>
            </w:tcBorders>
            <w:tcMar>
              <w:top w:w="150" w:type="dxa"/>
              <w:left w:w="0" w:type="dxa"/>
              <w:bottom w:w="150" w:type="dxa"/>
              <w:right w:w="240" w:type="dxa"/>
            </w:tcMar>
            <w:vAlign w:val="center"/>
            <w:hideMark/>
          </w:tcPr>
          <w:p w14:paraId="3B309414" w14:textId="77777777" w:rsidR="00552D52" w:rsidRDefault="00552D52">
            <w:pPr>
              <w:spacing w:line="375" w:lineRule="atLeast"/>
              <w:rPr>
                <w:rFonts w:ascii="Segoe UI" w:hAnsi="Segoe UI" w:cs="Segoe UI"/>
                <w:sz w:val="23"/>
                <w:szCs w:val="23"/>
              </w:rPr>
            </w:pPr>
            <w:r>
              <w:rPr>
                <w:rFonts w:ascii="Segoe UI" w:hAnsi="Segoe UI" w:cs="Segoe UI"/>
                <w:sz w:val="23"/>
                <w:szCs w:val="23"/>
              </w:rPr>
              <w:lastRenderedPageBreak/>
              <w:t>Challenge Domain</w:t>
            </w:r>
          </w:p>
        </w:tc>
        <w:tc>
          <w:tcPr>
            <w:tcW w:w="0" w:type="auto"/>
            <w:tcBorders>
              <w:top w:val="nil"/>
            </w:tcBorders>
            <w:tcMar>
              <w:top w:w="150" w:type="dxa"/>
              <w:left w:w="240" w:type="dxa"/>
              <w:bottom w:w="150" w:type="dxa"/>
              <w:right w:w="240" w:type="dxa"/>
            </w:tcMar>
            <w:vAlign w:val="center"/>
            <w:hideMark/>
          </w:tcPr>
          <w:p w14:paraId="51ADA26C" w14:textId="77777777" w:rsidR="00552D52" w:rsidRDefault="00552D52">
            <w:pPr>
              <w:spacing w:line="375" w:lineRule="atLeast"/>
              <w:rPr>
                <w:rFonts w:ascii="Segoe UI" w:hAnsi="Segoe UI" w:cs="Segoe UI"/>
                <w:sz w:val="23"/>
                <w:szCs w:val="23"/>
              </w:rPr>
            </w:pPr>
            <w:r>
              <w:rPr>
                <w:rFonts w:ascii="Segoe UI" w:hAnsi="Segoe UI" w:cs="Segoe UI"/>
                <w:sz w:val="23"/>
                <w:szCs w:val="23"/>
              </w:rPr>
              <w:t>Specific Manifestation</w:t>
            </w:r>
          </w:p>
        </w:tc>
        <w:tc>
          <w:tcPr>
            <w:tcW w:w="0" w:type="auto"/>
            <w:tcBorders>
              <w:top w:val="nil"/>
            </w:tcBorders>
            <w:tcMar>
              <w:top w:w="150" w:type="dxa"/>
              <w:left w:w="240" w:type="dxa"/>
              <w:bottom w:w="150" w:type="dxa"/>
              <w:right w:w="240" w:type="dxa"/>
            </w:tcMar>
            <w:vAlign w:val="center"/>
            <w:hideMark/>
          </w:tcPr>
          <w:p w14:paraId="0D3CFD4D" w14:textId="77777777" w:rsidR="00552D52" w:rsidRDefault="00552D52">
            <w:pPr>
              <w:spacing w:line="375" w:lineRule="atLeast"/>
              <w:rPr>
                <w:rFonts w:ascii="Segoe UI" w:hAnsi="Segoe UI" w:cs="Segoe UI"/>
                <w:sz w:val="23"/>
                <w:szCs w:val="23"/>
              </w:rPr>
            </w:pPr>
            <w:r>
              <w:rPr>
                <w:rFonts w:ascii="Segoe UI" w:hAnsi="Segoe UI" w:cs="Segoe UI"/>
                <w:sz w:val="23"/>
                <w:szCs w:val="23"/>
              </w:rPr>
              <w:t>Root Cause(s)</w:t>
            </w:r>
          </w:p>
        </w:tc>
        <w:tc>
          <w:tcPr>
            <w:tcW w:w="0" w:type="auto"/>
            <w:tcBorders>
              <w:top w:val="nil"/>
            </w:tcBorders>
            <w:tcMar>
              <w:top w:w="150" w:type="dxa"/>
              <w:left w:w="240" w:type="dxa"/>
              <w:bottom w:w="150" w:type="dxa"/>
              <w:right w:w="240" w:type="dxa"/>
            </w:tcMar>
            <w:vAlign w:val="center"/>
            <w:hideMark/>
          </w:tcPr>
          <w:p w14:paraId="77CE344F" w14:textId="77777777" w:rsidR="00552D52" w:rsidRDefault="00552D52">
            <w:pPr>
              <w:spacing w:line="375" w:lineRule="atLeast"/>
              <w:rPr>
                <w:rFonts w:ascii="Segoe UI" w:hAnsi="Segoe UI" w:cs="Segoe UI"/>
                <w:sz w:val="23"/>
                <w:szCs w:val="23"/>
              </w:rPr>
            </w:pPr>
            <w:r>
              <w:rPr>
                <w:rFonts w:ascii="Segoe UI" w:hAnsi="Segoe UI" w:cs="Segoe UI"/>
                <w:sz w:val="23"/>
                <w:szCs w:val="23"/>
              </w:rPr>
              <w:t>Direct Impact on Project</w:t>
            </w:r>
          </w:p>
        </w:tc>
      </w:tr>
      <w:tr w:rsidR="00552D52" w14:paraId="7490ED6B" w14:textId="77777777">
        <w:tc>
          <w:tcPr>
            <w:tcW w:w="0" w:type="auto"/>
            <w:tcMar>
              <w:top w:w="150" w:type="dxa"/>
              <w:left w:w="0" w:type="dxa"/>
              <w:bottom w:w="150" w:type="dxa"/>
              <w:right w:w="240" w:type="dxa"/>
            </w:tcMar>
            <w:vAlign w:val="center"/>
            <w:hideMark/>
          </w:tcPr>
          <w:p w14:paraId="38C32A04" w14:textId="77777777" w:rsidR="00552D52" w:rsidRDefault="00552D52">
            <w:pPr>
              <w:spacing w:line="375" w:lineRule="atLeast"/>
              <w:rPr>
                <w:rFonts w:ascii="Segoe UI" w:hAnsi="Segoe UI" w:cs="Segoe UI"/>
                <w:sz w:val="23"/>
                <w:szCs w:val="23"/>
              </w:rPr>
            </w:pPr>
            <w:r>
              <w:rPr>
                <w:rStyle w:val="Strong"/>
                <w:rFonts w:ascii="Segoe UI" w:hAnsi="Segoe UI" w:cs="Segoe UI"/>
                <w:sz w:val="23"/>
                <w:szCs w:val="23"/>
              </w:rPr>
              <w:t>Technical: Utility Diversion</w:t>
            </w:r>
          </w:p>
        </w:tc>
        <w:tc>
          <w:tcPr>
            <w:tcW w:w="0" w:type="auto"/>
            <w:tcMar>
              <w:top w:w="150" w:type="dxa"/>
              <w:left w:w="240" w:type="dxa"/>
              <w:bottom w:w="150" w:type="dxa"/>
              <w:right w:w="240" w:type="dxa"/>
            </w:tcMar>
            <w:vAlign w:val="center"/>
            <w:hideMark/>
          </w:tcPr>
          <w:p w14:paraId="322FA93B" w14:textId="77777777" w:rsidR="00552D52" w:rsidRDefault="00552D52">
            <w:pPr>
              <w:spacing w:line="375" w:lineRule="atLeast"/>
              <w:rPr>
                <w:rFonts w:ascii="Segoe UI" w:hAnsi="Segoe UI" w:cs="Segoe UI"/>
                <w:sz w:val="23"/>
                <w:szCs w:val="23"/>
              </w:rPr>
            </w:pPr>
            <w:r>
              <w:rPr>
                <w:rFonts w:ascii="Segoe UI" w:hAnsi="Segoe UI" w:cs="Segoe UI"/>
                <w:sz w:val="23"/>
                <w:szCs w:val="23"/>
              </w:rPr>
              <w:t>- Encounter of undocumented services.</w:t>
            </w:r>
            <w:r>
              <w:rPr>
                <w:rFonts w:ascii="Segoe UI" w:hAnsi="Segoe UI" w:cs="Segoe UI"/>
                <w:sz w:val="23"/>
                <w:szCs w:val="23"/>
              </w:rPr>
              <w:br/>
              <w:t>- Collapse of ageing stormwater assets.</w:t>
            </w:r>
            <w:r>
              <w:rPr>
                <w:rFonts w:ascii="Segoe UI" w:hAnsi="Segoe UI" w:cs="Segoe UI"/>
                <w:sz w:val="23"/>
                <w:szCs w:val="23"/>
              </w:rPr>
              <w:br/>
              <w:t>- Conflicts between gas and power lines.</w:t>
            </w:r>
          </w:p>
        </w:tc>
        <w:tc>
          <w:tcPr>
            <w:tcW w:w="0" w:type="auto"/>
            <w:tcMar>
              <w:top w:w="150" w:type="dxa"/>
              <w:left w:w="240" w:type="dxa"/>
              <w:bottom w:w="150" w:type="dxa"/>
              <w:right w:w="240" w:type="dxa"/>
            </w:tcMar>
            <w:vAlign w:val="center"/>
            <w:hideMark/>
          </w:tcPr>
          <w:p w14:paraId="697C04BD" w14:textId="77777777" w:rsidR="00552D52" w:rsidRDefault="00552D52">
            <w:pPr>
              <w:spacing w:line="375" w:lineRule="atLeast"/>
              <w:rPr>
                <w:rFonts w:ascii="Segoe UI" w:hAnsi="Segoe UI" w:cs="Segoe UI"/>
                <w:sz w:val="23"/>
                <w:szCs w:val="23"/>
              </w:rPr>
            </w:pPr>
            <w:r>
              <w:rPr>
                <w:rFonts w:ascii="Segoe UI" w:hAnsi="Segoe UI" w:cs="Segoe UI"/>
                <w:sz w:val="23"/>
                <w:szCs w:val="23"/>
              </w:rPr>
              <w:t>- Poor historical records (as-built data).</w:t>
            </w:r>
            <w:r>
              <w:rPr>
                <w:rFonts w:ascii="Segoe UI" w:hAnsi="Segoe UI" w:cs="Segoe UI"/>
                <w:sz w:val="23"/>
                <w:szCs w:val="23"/>
              </w:rPr>
              <w:br/>
              <w:t>- Ageing and fragile infrastructure.</w:t>
            </w:r>
            <w:r>
              <w:rPr>
                <w:rFonts w:ascii="Segoe UI" w:hAnsi="Segoe UI" w:cs="Segoe UI"/>
                <w:sz w:val="23"/>
                <w:szCs w:val="23"/>
              </w:rPr>
              <w:br/>
              <w:t>- High-density urban corridor.</w:t>
            </w:r>
          </w:p>
        </w:tc>
        <w:tc>
          <w:tcPr>
            <w:tcW w:w="0" w:type="auto"/>
            <w:tcMar>
              <w:top w:w="150" w:type="dxa"/>
              <w:left w:w="240" w:type="dxa"/>
              <w:bottom w:w="150" w:type="dxa"/>
              <w:right w:w="0" w:type="dxa"/>
            </w:tcMar>
            <w:vAlign w:val="center"/>
            <w:hideMark/>
          </w:tcPr>
          <w:p w14:paraId="55CEAB5D" w14:textId="77777777" w:rsidR="00552D52" w:rsidRDefault="00552D52">
            <w:pPr>
              <w:spacing w:line="375" w:lineRule="atLeast"/>
              <w:rPr>
                <w:rFonts w:ascii="Segoe UI" w:hAnsi="Segoe UI" w:cs="Segoe UI"/>
                <w:sz w:val="23"/>
                <w:szCs w:val="23"/>
              </w:rPr>
            </w:pPr>
            <w:r>
              <w:rPr>
                <w:rFonts w:ascii="Segoe UI" w:hAnsi="Segoe UI" w:cs="Segoe UI"/>
                <w:sz w:val="23"/>
                <w:szCs w:val="23"/>
              </w:rPr>
              <w:t>- Critical path delays (avg. 8 weeks per major conflict).</w:t>
            </w:r>
            <w:r>
              <w:rPr>
                <w:rFonts w:ascii="Segoe UI" w:hAnsi="Segoe UI" w:cs="Segoe UI"/>
                <w:sz w:val="23"/>
                <w:szCs w:val="23"/>
              </w:rPr>
              <w:br/>
              <w:t>- Unplanned redesign costs.</w:t>
            </w:r>
            <w:r>
              <w:rPr>
                <w:rFonts w:ascii="Segoe UI" w:hAnsi="Segoe UI" w:cs="Segoe UI"/>
                <w:sz w:val="23"/>
                <w:szCs w:val="23"/>
              </w:rPr>
              <w:br/>
              <w:t>- Contractor claims for variations.</w:t>
            </w:r>
          </w:p>
        </w:tc>
      </w:tr>
      <w:tr w:rsidR="00552D52" w14:paraId="7D88956F" w14:textId="77777777">
        <w:tc>
          <w:tcPr>
            <w:tcW w:w="0" w:type="auto"/>
            <w:tcMar>
              <w:top w:w="150" w:type="dxa"/>
              <w:left w:w="0" w:type="dxa"/>
              <w:bottom w:w="150" w:type="dxa"/>
              <w:right w:w="240" w:type="dxa"/>
            </w:tcMar>
            <w:vAlign w:val="center"/>
            <w:hideMark/>
          </w:tcPr>
          <w:p w14:paraId="76F10B84" w14:textId="77777777" w:rsidR="00552D52" w:rsidRDefault="00552D52">
            <w:pPr>
              <w:spacing w:line="375" w:lineRule="atLeast"/>
              <w:rPr>
                <w:rFonts w:ascii="Segoe UI" w:hAnsi="Segoe UI" w:cs="Segoe UI"/>
                <w:sz w:val="23"/>
                <w:szCs w:val="23"/>
              </w:rPr>
            </w:pPr>
            <w:r>
              <w:rPr>
                <w:rStyle w:val="Strong"/>
                <w:rFonts w:ascii="Segoe UI" w:hAnsi="Segoe UI" w:cs="Segoe UI"/>
                <w:sz w:val="23"/>
                <w:szCs w:val="23"/>
              </w:rPr>
              <w:t>Managerial: Stakeholder Engagement</w:t>
            </w:r>
          </w:p>
        </w:tc>
        <w:tc>
          <w:tcPr>
            <w:tcW w:w="0" w:type="auto"/>
            <w:tcMar>
              <w:top w:w="150" w:type="dxa"/>
              <w:left w:w="240" w:type="dxa"/>
              <w:bottom w:w="150" w:type="dxa"/>
              <w:right w:w="240" w:type="dxa"/>
            </w:tcMar>
            <w:vAlign w:val="center"/>
            <w:hideMark/>
          </w:tcPr>
          <w:p w14:paraId="1853CBA7" w14:textId="77777777" w:rsidR="00552D52" w:rsidRDefault="00552D52">
            <w:pPr>
              <w:spacing w:line="375" w:lineRule="atLeast"/>
              <w:rPr>
                <w:rFonts w:ascii="Segoe UI" w:hAnsi="Segoe UI" w:cs="Segoe UI"/>
                <w:sz w:val="23"/>
                <w:szCs w:val="23"/>
              </w:rPr>
            </w:pPr>
            <w:r>
              <w:rPr>
                <w:rFonts w:ascii="Segoe UI" w:hAnsi="Segoe UI" w:cs="Segoe UI"/>
                <w:sz w:val="23"/>
                <w:szCs w:val="23"/>
              </w:rPr>
              <w:t>- Business group protests and media campaigns.</w:t>
            </w:r>
            <w:r>
              <w:rPr>
                <w:rFonts w:ascii="Segoe UI" w:hAnsi="Segoe UI" w:cs="Segoe UI"/>
                <w:sz w:val="23"/>
                <w:szCs w:val="23"/>
              </w:rPr>
              <w:br/>
              <w:t>- Resident complaints over construction hours.</w:t>
            </w:r>
            <w:r>
              <w:rPr>
                <w:rFonts w:ascii="Segoe UI" w:hAnsi="Segoe UI" w:cs="Segoe UI"/>
                <w:sz w:val="23"/>
                <w:szCs w:val="23"/>
              </w:rPr>
              <w:br/>
              <w:t>- Inter-agency coordination delays.</w:t>
            </w:r>
          </w:p>
        </w:tc>
        <w:tc>
          <w:tcPr>
            <w:tcW w:w="0" w:type="auto"/>
            <w:tcMar>
              <w:top w:w="150" w:type="dxa"/>
              <w:left w:w="240" w:type="dxa"/>
              <w:bottom w:w="150" w:type="dxa"/>
              <w:right w:w="240" w:type="dxa"/>
            </w:tcMar>
            <w:vAlign w:val="center"/>
            <w:hideMark/>
          </w:tcPr>
          <w:p w14:paraId="61B89384" w14:textId="77777777" w:rsidR="00552D52" w:rsidRDefault="00552D52">
            <w:pPr>
              <w:spacing w:line="375" w:lineRule="atLeast"/>
              <w:rPr>
                <w:rFonts w:ascii="Segoe UI" w:hAnsi="Segoe UI" w:cs="Segoe UI"/>
                <w:sz w:val="23"/>
                <w:szCs w:val="23"/>
              </w:rPr>
            </w:pPr>
            <w:r>
              <w:rPr>
                <w:rFonts w:ascii="Segoe UI" w:hAnsi="Segoe UI" w:cs="Segoe UI"/>
                <w:sz w:val="23"/>
                <w:szCs w:val="23"/>
              </w:rPr>
              <w:t>- Reactive communication strategy.</w:t>
            </w:r>
            <w:r>
              <w:rPr>
                <w:rFonts w:ascii="Segoe UI" w:hAnsi="Segoe UI" w:cs="Segoe UI"/>
                <w:sz w:val="23"/>
                <w:szCs w:val="23"/>
              </w:rPr>
              <w:br/>
              <w:t>- Siloed information between project entities.</w:t>
            </w:r>
            <w:r>
              <w:rPr>
                <w:rFonts w:ascii="Segoe UI" w:hAnsi="Segoe UI" w:cs="Segoe UI"/>
                <w:sz w:val="23"/>
                <w:szCs w:val="23"/>
              </w:rPr>
              <w:br/>
              <w:t>- Underestimation of socio-economic impact.</w:t>
            </w:r>
          </w:p>
        </w:tc>
        <w:tc>
          <w:tcPr>
            <w:tcW w:w="0" w:type="auto"/>
            <w:tcMar>
              <w:top w:w="150" w:type="dxa"/>
              <w:left w:w="240" w:type="dxa"/>
              <w:bottom w:w="150" w:type="dxa"/>
              <w:right w:w="0" w:type="dxa"/>
            </w:tcMar>
            <w:vAlign w:val="center"/>
            <w:hideMark/>
          </w:tcPr>
          <w:p w14:paraId="01002498" w14:textId="77777777" w:rsidR="00552D52" w:rsidRDefault="00552D52">
            <w:pPr>
              <w:spacing w:line="375" w:lineRule="atLeast"/>
              <w:rPr>
                <w:rFonts w:ascii="Segoe UI" w:hAnsi="Segoe UI" w:cs="Segoe UI"/>
                <w:sz w:val="23"/>
                <w:szCs w:val="23"/>
              </w:rPr>
            </w:pPr>
            <w:r>
              <w:rPr>
                <w:rFonts w:ascii="Segoe UI" w:hAnsi="Segoe UI" w:cs="Segoe UI"/>
                <w:sz w:val="23"/>
                <w:szCs w:val="23"/>
              </w:rPr>
              <w:t>- Costly scope changes (e.g., extra mitigation).</w:t>
            </w:r>
            <w:r>
              <w:rPr>
                <w:rFonts w:ascii="Segoe UI" w:hAnsi="Segoe UI" w:cs="Segoe UI"/>
                <w:sz w:val="23"/>
                <w:szCs w:val="23"/>
              </w:rPr>
              <w:br/>
              <w:t>- Reputational damage.</w:t>
            </w:r>
            <w:r>
              <w:rPr>
                <w:rFonts w:ascii="Segoe UI" w:hAnsi="Segoe UI" w:cs="Segoe UI"/>
                <w:sz w:val="23"/>
                <w:szCs w:val="23"/>
              </w:rPr>
              <w:br/>
              <w:t>- Political intervention and oversight.</w:t>
            </w:r>
          </w:p>
        </w:tc>
      </w:tr>
      <w:tr w:rsidR="00552D52" w14:paraId="6AB3D65C" w14:textId="77777777">
        <w:tc>
          <w:tcPr>
            <w:tcW w:w="0" w:type="auto"/>
            <w:tcMar>
              <w:top w:w="150" w:type="dxa"/>
              <w:left w:w="0" w:type="dxa"/>
              <w:bottom w:w="150" w:type="dxa"/>
              <w:right w:w="240" w:type="dxa"/>
            </w:tcMar>
            <w:vAlign w:val="center"/>
            <w:hideMark/>
          </w:tcPr>
          <w:p w14:paraId="7BD9C8B2" w14:textId="77777777" w:rsidR="00552D52" w:rsidRDefault="00552D52">
            <w:pPr>
              <w:spacing w:line="375" w:lineRule="atLeast"/>
              <w:rPr>
                <w:rFonts w:ascii="Segoe UI" w:hAnsi="Segoe UI" w:cs="Segoe UI"/>
                <w:sz w:val="23"/>
                <w:szCs w:val="23"/>
              </w:rPr>
            </w:pPr>
            <w:r>
              <w:rPr>
                <w:rStyle w:val="Strong"/>
                <w:rFonts w:ascii="Segoe UI" w:hAnsi="Segoe UI" w:cs="Segoe UI"/>
                <w:sz w:val="23"/>
                <w:szCs w:val="23"/>
              </w:rPr>
              <w:t>Commercial: Delivery Performance</w:t>
            </w:r>
          </w:p>
        </w:tc>
        <w:tc>
          <w:tcPr>
            <w:tcW w:w="0" w:type="auto"/>
            <w:tcMar>
              <w:top w:w="150" w:type="dxa"/>
              <w:left w:w="240" w:type="dxa"/>
              <w:bottom w:w="150" w:type="dxa"/>
              <w:right w:w="240" w:type="dxa"/>
            </w:tcMar>
            <w:vAlign w:val="center"/>
            <w:hideMark/>
          </w:tcPr>
          <w:p w14:paraId="6CF54654" w14:textId="77777777" w:rsidR="00552D52" w:rsidRDefault="00552D52">
            <w:pPr>
              <w:spacing w:line="375" w:lineRule="atLeast"/>
              <w:rPr>
                <w:rFonts w:ascii="Segoe UI" w:hAnsi="Segoe UI" w:cs="Segoe UI"/>
                <w:sz w:val="23"/>
                <w:szCs w:val="23"/>
              </w:rPr>
            </w:pPr>
            <w:r>
              <w:rPr>
                <w:rFonts w:ascii="Segoe UI" w:hAnsi="Segoe UI" w:cs="Segoe UI"/>
                <w:sz w:val="23"/>
                <w:szCs w:val="23"/>
              </w:rPr>
              <w:t>- Schedule slippage of &gt;18 months.</w:t>
            </w:r>
            <w:r>
              <w:rPr>
                <w:rFonts w:ascii="Segoe UI" w:hAnsi="Segoe UI" w:cs="Segoe UI"/>
                <w:sz w:val="23"/>
                <w:szCs w:val="23"/>
              </w:rPr>
              <w:br/>
              <w:t>- Budget escalation of ~20% ($~480m).</w:t>
            </w:r>
          </w:p>
        </w:tc>
        <w:tc>
          <w:tcPr>
            <w:tcW w:w="0" w:type="auto"/>
            <w:tcMar>
              <w:top w:w="150" w:type="dxa"/>
              <w:left w:w="240" w:type="dxa"/>
              <w:bottom w:w="150" w:type="dxa"/>
              <w:right w:w="240" w:type="dxa"/>
            </w:tcMar>
            <w:vAlign w:val="center"/>
            <w:hideMark/>
          </w:tcPr>
          <w:p w14:paraId="1897F37D" w14:textId="77777777" w:rsidR="00552D52" w:rsidRDefault="00552D52">
            <w:pPr>
              <w:spacing w:line="375" w:lineRule="atLeast"/>
              <w:rPr>
                <w:rFonts w:ascii="Segoe UI" w:hAnsi="Segoe UI" w:cs="Segoe UI"/>
                <w:sz w:val="23"/>
                <w:szCs w:val="23"/>
              </w:rPr>
            </w:pPr>
            <w:r>
              <w:rPr>
                <w:rFonts w:ascii="Segoe UI" w:hAnsi="Segoe UI" w:cs="Segoe UI"/>
                <w:sz w:val="23"/>
                <w:szCs w:val="23"/>
              </w:rPr>
              <w:t>- Compound delays from utilities and stakeholder issues.</w:t>
            </w:r>
            <w:r>
              <w:rPr>
                <w:rFonts w:ascii="Segoe UI" w:hAnsi="Segoe UI" w:cs="Segoe UI"/>
                <w:sz w:val="23"/>
                <w:szCs w:val="23"/>
              </w:rPr>
              <w:br/>
              <w:t>- Inflation and supply chain pressures.</w:t>
            </w:r>
          </w:p>
        </w:tc>
        <w:tc>
          <w:tcPr>
            <w:tcW w:w="0" w:type="auto"/>
            <w:tcMar>
              <w:top w:w="150" w:type="dxa"/>
              <w:left w:w="240" w:type="dxa"/>
              <w:bottom w:w="150" w:type="dxa"/>
              <w:right w:w="0" w:type="dxa"/>
            </w:tcMar>
            <w:vAlign w:val="center"/>
            <w:hideMark/>
          </w:tcPr>
          <w:p w14:paraId="1864B657" w14:textId="77777777" w:rsidR="00552D52" w:rsidRDefault="00552D52">
            <w:pPr>
              <w:spacing w:line="375" w:lineRule="atLeast"/>
              <w:rPr>
                <w:rFonts w:ascii="Segoe UI" w:hAnsi="Segoe UI" w:cs="Segoe UI"/>
                <w:sz w:val="23"/>
                <w:szCs w:val="23"/>
              </w:rPr>
            </w:pPr>
            <w:r>
              <w:rPr>
                <w:rFonts w:ascii="Segoe UI" w:hAnsi="Segoe UI" w:cs="Segoe UI"/>
                <w:sz w:val="23"/>
                <w:szCs w:val="23"/>
              </w:rPr>
              <w:t>- Reduced public benefit realisation.</w:t>
            </w:r>
            <w:r>
              <w:rPr>
                <w:rFonts w:ascii="Segoe UI" w:hAnsi="Segoe UI" w:cs="Segoe UI"/>
                <w:sz w:val="23"/>
                <w:szCs w:val="23"/>
              </w:rPr>
              <w:br/>
              <w:t>- Erosion of investor/public confidence.</w:t>
            </w:r>
            <w:r>
              <w:rPr>
                <w:rFonts w:ascii="Segoe UI" w:hAnsi="Segoe UI" w:cs="Segoe UI"/>
                <w:sz w:val="23"/>
                <w:szCs w:val="23"/>
              </w:rPr>
              <w:br/>
              <w:t>- Increased financing costs.</w:t>
            </w:r>
          </w:p>
        </w:tc>
      </w:tr>
    </w:tbl>
    <w:p w14:paraId="10336E74"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3. Critical Analysis of Intrinsic Connection Between Challenges</w:t>
      </w:r>
    </w:p>
    <w:p w14:paraId="20210241"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challenges delineated in Table 1 are not discrete; they form a tightly coupled, reinforcing system. A systems thinking approach, illustrated in the Causal Loop Diagram (CLD) in Figure 1, reveals the vicious cycles that amplified project risk.</w:t>
      </w:r>
    </w:p>
    <w:p w14:paraId="09F112FA"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Figure 1:</w:t>
      </w:r>
      <w:r>
        <w:rPr>
          <w:rFonts w:ascii="Segoe UI" w:hAnsi="Segoe UI" w:cs="Segoe UI"/>
          <w:color w:val="0F1115"/>
        </w:rPr>
        <w:t> Causal Loop Diagram illustrating the reinforcing feedback loops between challenges in the PLR project.</w:t>
      </w:r>
    </w:p>
    <w:p w14:paraId="0071B772"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most critical nexus is the link between </w:t>
      </w:r>
      <w:r>
        <w:rPr>
          <w:rStyle w:val="Strong"/>
          <w:rFonts w:ascii="Segoe UI" w:eastAsiaTheme="majorEastAsia" w:hAnsi="Segoe UI" w:cs="Segoe UI"/>
          <w:color w:val="0F1115"/>
        </w:rPr>
        <w:t>technical utility conflicts (R1) and stakeholder management (R2)</w:t>
      </w:r>
      <w:r>
        <w:rPr>
          <w:rFonts w:ascii="Segoe UI" w:hAnsi="Segoe UI" w:cs="Segoe UI"/>
          <w:color w:val="0F1115"/>
        </w:rPr>
        <w:t>. An unforeseen utility conflict does not merely cause a technical delay; it immediately extends the duration and geographic footprint of road closures, footpath detours, and noise generation. This directly intensifies the disruption to businesses and residents (Stakeholder Impact). This heightened disruption, when poorly communicated within a context of pre-existing low trust (R3), fuels community frustration, formal complaints, and political pressure. The resulting imposed solutions—often accelerated work schedules or additional mitigation measures—can introduce new technical risks, compromise safety, and further compress schedules, creating a fertile ground for the next utility conflict. The project was thus caught in a systemic trap where solving one problem inadvertently exacerbated another.</w:t>
      </w:r>
    </w:p>
    <w:p w14:paraId="259753DA"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4. Review of Local and Global Best Practices</w:t>
      </w:r>
    </w:p>
    <w:p w14:paraId="397897F5"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comparative analysis with leading international projects reveals strategic paradigms that can de-escalate the vicious cycles identified in the PLR.</w:t>
      </w:r>
    </w:p>
    <w:p w14:paraId="626A551A"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4.1 Melbourne Metro Tunnel Project (Local Best Practice)</w:t>
      </w:r>
      <w:r>
        <w:rPr>
          <w:rFonts w:ascii="Segoe UI" w:hAnsi="Segoe UI" w:cs="Segoe UI"/>
          <w:color w:val="0F1115"/>
        </w:rPr>
        <w:br/>
        <w:t>The Melbourne Metro Tunnel project faced a similarly congested subsurface in the Melbourne CBD. Its success is largely attributed to a </w:t>
      </w:r>
      <w:r>
        <w:rPr>
          <w:rStyle w:val="Strong"/>
          <w:rFonts w:ascii="Segoe UI" w:eastAsiaTheme="majorEastAsia" w:hAnsi="Segoe UI" w:cs="Segoe UI"/>
          <w:color w:val="0F1115"/>
        </w:rPr>
        <w:t>Proactive Utility Investigation and Engagement (PUIE) model</w:t>
      </w:r>
      <w:r>
        <w:rPr>
          <w:rFonts w:ascii="Segoe UI" w:hAnsi="Segoe UI" w:cs="Segoe UI"/>
          <w:color w:val="0F1115"/>
        </w:rPr>
        <w:t>, which directly attacks the root of the technical challenge.</w:t>
      </w:r>
    </w:p>
    <w:p w14:paraId="244FA65B" w14:textId="77777777" w:rsidR="00552D52" w:rsidRDefault="00552D52" w:rsidP="00552D52">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The project established a dedicated, integrated utility coordination team that worked with utility providers from the feasibility stage. They invested heavily in advanced subsurface investigation techniques, including ground-penetrating radar (GPR) and electromagnetic induction (EMI), complemented by strategic potholing. This data was integrated to create a highly accurate "below-ground BIM model" </w:t>
      </w:r>
      <w:r>
        <w:rPr>
          <w:rStyle w:val="Emphasis"/>
          <w:rFonts w:ascii="Segoe UI" w:eastAsiaTheme="majorEastAsia" w:hAnsi="Segoe UI" w:cs="Segoe UI"/>
          <w:color w:val="0F1115"/>
        </w:rPr>
        <w:t>before</w:t>
      </w:r>
      <w:r>
        <w:rPr>
          <w:rFonts w:ascii="Segoe UI" w:hAnsi="Segoe UI" w:cs="Segoe UI"/>
          <w:color w:val="0F1115"/>
        </w:rPr>
        <w:t> finalising designs and tender documents (Rail Projects Victoria, 2022).</w:t>
      </w:r>
    </w:p>
    <w:p w14:paraId="1EADB7B8" w14:textId="77777777" w:rsidR="00552D52" w:rsidRDefault="00552D52" w:rsidP="00552D52">
      <w:pPr>
        <w:pStyle w:val="ds-markdown-paragraph"/>
        <w:numPr>
          <w:ilvl w:val="0"/>
          <w:numId w:val="3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Relevance to PLR:</w:t>
      </w:r>
      <w:r>
        <w:rPr>
          <w:rFonts w:ascii="Segoe UI" w:hAnsi="Segoe UI" w:cs="Segoe UI"/>
          <w:color w:val="0F1115"/>
        </w:rPr>
        <w:t xml:space="preserve"> This front-loaded investment in data acquisition and collaboration would have significantly de-risked the PLR's utility diversion phase. A comprehensive below-ground model allows for the pre-planning of </w:t>
      </w:r>
      <w:r>
        <w:rPr>
          <w:rFonts w:ascii="Segoe UI" w:hAnsi="Segoe UI" w:cs="Segoe UI"/>
          <w:color w:val="0F1115"/>
        </w:rPr>
        <w:lastRenderedPageBreak/>
        <w:t>diversions, identifies conflicts during the design stage, and provides contractors with a reliable basis for pricing, thereby reducing unforeseen conflicts and associated claims.</w:t>
      </w:r>
    </w:p>
    <w:p w14:paraId="096DCC56"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4.2 Copenhagen City Ring Metro (Global Best Practice)</w:t>
      </w:r>
      <w:r>
        <w:rPr>
          <w:rFonts w:ascii="Segoe UI" w:hAnsi="Segoe UI" w:cs="Segoe UI"/>
          <w:color w:val="0F1115"/>
        </w:rPr>
        <w:br/>
        <w:t>Copenhagen's project is a global benchmark for stakeholder management in a sensitive urban environment, offering a model to break the socio-technical cycle (R2).</w:t>
      </w:r>
    </w:p>
    <w:p w14:paraId="5444C573" w14:textId="77777777" w:rsidR="00552D52" w:rsidRDefault="00552D52" w:rsidP="00552D52">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Beyond standard communication, they implemented a central, highly accessible "Information Centre" in the heart of the construction zone, offering immersive, real-time project updates via interactive 3D models. Crucially, they established an independent, project-funded Business Support Scheme that provided proactive financial, marketing, and logistical advice to affected businesses, rather than offering reactive compensation after the fact (Bendixen &amp; Thygesen, 2020).</w:t>
      </w:r>
    </w:p>
    <w:p w14:paraId="6D57AE2F" w14:textId="77777777" w:rsidR="00552D52" w:rsidRDefault="00552D52" w:rsidP="00552D52">
      <w:pPr>
        <w:pStyle w:val="ds-markdown-paragraph"/>
        <w:numPr>
          <w:ilvl w:val="0"/>
          <w:numId w:val="3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Relevance to PLR:</w:t>
      </w:r>
      <w:r>
        <w:rPr>
          <w:rFonts w:ascii="Segoe UI" w:hAnsi="Segoe UI" w:cs="Segoe UI"/>
          <w:color w:val="0F1115"/>
        </w:rPr>
        <w:t> This model of transparent, empathetic, and proactive engagement builds social capital and preserves the "social license to operate." An independent business support system could have mitigated the severe revenue losses and the resulting backlash experienced by Parramatta businesses, transforming adversarial relationships into collaborative partnerships.</w:t>
      </w:r>
    </w:p>
    <w:p w14:paraId="57C22002"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4.3 Crossrail, UK (Digital Best Practice)</w:t>
      </w:r>
      <w:r>
        <w:rPr>
          <w:rFonts w:ascii="Segoe UI" w:hAnsi="Segoe UI" w:cs="Segoe UI"/>
          <w:color w:val="0F1115"/>
        </w:rPr>
        <w:br/>
        <w:t>While facing its own challenges, London's Crossrail project pioneered the use of a centralised </w:t>
      </w:r>
      <w:r>
        <w:rPr>
          <w:rStyle w:val="Strong"/>
          <w:rFonts w:ascii="Segoe UI" w:eastAsiaTheme="majorEastAsia" w:hAnsi="Segoe UI" w:cs="Segoe UI"/>
          <w:color w:val="0F1115"/>
        </w:rPr>
        <w:t>Project Information Model (PIM)</w:t>
      </w:r>
      <w:r>
        <w:rPr>
          <w:rFonts w:ascii="Segoe UI" w:hAnsi="Segoe UI" w:cs="Segoe UI"/>
          <w:color w:val="0F1115"/>
        </w:rPr>
        <w:t> which served as a prototype for a project-scale Digital Twin.</w:t>
      </w:r>
    </w:p>
    <w:p w14:paraId="4D52CBF6" w14:textId="77777777" w:rsidR="00552D52" w:rsidRDefault="00552D52" w:rsidP="00552D52">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The PIM acted as a single source of truth for all project data, integrating 3D design models, programme data, cost information, and document management. This enabled clash detection, 4D scheduling (3D model + time), and facilitated collaboration across dozens of contractors (Wolstenholme et al., 2019).</w:t>
      </w:r>
    </w:p>
    <w:p w14:paraId="7C677108" w14:textId="77777777" w:rsidR="00552D52" w:rsidRDefault="00552D52" w:rsidP="00552D52">
      <w:pPr>
        <w:pStyle w:val="ds-markdown-paragraph"/>
        <w:numPr>
          <w:ilvl w:val="0"/>
          <w:numId w:val="37"/>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Relevance to PLR:</w:t>
      </w:r>
      <w:r>
        <w:rPr>
          <w:rFonts w:ascii="Segoe UI" w:hAnsi="Segoe UI" w:cs="Segoe UI"/>
          <w:color w:val="0F1115"/>
        </w:rPr>
        <w:t> A centralised digital platform for the PLR would have broken down information silos, allowing utility providers, designers, and contractors to collaborate on a shared model. This would have improved the accuracy of utility data and provided a powerful tool for visually communicating impacts and timelines to stakeholders.</w:t>
      </w:r>
    </w:p>
    <w:p w14:paraId="276849DA"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Table 2: Comparative Analysis of Best Practices for Urban Transit Megaprojects</w:t>
      </w:r>
    </w:p>
    <w:tbl>
      <w:tblPr>
        <w:tblW w:w="0" w:type="auto"/>
        <w:tblCellMar>
          <w:top w:w="15" w:type="dxa"/>
          <w:left w:w="15" w:type="dxa"/>
          <w:bottom w:w="15" w:type="dxa"/>
          <w:right w:w="15" w:type="dxa"/>
        </w:tblCellMar>
        <w:tblLook w:val="04A0" w:firstRow="1" w:lastRow="0" w:firstColumn="1" w:lastColumn="0" w:noHBand="0" w:noVBand="1"/>
      </w:tblPr>
      <w:tblGrid>
        <w:gridCol w:w="1945"/>
        <w:gridCol w:w="2010"/>
        <w:gridCol w:w="2109"/>
        <w:gridCol w:w="2962"/>
      </w:tblGrid>
      <w:tr w:rsidR="00552D52" w14:paraId="618AB022" w14:textId="77777777">
        <w:trPr>
          <w:tblHeader/>
        </w:trPr>
        <w:tc>
          <w:tcPr>
            <w:tcW w:w="0" w:type="auto"/>
            <w:tcBorders>
              <w:top w:val="nil"/>
            </w:tcBorders>
            <w:tcMar>
              <w:top w:w="150" w:type="dxa"/>
              <w:left w:w="0" w:type="dxa"/>
              <w:bottom w:w="150" w:type="dxa"/>
              <w:right w:w="240" w:type="dxa"/>
            </w:tcMar>
            <w:vAlign w:val="center"/>
            <w:hideMark/>
          </w:tcPr>
          <w:p w14:paraId="66E5F31B" w14:textId="77777777" w:rsidR="00552D52" w:rsidRDefault="00552D52">
            <w:pPr>
              <w:spacing w:line="375" w:lineRule="atLeast"/>
              <w:rPr>
                <w:rFonts w:ascii="Segoe UI" w:hAnsi="Segoe UI" w:cs="Segoe UI"/>
                <w:sz w:val="23"/>
                <w:szCs w:val="23"/>
              </w:rPr>
            </w:pPr>
            <w:r>
              <w:rPr>
                <w:rFonts w:ascii="Segoe UI" w:hAnsi="Segoe UI" w:cs="Segoe UI"/>
                <w:sz w:val="23"/>
                <w:szCs w:val="23"/>
              </w:rPr>
              <w:lastRenderedPageBreak/>
              <w:t>Project (Challenge Focus)</w:t>
            </w:r>
          </w:p>
        </w:tc>
        <w:tc>
          <w:tcPr>
            <w:tcW w:w="0" w:type="auto"/>
            <w:tcBorders>
              <w:top w:val="nil"/>
            </w:tcBorders>
            <w:tcMar>
              <w:top w:w="150" w:type="dxa"/>
              <w:left w:w="240" w:type="dxa"/>
              <w:bottom w:w="150" w:type="dxa"/>
              <w:right w:w="240" w:type="dxa"/>
            </w:tcMar>
            <w:vAlign w:val="center"/>
            <w:hideMark/>
          </w:tcPr>
          <w:p w14:paraId="1EAC3484" w14:textId="77777777" w:rsidR="00552D52" w:rsidRDefault="00552D52">
            <w:pPr>
              <w:spacing w:line="375" w:lineRule="atLeast"/>
              <w:rPr>
                <w:rFonts w:ascii="Segoe UI" w:hAnsi="Segoe UI" w:cs="Segoe UI"/>
                <w:sz w:val="23"/>
                <w:szCs w:val="23"/>
              </w:rPr>
            </w:pPr>
            <w:r>
              <w:rPr>
                <w:rFonts w:ascii="Segoe UI" w:hAnsi="Segoe UI" w:cs="Segoe UI"/>
                <w:sz w:val="23"/>
                <w:szCs w:val="23"/>
              </w:rPr>
              <w:t>Best Practice Initiative</w:t>
            </w:r>
          </w:p>
        </w:tc>
        <w:tc>
          <w:tcPr>
            <w:tcW w:w="0" w:type="auto"/>
            <w:tcBorders>
              <w:top w:val="nil"/>
            </w:tcBorders>
            <w:tcMar>
              <w:top w:w="150" w:type="dxa"/>
              <w:left w:w="240" w:type="dxa"/>
              <w:bottom w:w="150" w:type="dxa"/>
              <w:right w:w="240" w:type="dxa"/>
            </w:tcMar>
            <w:vAlign w:val="center"/>
            <w:hideMark/>
          </w:tcPr>
          <w:p w14:paraId="4F678066" w14:textId="77777777" w:rsidR="00552D52" w:rsidRDefault="00552D52">
            <w:pPr>
              <w:spacing w:line="375" w:lineRule="atLeast"/>
              <w:rPr>
                <w:rFonts w:ascii="Segoe UI" w:hAnsi="Segoe UI" w:cs="Segoe UI"/>
                <w:sz w:val="23"/>
                <w:szCs w:val="23"/>
              </w:rPr>
            </w:pPr>
            <w:r>
              <w:rPr>
                <w:rFonts w:ascii="Segoe UI" w:hAnsi="Segoe UI" w:cs="Segoe UI"/>
                <w:sz w:val="23"/>
                <w:szCs w:val="23"/>
              </w:rPr>
              <w:t>Key Mechanism</w:t>
            </w:r>
          </w:p>
        </w:tc>
        <w:tc>
          <w:tcPr>
            <w:tcW w:w="0" w:type="auto"/>
            <w:tcBorders>
              <w:top w:val="nil"/>
            </w:tcBorders>
            <w:tcMar>
              <w:top w:w="150" w:type="dxa"/>
              <w:left w:w="240" w:type="dxa"/>
              <w:bottom w:w="150" w:type="dxa"/>
              <w:right w:w="240" w:type="dxa"/>
            </w:tcMar>
            <w:vAlign w:val="center"/>
            <w:hideMark/>
          </w:tcPr>
          <w:p w14:paraId="50B597BB" w14:textId="77777777" w:rsidR="00552D52" w:rsidRDefault="00552D52">
            <w:pPr>
              <w:spacing w:line="375" w:lineRule="atLeast"/>
              <w:rPr>
                <w:rFonts w:ascii="Segoe UI" w:hAnsi="Segoe UI" w:cs="Segoe UI"/>
                <w:sz w:val="23"/>
                <w:szCs w:val="23"/>
              </w:rPr>
            </w:pPr>
            <w:r>
              <w:rPr>
                <w:rFonts w:ascii="Segoe UI" w:hAnsi="Segoe UI" w:cs="Segoe UI"/>
                <w:sz w:val="23"/>
                <w:szCs w:val="23"/>
              </w:rPr>
              <w:t>Application to PLR Context</w:t>
            </w:r>
          </w:p>
        </w:tc>
      </w:tr>
      <w:tr w:rsidR="00552D52" w14:paraId="1BCF2999" w14:textId="77777777">
        <w:tc>
          <w:tcPr>
            <w:tcW w:w="0" w:type="auto"/>
            <w:tcMar>
              <w:top w:w="150" w:type="dxa"/>
              <w:left w:w="0" w:type="dxa"/>
              <w:bottom w:w="150" w:type="dxa"/>
              <w:right w:w="240" w:type="dxa"/>
            </w:tcMar>
            <w:vAlign w:val="center"/>
            <w:hideMark/>
          </w:tcPr>
          <w:p w14:paraId="2093E1F8" w14:textId="77777777" w:rsidR="00552D52" w:rsidRDefault="00552D52">
            <w:pPr>
              <w:spacing w:line="375" w:lineRule="atLeast"/>
              <w:rPr>
                <w:rFonts w:ascii="Segoe UI" w:hAnsi="Segoe UI" w:cs="Segoe UI"/>
                <w:sz w:val="23"/>
                <w:szCs w:val="23"/>
              </w:rPr>
            </w:pPr>
            <w:r>
              <w:rPr>
                <w:rStyle w:val="Strong"/>
                <w:rFonts w:ascii="Segoe UI" w:hAnsi="Segoe UI" w:cs="Segoe UI"/>
                <w:sz w:val="23"/>
                <w:szCs w:val="23"/>
              </w:rPr>
              <w:t>Melbourne Metro Tunnel (Utilities)</w:t>
            </w:r>
          </w:p>
        </w:tc>
        <w:tc>
          <w:tcPr>
            <w:tcW w:w="0" w:type="auto"/>
            <w:tcMar>
              <w:top w:w="150" w:type="dxa"/>
              <w:left w:w="240" w:type="dxa"/>
              <w:bottom w:w="150" w:type="dxa"/>
              <w:right w:w="240" w:type="dxa"/>
            </w:tcMar>
            <w:vAlign w:val="center"/>
            <w:hideMark/>
          </w:tcPr>
          <w:p w14:paraId="6450A3DC" w14:textId="77777777" w:rsidR="00552D52" w:rsidRDefault="00552D52">
            <w:pPr>
              <w:spacing w:line="375" w:lineRule="atLeast"/>
              <w:rPr>
                <w:rFonts w:ascii="Segoe UI" w:hAnsi="Segoe UI" w:cs="Segoe UI"/>
                <w:sz w:val="23"/>
                <w:szCs w:val="23"/>
              </w:rPr>
            </w:pPr>
            <w:r>
              <w:rPr>
                <w:rFonts w:ascii="Segoe UI" w:hAnsi="Segoe UI" w:cs="Segoe UI"/>
                <w:sz w:val="23"/>
                <w:szCs w:val="23"/>
              </w:rPr>
              <w:t>Proactive Utility Investigation &amp; Engagement (PUIE)</w:t>
            </w:r>
          </w:p>
        </w:tc>
        <w:tc>
          <w:tcPr>
            <w:tcW w:w="0" w:type="auto"/>
            <w:tcMar>
              <w:top w:w="150" w:type="dxa"/>
              <w:left w:w="240" w:type="dxa"/>
              <w:bottom w:w="150" w:type="dxa"/>
              <w:right w:w="240" w:type="dxa"/>
            </w:tcMar>
            <w:vAlign w:val="center"/>
            <w:hideMark/>
          </w:tcPr>
          <w:p w14:paraId="04AB14AE" w14:textId="77777777" w:rsidR="00552D52" w:rsidRDefault="00552D52">
            <w:pPr>
              <w:spacing w:line="375" w:lineRule="atLeast"/>
              <w:rPr>
                <w:rFonts w:ascii="Segoe UI" w:hAnsi="Segoe UI" w:cs="Segoe UI"/>
                <w:sz w:val="23"/>
                <w:szCs w:val="23"/>
              </w:rPr>
            </w:pPr>
            <w:r>
              <w:rPr>
                <w:rFonts w:ascii="Segoe UI" w:hAnsi="Segoe UI" w:cs="Segoe UI"/>
                <w:sz w:val="23"/>
                <w:szCs w:val="23"/>
              </w:rPr>
              <w:t>- Early, integrated utility coordination team.</w:t>
            </w:r>
            <w:r>
              <w:rPr>
                <w:rFonts w:ascii="Segoe UI" w:hAnsi="Segoe UI" w:cs="Segoe UI"/>
                <w:sz w:val="23"/>
                <w:szCs w:val="23"/>
              </w:rPr>
              <w:br/>
              <w:t>- Investment in advanced subsurface investigation.</w:t>
            </w:r>
            <w:r>
              <w:rPr>
                <w:rFonts w:ascii="Segoe UI" w:hAnsi="Segoe UI" w:cs="Segoe UI"/>
                <w:sz w:val="23"/>
                <w:szCs w:val="23"/>
              </w:rPr>
              <w:br/>
              <w:t>- Creation of a "Below-Ground BIM".</w:t>
            </w:r>
          </w:p>
        </w:tc>
        <w:tc>
          <w:tcPr>
            <w:tcW w:w="0" w:type="auto"/>
            <w:tcMar>
              <w:top w:w="150" w:type="dxa"/>
              <w:left w:w="240" w:type="dxa"/>
              <w:bottom w:w="150" w:type="dxa"/>
              <w:right w:w="0" w:type="dxa"/>
            </w:tcMar>
            <w:vAlign w:val="center"/>
            <w:hideMark/>
          </w:tcPr>
          <w:p w14:paraId="3244FDF3" w14:textId="77777777" w:rsidR="00552D52" w:rsidRDefault="00552D52">
            <w:pPr>
              <w:spacing w:line="375" w:lineRule="atLeast"/>
              <w:rPr>
                <w:rFonts w:ascii="Segoe UI" w:hAnsi="Segoe UI" w:cs="Segoe UI"/>
                <w:sz w:val="23"/>
                <w:szCs w:val="23"/>
              </w:rPr>
            </w:pPr>
            <w:r>
              <w:rPr>
                <w:rFonts w:ascii="Segoe UI" w:hAnsi="Segoe UI" w:cs="Segoe UI"/>
                <w:sz w:val="23"/>
                <w:szCs w:val="23"/>
              </w:rPr>
              <w:t>Integrate utility providers into the contracting model from inception. Mandate a comprehensive subsurface investigation package during the reference design phase to create a shared geospatial database.</w:t>
            </w:r>
          </w:p>
        </w:tc>
      </w:tr>
      <w:tr w:rsidR="00552D52" w14:paraId="1B754CF6" w14:textId="77777777">
        <w:tc>
          <w:tcPr>
            <w:tcW w:w="0" w:type="auto"/>
            <w:tcMar>
              <w:top w:w="150" w:type="dxa"/>
              <w:left w:w="0" w:type="dxa"/>
              <w:bottom w:w="150" w:type="dxa"/>
              <w:right w:w="240" w:type="dxa"/>
            </w:tcMar>
            <w:vAlign w:val="center"/>
            <w:hideMark/>
          </w:tcPr>
          <w:p w14:paraId="757B8FA5" w14:textId="77777777" w:rsidR="00552D52" w:rsidRDefault="00552D52">
            <w:pPr>
              <w:spacing w:line="375" w:lineRule="atLeast"/>
              <w:rPr>
                <w:rFonts w:ascii="Segoe UI" w:hAnsi="Segoe UI" w:cs="Segoe UI"/>
                <w:sz w:val="23"/>
                <w:szCs w:val="23"/>
              </w:rPr>
            </w:pPr>
            <w:r>
              <w:rPr>
                <w:rStyle w:val="Strong"/>
                <w:rFonts w:ascii="Segoe UI" w:hAnsi="Segoe UI" w:cs="Segoe UI"/>
                <w:sz w:val="23"/>
                <w:szCs w:val="23"/>
              </w:rPr>
              <w:t>Copenhagen City Ring (Stakeholders)</w:t>
            </w:r>
          </w:p>
        </w:tc>
        <w:tc>
          <w:tcPr>
            <w:tcW w:w="0" w:type="auto"/>
            <w:tcMar>
              <w:top w:w="150" w:type="dxa"/>
              <w:left w:w="240" w:type="dxa"/>
              <w:bottom w:w="150" w:type="dxa"/>
              <w:right w:w="240" w:type="dxa"/>
            </w:tcMar>
            <w:vAlign w:val="center"/>
            <w:hideMark/>
          </w:tcPr>
          <w:p w14:paraId="2042AE92" w14:textId="77777777" w:rsidR="00552D52" w:rsidRDefault="00552D52">
            <w:pPr>
              <w:spacing w:line="375" w:lineRule="atLeast"/>
              <w:rPr>
                <w:rFonts w:ascii="Segoe UI" w:hAnsi="Segoe UI" w:cs="Segoe UI"/>
                <w:sz w:val="23"/>
                <w:szCs w:val="23"/>
              </w:rPr>
            </w:pPr>
            <w:r>
              <w:rPr>
                <w:rFonts w:ascii="Segoe UI" w:hAnsi="Segoe UI" w:cs="Segoe UI"/>
                <w:sz w:val="23"/>
                <w:szCs w:val="23"/>
              </w:rPr>
              <w:t>Immersive Engagement &amp; Business Support</w:t>
            </w:r>
          </w:p>
        </w:tc>
        <w:tc>
          <w:tcPr>
            <w:tcW w:w="0" w:type="auto"/>
            <w:tcMar>
              <w:top w:w="150" w:type="dxa"/>
              <w:left w:w="240" w:type="dxa"/>
              <w:bottom w:w="150" w:type="dxa"/>
              <w:right w:w="240" w:type="dxa"/>
            </w:tcMar>
            <w:vAlign w:val="center"/>
            <w:hideMark/>
          </w:tcPr>
          <w:p w14:paraId="392FD3CF" w14:textId="77777777" w:rsidR="00552D52" w:rsidRDefault="00552D52">
            <w:pPr>
              <w:spacing w:line="375" w:lineRule="atLeast"/>
              <w:rPr>
                <w:rFonts w:ascii="Segoe UI" w:hAnsi="Segoe UI" w:cs="Segoe UI"/>
                <w:sz w:val="23"/>
                <w:szCs w:val="23"/>
              </w:rPr>
            </w:pPr>
            <w:r>
              <w:rPr>
                <w:rFonts w:ascii="Segoe UI" w:hAnsi="Segoe UI" w:cs="Segoe UI"/>
                <w:sz w:val="23"/>
                <w:szCs w:val="23"/>
              </w:rPr>
              <w:t>- Central, accessible public information centre.</w:t>
            </w:r>
            <w:r>
              <w:rPr>
                <w:rFonts w:ascii="Segoe UI" w:hAnsi="Segoe UI" w:cs="Segoe UI"/>
                <w:sz w:val="23"/>
                <w:szCs w:val="23"/>
              </w:rPr>
              <w:br/>
              <w:t>- Independent, proactive business continuity advisory service.</w:t>
            </w:r>
          </w:p>
        </w:tc>
        <w:tc>
          <w:tcPr>
            <w:tcW w:w="0" w:type="auto"/>
            <w:tcMar>
              <w:top w:w="150" w:type="dxa"/>
              <w:left w:w="240" w:type="dxa"/>
              <w:bottom w:w="150" w:type="dxa"/>
              <w:right w:w="0" w:type="dxa"/>
            </w:tcMar>
            <w:vAlign w:val="center"/>
            <w:hideMark/>
          </w:tcPr>
          <w:p w14:paraId="7ADD6B96" w14:textId="77777777" w:rsidR="00552D52" w:rsidRDefault="00552D52">
            <w:pPr>
              <w:spacing w:line="375" w:lineRule="atLeast"/>
              <w:rPr>
                <w:rFonts w:ascii="Segoe UI" w:hAnsi="Segoe UI" w:cs="Segoe UI"/>
                <w:sz w:val="23"/>
                <w:szCs w:val="23"/>
              </w:rPr>
            </w:pPr>
            <w:r>
              <w:rPr>
                <w:rFonts w:ascii="Segoe UI" w:hAnsi="Segoe UI" w:cs="Segoe UI"/>
                <w:sz w:val="23"/>
                <w:szCs w:val="23"/>
              </w:rPr>
              <w:t>Establish a "PLR Community Hub" in the CBD. Create a business adaptation fund and advisory panel, managed independently of the contractor, to provide pre-emptive support.</w:t>
            </w:r>
          </w:p>
        </w:tc>
      </w:tr>
      <w:tr w:rsidR="00552D52" w14:paraId="12932012" w14:textId="77777777">
        <w:tc>
          <w:tcPr>
            <w:tcW w:w="0" w:type="auto"/>
            <w:tcMar>
              <w:top w:w="150" w:type="dxa"/>
              <w:left w:w="0" w:type="dxa"/>
              <w:bottom w:w="150" w:type="dxa"/>
              <w:right w:w="240" w:type="dxa"/>
            </w:tcMar>
            <w:vAlign w:val="center"/>
            <w:hideMark/>
          </w:tcPr>
          <w:p w14:paraId="7E162965" w14:textId="77777777" w:rsidR="00552D52" w:rsidRDefault="00552D52">
            <w:pPr>
              <w:spacing w:line="375" w:lineRule="atLeast"/>
              <w:rPr>
                <w:rFonts w:ascii="Segoe UI" w:hAnsi="Segoe UI" w:cs="Segoe UI"/>
                <w:sz w:val="23"/>
                <w:szCs w:val="23"/>
              </w:rPr>
            </w:pPr>
            <w:r>
              <w:rPr>
                <w:rStyle w:val="Strong"/>
                <w:rFonts w:ascii="Segoe UI" w:hAnsi="Segoe UI" w:cs="Segoe UI"/>
                <w:sz w:val="23"/>
                <w:szCs w:val="23"/>
              </w:rPr>
              <w:t>Crossrail, UK (Digital Delivery)</w:t>
            </w:r>
          </w:p>
        </w:tc>
        <w:tc>
          <w:tcPr>
            <w:tcW w:w="0" w:type="auto"/>
            <w:tcMar>
              <w:top w:w="150" w:type="dxa"/>
              <w:left w:w="240" w:type="dxa"/>
              <w:bottom w:w="150" w:type="dxa"/>
              <w:right w:w="240" w:type="dxa"/>
            </w:tcMar>
            <w:vAlign w:val="center"/>
            <w:hideMark/>
          </w:tcPr>
          <w:p w14:paraId="333EF217" w14:textId="77777777" w:rsidR="00552D52" w:rsidRDefault="00552D52">
            <w:pPr>
              <w:spacing w:line="375" w:lineRule="atLeast"/>
              <w:rPr>
                <w:rFonts w:ascii="Segoe UI" w:hAnsi="Segoe UI" w:cs="Segoe UI"/>
                <w:sz w:val="23"/>
                <w:szCs w:val="23"/>
              </w:rPr>
            </w:pPr>
            <w:r>
              <w:rPr>
                <w:rFonts w:ascii="Segoe UI" w:hAnsi="Segoe UI" w:cs="Segoe UI"/>
                <w:sz w:val="23"/>
                <w:szCs w:val="23"/>
              </w:rPr>
              <w:t>Project Information Model (PIM)</w:t>
            </w:r>
          </w:p>
        </w:tc>
        <w:tc>
          <w:tcPr>
            <w:tcW w:w="0" w:type="auto"/>
            <w:tcMar>
              <w:top w:w="150" w:type="dxa"/>
              <w:left w:w="240" w:type="dxa"/>
              <w:bottom w:w="150" w:type="dxa"/>
              <w:right w:w="240" w:type="dxa"/>
            </w:tcMar>
            <w:vAlign w:val="center"/>
            <w:hideMark/>
          </w:tcPr>
          <w:p w14:paraId="10DA3380" w14:textId="77777777" w:rsidR="00552D52" w:rsidRDefault="00552D52">
            <w:pPr>
              <w:spacing w:line="375" w:lineRule="atLeast"/>
              <w:rPr>
                <w:rFonts w:ascii="Segoe UI" w:hAnsi="Segoe UI" w:cs="Segoe UI"/>
                <w:sz w:val="23"/>
                <w:szCs w:val="23"/>
              </w:rPr>
            </w:pPr>
            <w:r>
              <w:rPr>
                <w:rFonts w:ascii="Segoe UI" w:hAnsi="Segoe UI" w:cs="Segoe UI"/>
                <w:sz w:val="23"/>
                <w:szCs w:val="23"/>
              </w:rPr>
              <w:t>- A single source of truth for all project data.</w:t>
            </w:r>
            <w:r>
              <w:rPr>
                <w:rFonts w:ascii="Segoe UI" w:hAnsi="Segoe UI" w:cs="Segoe UI"/>
                <w:sz w:val="23"/>
                <w:szCs w:val="23"/>
              </w:rPr>
              <w:br/>
              <w:t xml:space="preserve">- Integration of design, </w:t>
            </w:r>
            <w:r>
              <w:rPr>
                <w:rFonts w:ascii="Segoe UI" w:hAnsi="Segoe UI" w:cs="Segoe UI"/>
                <w:sz w:val="23"/>
                <w:szCs w:val="23"/>
              </w:rPr>
              <w:lastRenderedPageBreak/>
              <w:t>programme, and cost data.</w:t>
            </w:r>
          </w:p>
        </w:tc>
        <w:tc>
          <w:tcPr>
            <w:tcW w:w="0" w:type="auto"/>
            <w:tcMar>
              <w:top w:w="150" w:type="dxa"/>
              <w:left w:w="240" w:type="dxa"/>
              <w:bottom w:w="150" w:type="dxa"/>
              <w:right w:w="0" w:type="dxa"/>
            </w:tcMar>
            <w:vAlign w:val="center"/>
            <w:hideMark/>
          </w:tcPr>
          <w:p w14:paraId="1DF6727E" w14:textId="77777777" w:rsidR="00552D52" w:rsidRDefault="00552D52">
            <w:pPr>
              <w:spacing w:line="375" w:lineRule="atLeast"/>
              <w:rPr>
                <w:rFonts w:ascii="Segoe UI" w:hAnsi="Segoe UI" w:cs="Segoe UI"/>
                <w:sz w:val="23"/>
                <w:szCs w:val="23"/>
              </w:rPr>
            </w:pPr>
            <w:r>
              <w:rPr>
                <w:rFonts w:ascii="Segoe UI" w:hAnsi="Segoe UI" w:cs="Segoe UI"/>
                <w:sz w:val="23"/>
                <w:szCs w:val="23"/>
              </w:rPr>
              <w:lastRenderedPageBreak/>
              <w:t xml:space="preserve">Develop a PLR Digital Twin from the outset, integrating design, utility, scheduling, and stakeholder complaint data for predictive </w:t>
            </w:r>
            <w:r>
              <w:rPr>
                <w:rFonts w:ascii="Segoe UI" w:hAnsi="Segoe UI" w:cs="Segoe UI"/>
                <w:sz w:val="23"/>
                <w:szCs w:val="23"/>
              </w:rPr>
              <w:lastRenderedPageBreak/>
              <w:t>analytics and transparent communication.</w:t>
            </w:r>
          </w:p>
        </w:tc>
      </w:tr>
    </w:tbl>
    <w:p w14:paraId="31421347"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5. Emerging Opportunities and Future Development</w:t>
      </w:r>
    </w:p>
    <w:p w14:paraId="4EEA623C"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lessons from the PLR are a catalyst for change, highlighting several emerging opportunities that can redefine project delivery in Australia. A forward-looking framework is proposed, built on three pillars.</w:t>
      </w:r>
    </w:p>
    <w:p w14:paraId="10C770AA"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5.1 Pillar 1: Digital Transformation and the Project Digital Twin</w:t>
      </w:r>
      <w:r>
        <w:rPr>
          <w:rFonts w:ascii="Segoe UI" w:hAnsi="Segoe UI" w:cs="Segoe UI"/>
          <w:color w:val="0F1115"/>
        </w:rPr>
        <w:br/>
        <w:t>Moving beyond 3D design models, the industry must embrace the </w:t>
      </w:r>
      <w:r>
        <w:rPr>
          <w:rStyle w:val="Strong"/>
          <w:rFonts w:ascii="Segoe UI" w:eastAsiaTheme="majorEastAsia" w:hAnsi="Segoe UI" w:cs="Segoe UI"/>
          <w:color w:val="0F1115"/>
        </w:rPr>
        <w:t>Project Digital Twin</w:t>
      </w:r>
      <w:r>
        <w:rPr>
          <w:rFonts w:ascii="Segoe UI" w:hAnsi="Segoe UI" w:cs="Segoe UI"/>
          <w:color w:val="0F1115"/>
        </w:rPr>
        <w:t>—a dynamic, data-rich, and connected virtual replica of the physical asset, fed by real-time data from the construction site and its surroundings.</w:t>
      </w:r>
    </w:p>
    <w:p w14:paraId="4E39ED91" w14:textId="77777777" w:rsidR="00552D52" w:rsidRDefault="00552D52" w:rsidP="00552D52">
      <w:pPr>
        <w:pStyle w:val="ds-markdown-paragraph"/>
        <w:numPr>
          <w:ilvl w:val="0"/>
          <w:numId w:val="38"/>
        </w:numPr>
        <w:shd w:val="clear" w:color="auto" w:fill="FFFFFF"/>
        <w:spacing w:before="0" w:beforeAutospacing="0" w:after="12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For a project like PLR, a Digital Twin would integrate:</w:t>
      </w:r>
    </w:p>
    <w:p w14:paraId="1F5BBC47" w14:textId="77777777" w:rsidR="00552D52" w:rsidRDefault="00552D52" w:rsidP="00552D52">
      <w:pPr>
        <w:pStyle w:val="ds-markdown-paragraph"/>
        <w:numPr>
          <w:ilvl w:val="1"/>
          <w:numId w:val="3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Geospatial and Utility Data:</w:t>
      </w:r>
      <w:r>
        <w:rPr>
          <w:rFonts w:ascii="Segoe UI" w:hAnsi="Segoe UI" w:cs="Segoe UI"/>
          <w:color w:val="0F1115"/>
        </w:rPr>
        <w:t> The "Below-Ground BIM" from the investigation phase.</w:t>
      </w:r>
    </w:p>
    <w:p w14:paraId="1D52B926" w14:textId="77777777" w:rsidR="00552D52" w:rsidRDefault="00552D52" w:rsidP="00552D52">
      <w:pPr>
        <w:pStyle w:val="ds-markdown-paragraph"/>
        <w:numPr>
          <w:ilvl w:val="1"/>
          <w:numId w:val="3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Real-Time Construction Data:</w:t>
      </w:r>
      <w:r>
        <w:rPr>
          <w:rFonts w:ascii="Segoe UI" w:hAnsi="Segoe UI" w:cs="Segoe UI"/>
          <w:color w:val="0F1115"/>
        </w:rPr>
        <w:t> IoT sensors on equipment, site cameras, and progress tracking.</w:t>
      </w:r>
    </w:p>
    <w:p w14:paraId="0995B9FB" w14:textId="77777777" w:rsidR="00552D52" w:rsidRDefault="00552D52" w:rsidP="00552D52">
      <w:pPr>
        <w:pStyle w:val="ds-markdown-paragraph"/>
        <w:numPr>
          <w:ilvl w:val="1"/>
          <w:numId w:val="3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Stakeholder Interface:</w:t>
      </w:r>
      <w:r>
        <w:rPr>
          <w:rFonts w:ascii="Segoe UI" w:hAnsi="Segoe UI" w:cs="Segoe UI"/>
          <w:color w:val="0F1115"/>
        </w:rPr>
        <w:t> A public-facing portal showing real-time traffic conditions, work schedules, and business access routes.</w:t>
      </w:r>
    </w:p>
    <w:p w14:paraId="500C771F" w14:textId="77777777" w:rsidR="00552D52" w:rsidRDefault="00552D52" w:rsidP="00552D52">
      <w:pPr>
        <w:pStyle w:val="ds-markdown-paragraph"/>
        <w:numPr>
          <w:ilvl w:val="1"/>
          <w:numId w:val="3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4D/5D Simulation:</w:t>
      </w:r>
      <w:r>
        <w:rPr>
          <w:rFonts w:ascii="Segoe UI" w:hAnsi="Segoe UI" w:cs="Segoe UI"/>
          <w:color w:val="0F1115"/>
        </w:rPr>
        <w:t> The ability to simulate and optimise construction sequencing (4D) and its associated costs (5D) to minimise disruption.</w:t>
      </w:r>
    </w:p>
    <w:p w14:paraId="0942CF29" w14:textId="77777777" w:rsidR="00552D52" w:rsidRDefault="00552D52" w:rsidP="00552D52">
      <w:pPr>
        <w:pStyle w:val="ds-markdown-paragraph"/>
        <w:numPr>
          <w:ilvl w:val="0"/>
          <w:numId w:val="3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would enable predictive analytics to identify utility conflict hotspots, optimise logistics, and visually communicate the project's phases and impacts to stakeholders in an intuitive manner, thereby addressing both technical and managerial challenges simultaneously.</w:t>
      </w:r>
    </w:p>
    <w:p w14:paraId="631204C6"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5.2 Pillar 2: Collaborative Project Delivery Models</w:t>
      </w:r>
      <w:r>
        <w:rPr>
          <w:rFonts w:ascii="Segoe UI" w:hAnsi="Segoe UI" w:cs="Segoe UI"/>
          <w:color w:val="0F1115"/>
        </w:rPr>
        <w:br/>
        <w:t>The adversarial relationships inherent in traditional Design-Bid-Build contracts exacerbate the managerial challenges. The future lies in relational contracting models that foster a culture of shared risk and collective problem-solving.</w:t>
      </w:r>
    </w:p>
    <w:p w14:paraId="454E1890" w14:textId="77777777" w:rsidR="00552D52" w:rsidRDefault="00552D52" w:rsidP="00552D52">
      <w:pPr>
        <w:pStyle w:val="ds-markdown-paragraph"/>
        <w:numPr>
          <w:ilvl w:val="0"/>
          <w:numId w:val="39"/>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Models such as </w:t>
      </w:r>
      <w:r>
        <w:rPr>
          <w:rStyle w:val="Strong"/>
          <w:rFonts w:ascii="Segoe UI" w:eastAsiaTheme="majorEastAsia" w:hAnsi="Segoe UI" w:cs="Segoe UI"/>
          <w:color w:val="0F1115"/>
        </w:rPr>
        <w:t>Alliancing</w:t>
      </w:r>
      <w:r>
        <w:rPr>
          <w:rFonts w:ascii="Segoe UI" w:hAnsi="Segoe UI" w:cs="Segoe UI"/>
          <w:color w:val="0F1115"/>
        </w:rPr>
        <w:t> or </w:t>
      </w:r>
      <w:r>
        <w:rPr>
          <w:rStyle w:val="Strong"/>
          <w:rFonts w:ascii="Segoe UI" w:eastAsiaTheme="majorEastAsia" w:hAnsi="Segoe UI" w:cs="Segoe UI"/>
          <w:color w:val="0F1115"/>
        </w:rPr>
        <w:t>Collaborative Project Delivery (CPD)</w:t>
      </w:r>
      <w:r>
        <w:rPr>
          <w:rFonts w:ascii="Segoe UI" w:hAnsi="Segoe UI" w:cs="Segoe UI"/>
          <w:color w:val="0F1115"/>
        </w:rPr>
        <w:t xml:space="preserve">, where the client, designer, and contractor form a single integrated team with shared financial pain/gain incentives. Under such a </w:t>
      </w:r>
      <w:r>
        <w:rPr>
          <w:rFonts w:ascii="Segoe UI" w:hAnsi="Segoe UI" w:cs="Segoe UI"/>
          <w:color w:val="0F1115"/>
        </w:rPr>
        <w:lastRenderedPageBreak/>
        <w:t>model, the unexpected discovery of a utility conflict becomes a shared problem to be solved efficiently, rather than a source of claims and disputes.</w:t>
      </w:r>
    </w:p>
    <w:p w14:paraId="60113715" w14:textId="77777777" w:rsidR="00552D52" w:rsidRDefault="00552D52" w:rsidP="00552D52">
      <w:pPr>
        <w:pStyle w:val="ds-markdown-paragraph"/>
        <w:numPr>
          <w:ilvl w:val="0"/>
          <w:numId w:val="39"/>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directly attacks the siloed behaviour and defensive communication that fuelled the PLR's stakeholder management crisis. It creates an environment where transparency and collaboration are financially rewarded.</w:t>
      </w:r>
    </w:p>
    <w:p w14:paraId="0F7B1A9E"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5.3 Pillar 3: Modern Methods of Construction (MMC)</w:t>
      </w:r>
      <w:r>
        <w:rPr>
          <w:rFonts w:ascii="Segoe UI" w:hAnsi="Segoe UI" w:cs="Segoe UI"/>
          <w:color w:val="0F1115"/>
        </w:rPr>
        <w:br/>
        <w:t>While the track alignment is inherently linear and site-intensive, significant opportunities exist for </w:t>
      </w:r>
      <w:r>
        <w:rPr>
          <w:rStyle w:val="Strong"/>
          <w:rFonts w:ascii="Segoe UI" w:eastAsiaTheme="majorEastAsia" w:hAnsi="Segoe UI" w:cs="Segoe UI"/>
          <w:color w:val="0F1115"/>
        </w:rPr>
        <w:t>Modular Integrated Construction (MiC)</w:t>
      </w:r>
      <w:r>
        <w:rPr>
          <w:rFonts w:ascii="Segoe UI" w:hAnsi="Segoe UI" w:cs="Segoe UI"/>
          <w:color w:val="0F1115"/>
        </w:rPr>
        <w:t> and off-site manufacturing to reduce on-site duration and disruption.</w:t>
      </w:r>
    </w:p>
    <w:p w14:paraId="00B8C7CA" w14:textId="77777777" w:rsidR="00552D52" w:rsidRDefault="00552D52" w:rsidP="00552D52">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Use MiC for station enclosures, amenities, and fit-outs. These modules can be fully fitted with interiors, cladding, and MEP (Mechanical, Electrical, and Plumbing) services in a factory-controlled environment, then transported and lifted into place on site.</w:t>
      </w:r>
    </w:p>
    <w:p w14:paraId="4BD54030" w14:textId="77777777" w:rsidR="00552D52" w:rsidRDefault="00552D52" w:rsidP="00552D52">
      <w:pPr>
        <w:pStyle w:val="ds-markdown-paragraph"/>
        <w:numPr>
          <w:ilvl w:val="0"/>
          <w:numId w:val="4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compresses on-site construction schedules by up to 50% for station works, dramatically reducing the duration of footpath closures, noise, and dust in the sensitive CBD area. It also improves quality, safety, and waste management.</w:t>
      </w:r>
    </w:p>
    <w:p w14:paraId="4F0C46EE"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*[Insert Figure 2 here: A conceptual timeline graphic comparing Traditional vs. Proposed Future delivery for a station. The traditional bar shows a long period of on-site activity. The proposed future bar shows a much shorter on-site period, preceded by a parallel period of off-site module fabrication.]*</w:t>
      </w:r>
    </w:p>
    <w:p w14:paraId="250A076F"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Figure 2:</w:t>
      </w:r>
      <w:r>
        <w:rPr>
          <w:rFonts w:ascii="Segoe UI" w:hAnsi="Segoe UI" w:cs="Segoe UI"/>
          <w:color w:val="0F1115"/>
        </w:rPr>
        <w:t> Conceptual comparison of on-site construction timelines for a light rail station using traditional methods versus Modular Integrated Construction (MiC).</w:t>
      </w:r>
    </w:p>
    <w:p w14:paraId="0CCBE12E"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6. Conclusion</w:t>
      </w:r>
    </w:p>
    <w:p w14:paraId="048A4980"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Parramatta Light Rail project is a stark microcosm of the Australian construction industry's struggle with the complexities of the modern urban environment. Its grand challenges—utility diversion, stakeholder management, and delivery performance—were not independent failures but were deeply interconnected symptoms of a delivery system that was reactive, fragmented, and ill-equipped for the socio-technical realities of building in a live city.</w:t>
      </w:r>
    </w:p>
    <w:p w14:paraId="48327849"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systems analysis conducted in this report demonstrates that technical problems, such as unforeseen utility conflicts, inevitably trigger managerial and commercial crises in the absence of robust digital tools, collaborative cultures, and proactive engagement strategies. However, this case study is not merely a story of defeat; it is a clear and compelling mandate for evolution.</w:t>
      </w:r>
    </w:p>
    <w:p w14:paraId="533D589E"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By systematically adopting the emerging opportunities outlined—the predictive power of Digital Twins, the aligned incentives of collaborative contracting, and the efficiency of Modern Methods of Construction—the industry can break the vicious cycles witnessed in Parramatta. The legacy of the PLR, therefore, must extend beyond a new transit line. It should serve as the catalyst for a fundamental and necessary shift in how Australia plans, delivers, and integrates its future urban infrastructure, building a more resilient, efficient, and socially responsible industry for the challenges ahead.</w:t>
      </w:r>
    </w:p>
    <w:p w14:paraId="3186ED53" w14:textId="77777777" w:rsidR="00552D52" w:rsidRDefault="00552D52" w:rsidP="00552D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References</w:t>
      </w:r>
    </w:p>
    <w:p w14:paraId="204B4D1D"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Auditor-General for New South Wales. (2024). </w:t>
      </w:r>
      <w:r>
        <w:rPr>
          <w:rStyle w:val="Emphasis"/>
          <w:rFonts w:ascii="Segoe UI" w:eastAsiaTheme="majorEastAsia" w:hAnsi="Segoe UI" w:cs="Segoe UI"/>
          <w:color w:val="0F1115"/>
        </w:rPr>
        <w:t>Performance Audit: Managing the Delivery of the Parramatta Light Rail</w:t>
      </w:r>
      <w:r>
        <w:rPr>
          <w:rFonts w:ascii="Segoe UI" w:hAnsi="Segoe UI" w:cs="Segoe UI"/>
          <w:color w:val="0F1115"/>
        </w:rPr>
        <w:t>. NSW Government.</w:t>
      </w:r>
    </w:p>
    <w:p w14:paraId="03DA21B6"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Bendixen, M., &amp; Thygesen, K. (2020). </w:t>
      </w:r>
      <w:r>
        <w:rPr>
          <w:rStyle w:val="Emphasis"/>
          <w:rFonts w:ascii="Segoe UI" w:eastAsiaTheme="majorEastAsia" w:hAnsi="Segoe UI" w:cs="Segoe UI"/>
          <w:color w:val="0F1115"/>
        </w:rPr>
        <w:t>Stakeholder Management in Mega Projects: The Copenhagen City Ring Case</w:t>
      </w:r>
      <w:r>
        <w:rPr>
          <w:rFonts w:ascii="Segoe UI" w:hAnsi="Segoe UI" w:cs="Segoe UI"/>
          <w:color w:val="0F1115"/>
        </w:rPr>
        <w:t>. Routledge.</w:t>
      </w:r>
    </w:p>
    <w:p w14:paraId="624C043A"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Infrastructure NSW. (2024). *Annual Report on Major Projects 2023-24*. NSW Government.</w:t>
      </w:r>
    </w:p>
    <w:p w14:paraId="194B1F5B"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Rail Projects Victoria. (2022). </w:t>
      </w:r>
      <w:r>
        <w:rPr>
          <w:rStyle w:val="Emphasis"/>
          <w:rFonts w:ascii="Segoe UI" w:eastAsiaTheme="majorEastAsia" w:hAnsi="Segoe UI" w:cs="Segoe UI"/>
          <w:color w:val="0F1115"/>
        </w:rPr>
        <w:t>Melbourne Metro Tunnel Project: Lessons Learnt on Utility Management</w:t>
      </w:r>
      <w:r>
        <w:rPr>
          <w:rFonts w:ascii="Segoe UI" w:hAnsi="Segoe UI" w:cs="Segoe UI"/>
          <w:color w:val="0F1115"/>
        </w:rPr>
        <w:t>. State of Victoria.</w:t>
      </w:r>
    </w:p>
    <w:p w14:paraId="71FEAA51"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Transport for NSW. (2023). </w:t>
      </w:r>
      <w:r>
        <w:rPr>
          <w:rStyle w:val="Emphasis"/>
          <w:rFonts w:ascii="Segoe UI" w:eastAsiaTheme="majorEastAsia" w:hAnsi="Segoe UI" w:cs="Segoe UI"/>
          <w:color w:val="0F1115"/>
        </w:rPr>
        <w:t>Parramatta Light Rail Stage 1: Project Overview</w:t>
      </w:r>
      <w:r>
        <w:rPr>
          <w:rFonts w:ascii="Segoe UI" w:hAnsi="Segoe UI" w:cs="Segoe UI"/>
          <w:color w:val="0F1115"/>
        </w:rPr>
        <w:t>. [Online] Available at: </w:t>
      </w:r>
      <w:hyperlink r:id="rId7" w:tgtFrame="_blank" w:history="1">
        <w:r>
          <w:rPr>
            <w:rStyle w:val="Hyperlink"/>
            <w:rFonts w:ascii="Segoe UI" w:eastAsiaTheme="majorEastAsia" w:hAnsi="Segoe UI" w:cs="Segoe UI"/>
            <w:color w:val="3964FE"/>
            <w:bdr w:val="single" w:sz="12" w:space="0" w:color="auto" w:frame="1"/>
          </w:rPr>
          <w:t>https://www.parramattalightrail.nsw.gov.au</w:t>
        </w:r>
      </w:hyperlink>
      <w:r>
        <w:rPr>
          <w:rFonts w:ascii="Segoe UI" w:hAnsi="Segoe UI" w:cs="Segoe UI"/>
          <w:color w:val="0F1115"/>
        </w:rPr>
        <w:t> (Accessed: 15 November 2025).</w:t>
      </w:r>
    </w:p>
    <w:p w14:paraId="51D8D179" w14:textId="77777777" w:rsidR="00552D52" w:rsidRDefault="00552D52" w:rsidP="00552D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Wolstenholme, A., Gaskell, C., &amp; Davies, R. (2019). </w:t>
      </w:r>
      <w:r>
        <w:rPr>
          <w:rStyle w:val="Emphasis"/>
          <w:rFonts w:ascii="Segoe UI" w:eastAsiaTheme="majorEastAsia" w:hAnsi="Segoe UI" w:cs="Segoe UI"/>
          <w:color w:val="0F1115"/>
        </w:rPr>
        <w:t>Crossrail: Creating a Digital Legacy for the UK</w:t>
      </w:r>
      <w:r>
        <w:rPr>
          <w:rFonts w:ascii="Segoe UI" w:hAnsi="Segoe UI" w:cs="Segoe UI"/>
          <w:color w:val="0F1115"/>
        </w:rPr>
        <w:t>. Institution of Civil Engineers.</w:t>
      </w:r>
    </w:p>
    <w:p w14:paraId="063D6A46" w14:textId="77A42FDC" w:rsidR="005763A1" w:rsidRPr="00304A8F" w:rsidRDefault="005763A1" w:rsidP="00304A8F"/>
    <w:sectPr w:rsidR="005763A1" w:rsidRPr="00304A8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97FC3" w14:textId="77777777" w:rsidR="0055002F" w:rsidRDefault="0055002F" w:rsidP="00A67186">
      <w:pPr>
        <w:spacing w:after="0" w:line="240" w:lineRule="auto"/>
      </w:pPr>
      <w:r>
        <w:separator/>
      </w:r>
    </w:p>
  </w:endnote>
  <w:endnote w:type="continuationSeparator" w:id="0">
    <w:p w14:paraId="4B107DD3" w14:textId="77777777" w:rsidR="0055002F" w:rsidRDefault="0055002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CED97" w14:textId="77777777" w:rsidR="0055002F" w:rsidRDefault="0055002F" w:rsidP="00A67186">
      <w:pPr>
        <w:spacing w:after="0" w:line="240" w:lineRule="auto"/>
      </w:pPr>
      <w:r>
        <w:separator/>
      </w:r>
    </w:p>
  </w:footnote>
  <w:footnote w:type="continuationSeparator" w:id="0">
    <w:p w14:paraId="3F6DDAE4" w14:textId="77777777" w:rsidR="0055002F" w:rsidRDefault="0055002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1"/>
  </w:num>
  <w:num w:numId="2" w16cid:durableId="821698845">
    <w:abstractNumId w:val="23"/>
  </w:num>
  <w:num w:numId="3" w16cid:durableId="1500922540">
    <w:abstractNumId w:val="5"/>
  </w:num>
  <w:num w:numId="4" w16cid:durableId="207767914">
    <w:abstractNumId w:val="2"/>
  </w:num>
  <w:num w:numId="5" w16cid:durableId="1618871916">
    <w:abstractNumId w:val="20"/>
  </w:num>
  <w:num w:numId="6" w16cid:durableId="831600699">
    <w:abstractNumId w:val="26"/>
  </w:num>
  <w:num w:numId="7" w16cid:durableId="819927118">
    <w:abstractNumId w:val="37"/>
  </w:num>
  <w:num w:numId="8" w16cid:durableId="1836339821">
    <w:abstractNumId w:val="3"/>
  </w:num>
  <w:num w:numId="9" w16cid:durableId="877275635">
    <w:abstractNumId w:val="38"/>
  </w:num>
  <w:num w:numId="10" w16cid:durableId="163475279">
    <w:abstractNumId w:val="36"/>
  </w:num>
  <w:num w:numId="11" w16cid:durableId="660743435">
    <w:abstractNumId w:val="34"/>
  </w:num>
  <w:num w:numId="12" w16cid:durableId="1334062966">
    <w:abstractNumId w:val="39"/>
  </w:num>
  <w:num w:numId="13" w16cid:durableId="1416509605">
    <w:abstractNumId w:val="4"/>
  </w:num>
  <w:num w:numId="14" w16cid:durableId="684675586">
    <w:abstractNumId w:val="27"/>
  </w:num>
  <w:num w:numId="15" w16cid:durableId="1084490379">
    <w:abstractNumId w:val="16"/>
  </w:num>
  <w:num w:numId="16" w16cid:durableId="1177233249">
    <w:abstractNumId w:val="31"/>
  </w:num>
  <w:num w:numId="17" w16cid:durableId="1332492463">
    <w:abstractNumId w:val="30"/>
  </w:num>
  <w:num w:numId="18" w16cid:durableId="1750301735">
    <w:abstractNumId w:val="24"/>
  </w:num>
  <w:num w:numId="19" w16cid:durableId="1384524300">
    <w:abstractNumId w:val="18"/>
  </w:num>
  <w:num w:numId="20" w16cid:durableId="675889748">
    <w:abstractNumId w:val="19"/>
  </w:num>
  <w:num w:numId="21" w16cid:durableId="1140463376">
    <w:abstractNumId w:val="28"/>
  </w:num>
  <w:num w:numId="22" w16cid:durableId="2060670041">
    <w:abstractNumId w:val="10"/>
  </w:num>
  <w:num w:numId="23" w16cid:durableId="1986078983">
    <w:abstractNumId w:val="14"/>
  </w:num>
  <w:num w:numId="24" w16cid:durableId="954676395">
    <w:abstractNumId w:val="12"/>
  </w:num>
  <w:num w:numId="25" w16cid:durableId="224025661">
    <w:abstractNumId w:val="22"/>
  </w:num>
  <w:num w:numId="26" w16cid:durableId="1399131629">
    <w:abstractNumId w:val="33"/>
  </w:num>
  <w:num w:numId="27" w16cid:durableId="1784642234">
    <w:abstractNumId w:val="7"/>
  </w:num>
  <w:num w:numId="28" w16cid:durableId="924189728">
    <w:abstractNumId w:val="0"/>
  </w:num>
  <w:num w:numId="29" w16cid:durableId="1320427781">
    <w:abstractNumId w:val="9"/>
  </w:num>
  <w:num w:numId="30" w16cid:durableId="851796786">
    <w:abstractNumId w:val="32"/>
  </w:num>
  <w:num w:numId="31" w16cid:durableId="1752772098">
    <w:abstractNumId w:val="8"/>
  </w:num>
  <w:num w:numId="32" w16cid:durableId="1970890577">
    <w:abstractNumId w:val="21"/>
  </w:num>
  <w:num w:numId="33" w16cid:durableId="592933262">
    <w:abstractNumId w:val="29"/>
  </w:num>
  <w:num w:numId="34" w16cid:durableId="1440567086">
    <w:abstractNumId w:val="1"/>
  </w:num>
  <w:num w:numId="35" w16cid:durableId="1913655594">
    <w:abstractNumId w:val="25"/>
  </w:num>
  <w:num w:numId="36" w16cid:durableId="119151285">
    <w:abstractNumId w:val="13"/>
  </w:num>
  <w:num w:numId="37" w16cid:durableId="1884242915">
    <w:abstractNumId w:val="17"/>
  </w:num>
  <w:num w:numId="38" w16cid:durableId="1501575521">
    <w:abstractNumId w:val="15"/>
  </w:num>
  <w:num w:numId="39" w16cid:durableId="334188135">
    <w:abstractNumId w:val="6"/>
  </w:num>
  <w:num w:numId="40" w16cid:durableId="13717665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oFAODoyhotAAAA"/>
  </w:docVars>
  <w:rsids>
    <w:rsidRoot w:val="00AE4A1F"/>
    <w:rsid w:val="000333AF"/>
    <w:rsid w:val="000772F3"/>
    <w:rsid w:val="000A09D0"/>
    <w:rsid w:val="000B33EE"/>
    <w:rsid w:val="0018356D"/>
    <w:rsid w:val="00233DAC"/>
    <w:rsid w:val="00281372"/>
    <w:rsid w:val="00304A8F"/>
    <w:rsid w:val="00310F89"/>
    <w:rsid w:val="00325E18"/>
    <w:rsid w:val="00381A3D"/>
    <w:rsid w:val="00390A91"/>
    <w:rsid w:val="00414F14"/>
    <w:rsid w:val="00423A0B"/>
    <w:rsid w:val="00435D88"/>
    <w:rsid w:val="00441EBF"/>
    <w:rsid w:val="004455D4"/>
    <w:rsid w:val="00494234"/>
    <w:rsid w:val="004E4021"/>
    <w:rsid w:val="0055002F"/>
    <w:rsid w:val="00552D52"/>
    <w:rsid w:val="005763A1"/>
    <w:rsid w:val="005C1E8C"/>
    <w:rsid w:val="005D722F"/>
    <w:rsid w:val="00604552"/>
    <w:rsid w:val="00627981"/>
    <w:rsid w:val="0065544E"/>
    <w:rsid w:val="0068640E"/>
    <w:rsid w:val="006A5E07"/>
    <w:rsid w:val="007D7459"/>
    <w:rsid w:val="00801B2A"/>
    <w:rsid w:val="00846818"/>
    <w:rsid w:val="00846E8A"/>
    <w:rsid w:val="008A11FC"/>
    <w:rsid w:val="008E568C"/>
    <w:rsid w:val="008F2E42"/>
    <w:rsid w:val="00934A3F"/>
    <w:rsid w:val="00960508"/>
    <w:rsid w:val="009B2473"/>
    <w:rsid w:val="009E501F"/>
    <w:rsid w:val="00A67186"/>
    <w:rsid w:val="00AA52CD"/>
    <w:rsid w:val="00AE4A1F"/>
    <w:rsid w:val="00B12850"/>
    <w:rsid w:val="00B54D89"/>
    <w:rsid w:val="00B63465"/>
    <w:rsid w:val="00BC7ACE"/>
    <w:rsid w:val="00BD0E9E"/>
    <w:rsid w:val="00C00B0B"/>
    <w:rsid w:val="00C13BF4"/>
    <w:rsid w:val="00C76BEF"/>
    <w:rsid w:val="00D669B7"/>
    <w:rsid w:val="00D757CB"/>
    <w:rsid w:val="00DB3FF9"/>
    <w:rsid w:val="00DF6186"/>
    <w:rsid w:val="00E04C82"/>
    <w:rsid w:val="00EE674A"/>
    <w:rsid w:val="00EF67DB"/>
    <w:rsid w:val="00F01CAB"/>
    <w:rsid w:val="00F12281"/>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arramattalightrail.nsw.gov.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3020</Words>
  <Characters>17218</Characters>
  <Application>Microsoft Office Word</Application>
  <DocSecurity>0</DocSecurity>
  <Lines>143</Lines>
  <Paragraphs>40</Paragraphs>
  <ScaleCrop>false</ScaleCrop>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33</cp:revision>
  <dcterms:created xsi:type="dcterms:W3CDTF">2025-10-12T05:00:00Z</dcterms:created>
  <dcterms:modified xsi:type="dcterms:W3CDTF">2025-10-26T03:50:00Z</dcterms:modified>
</cp:coreProperties>
</file>