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02F66" w14:textId="77777777" w:rsidR="00C131C9" w:rsidRDefault="00C131C9" w:rsidP="00C131C9">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Tunnelling Through Complexity: A Systems Analysis of Sydney Metro City &amp; Southwest and the Future of Australian Tunnelling</w:t>
      </w:r>
    </w:p>
    <w:p w14:paraId="56874733"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Group 2</w:t>
      </w:r>
      <w:r>
        <w:rPr>
          <w:rFonts w:ascii="Segoe UI" w:hAnsi="Segoe UI" w:cs="Segoe UI"/>
          <w:color w:val="0F1115"/>
        </w:rPr>
        <w:br/>
        <w:t>CVEN9723 - Design of Construction Operations</w:t>
      </w:r>
      <w:r>
        <w:rPr>
          <w:rFonts w:ascii="Segoe UI" w:hAnsi="Segoe UI" w:cs="Segoe UI"/>
          <w:color w:val="0F1115"/>
        </w:rPr>
        <w:br/>
        <w:t>Term 3, 2025</w:t>
      </w:r>
      <w:r>
        <w:rPr>
          <w:rFonts w:ascii="Segoe UI" w:hAnsi="Segoe UI" w:cs="Segoe UI"/>
          <w:color w:val="0F1115"/>
        </w:rPr>
        <w:br/>
        <w:t>UNSW Sydney</w:t>
      </w:r>
      <w:r>
        <w:rPr>
          <w:rFonts w:ascii="Segoe UI" w:hAnsi="Segoe UI" w:cs="Segoe UI"/>
          <w:color w:val="0F1115"/>
        </w:rPr>
        <w:br/>
        <w:t>Date: 27 November 2025</w:t>
      </w:r>
    </w:p>
    <w:p w14:paraId="49323B29" w14:textId="77777777" w:rsidR="00C131C9" w:rsidRDefault="00C131C9" w:rsidP="00C131C9">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Executive Summary</w:t>
      </w:r>
    </w:p>
    <w:p w14:paraId="271463B2"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delivery of metro rail systems is critical for the sustainable development of Australian cities, yet these projects consistently encounter grand challenges that test the limits of current industry practice. This report presents a critical analysis of the Sydney Metro City &amp; Southwest project, with a specific focus on the tunnelling endeavours beneath Sydney's central business district and harbour. The investigation identifies three core, interconnected challenges: managing ground settlement and its impact on sensitive surface structures, navigating the intricate web of stakeholder interests in a dense urban environment, and overcoming the severe logistical constraints of materials handling and site access. A systems analysis reveals these challenges form reinforcing feedback loops, where technical risks trigger stakeholder and logistical crises. A comparative review of best practices from London's Crossrail and the Istanbul Marmaray projects highlights the efficacy of comprehensive predictive modelling and robust risk-sharing contractual models. The report concludes by proposing a transformative framework for future projects, advocating for the strategic implementation of Project Digital Twins, the adoption of Alliancing contracts to foster collaboration, and the integration of data-driven predictive analytics for proactive risk management. The lessons from Sydney Metro are presented as an imperative for the industry to evolve towards a more resilient, digitally-enabled, and collaborative paradigm.</w:t>
      </w:r>
    </w:p>
    <w:p w14:paraId="6C4B1422" w14:textId="77777777" w:rsidR="00C131C9" w:rsidRDefault="00C131C9" w:rsidP="00C131C9">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1. Introduction</w:t>
      </w:r>
    </w:p>
    <w:p w14:paraId="1750451B"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Australian construction industry is in an era of unprecedented investment in transformative public transport infrastructure. Projects like the </w:t>
      </w:r>
      <w:r>
        <w:rPr>
          <w:rStyle w:val="Strong"/>
          <w:rFonts w:ascii="Segoe UI" w:eastAsiaTheme="majorEastAsia" w:hAnsi="Segoe UI" w:cs="Segoe UI"/>
          <w:color w:val="0F1115"/>
        </w:rPr>
        <w:t>Sydney Metro City &amp; Southwest</w:t>
      </w:r>
      <w:r>
        <w:rPr>
          <w:rFonts w:ascii="Segoe UI" w:hAnsi="Segoe UI" w:cs="Segoe UI"/>
          <w:color w:val="0F1115"/>
        </w:rPr>
        <w:t xml:space="preserve"> represent a step-change in capacity and connectivity for major cities. This flagship project involves constructing twin 15.5-kilometre railway tunnels from Chatswood under Sydney Harbour, through the central business district (CBD), to Sydenham, and includes the conversion of an existing heavy rail line to metro standards [1]. While the strategic benefits are immense, the project's delivery, </w:t>
      </w:r>
      <w:r>
        <w:rPr>
          <w:rFonts w:ascii="Segoe UI" w:hAnsi="Segoe UI" w:cs="Segoe UI"/>
          <w:color w:val="0F1115"/>
        </w:rPr>
        <w:lastRenderedPageBreak/>
        <w:t>particularly the tunnelling components, has exposed systemic challenges that are emblematic of the grand challenges facing the sector. These include the technical difficulties of building in complex geology beneath a dense urban fabric, the managerial complexities of stakeholder engagement, and the logistical hurdles of urban construction.</w:t>
      </w:r>
    </w:p>
    <w:p w14:paraId="7D77CDE2"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report provides a forensic examination of the Sydney Metro City &amp; Southwest project. It will identify the primary challenges encountered, with a specific focus on the tunnelling and station excavation works. Crucially, it will analyse the intrinsic connections between these challenges, demonstrating how they form a system of compounded risk. The analysis is strengthened by a review of international best practices from comparable global metro projects, providing a benchmark for performance. Finally, the report will discuss emerging opportunities in digital engineering, contractual frameworks, and construction technologies, framing these challenges as a catalyst for the necessary evolution of the Australian construction industry.</w:t>
      </w:r>
    </w:p>
    <w:p w14:paraId="78225654" w14:textId="77777777" w:rsidR="00C131C9" w:rsidRDefault="00C131C9" w:rsidP="00C131C9">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2. Project Overview and Identified Challenges</w:t>
      </w:r>
    </w:p>
    <w:p w14:paraId="5856BED6"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Sydney Metro City &amp; Southwest project is a cornerstone of New South Wales' infrastructure strategy. Its scope includes deep station excavations at key locations like Victoria Cross, Barangaroo, and Martin Place, and the precise tunnelling required to pass beneath the foundations of heritage-listed buildings and under Sydney Harbour. The project has faced a triad of grand challenges.</w:t>
      </w:r>
    </w:p>
    <w:p w14:paraId="12E40E5B"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2.1 Geotechnical Risks and Settlement Management</w:t>
      </w:r>
      <w:r>
        <w:rPr>
          <w:rFonts w:ascii="Segoe UI" w:hAnsi="Segoe UI" w:cs="Segoe UI"/>
          <w:color w:val="0F1115"/>
        </w:rPr>
        <w:br/>
        <w:t>Tunnelling through the mixed geology of Sydney's CBD, including Hawkesbury Sandstone and overlying soft sediments, inherently risks ground movement. The primary challenge has been predicting and mitigating settlement that could impact sensitive surface structures.</w:t>
      </w:r>
    </w:p>
    <w:p w14:paraId="52078124" w14:textId="77777777" w:rsidR="00C131C9" w:rsidRDefault="00C131C9" w:rsidP="00C131C9">
      <w:pPr>
        <w:pStyle w:val="ds-markdown-paragraph"/>
        <w:numPr>
          <w:ilvl w:val="0"/>
          <w:numId w:val="58"/>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Specific Manifestations:</w:t>
      </w:r>
      <w:r>
        <w:rPr>
          <w:rFonts w:ascii="Segoe UI" w:hAnsi="Segoe UI" w:cs="Segoe UI"/>
          <w:color w:val="0F1115"/>
        </w:rPr>
        <w:t> The project encountered instances of ground settlement that exceeded predictions in specific locations, leading to the imposition of stringent work stoppage protocols and the implementation of extensive ground remediation programs, such as compensation grouting, to protect building foundations [2]. The presence of shallow groundwater tables added complexity, requiring continuous dewatering and management of water ingress.</w:t>
      </w:r>
    </w:p>
    <w:p w14:paraId="04F211E1" w14:textId="77777777" w:rsidR="00C131C9" w:rsidRDefault="00C131C9" w:rsidP="00C131C9">
      <w:pPr>
        <w:pStyle w:val="ds-markdown-paragraph"/>
        <w:numPr>
          <w:ilvl w:val="0"/>
          <w:numId w:val="58"/>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Root Causes:</w:t>
      </w:r>
      <w:r>
        <w:rPr>
          <w:rFonts w:ascii="Segoe UI" w:hAnsi="Segoe UI" w:cs="Segoe UI"/>
          <w:color w:val="0F1115"/>
        </w:rPr>
        <w:t> The variable nature of rock jointing and the presence of weathered zones create inherent uncertainty. Despite advanced modelling, the interaction between the tunnel boring machines (TBMs), the ground, and existing structures is complex and difficult to predict with absolute precision.</w:t>
      </w:r>
    </w:p>
    <w:p w14:paraId="55A4A95F"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lastRenderedPageBreak/>
        <w:t>2.2 Stakeholder Management in a Dense Urban Fabric</w:t>
      </w:r>
      <w:r>
        <w:rPr>
          <w:rFonts w:ascii="Segoe UI" w:hAnsi="Segoe UI" w:cs="Segoe UI"/>
          <w:color w:val="0F1115"/>
        </w:rPr>
        <w:br/>
        <w:t>The project corridor passes beneath some of the most valuable real estate in Australia, home to major corporations, government institutions, and heritage-listed buildings. This created an intensely complex stakeholder landscape.</w:t>
      </w:r>
    </w:p>
    <w:p w14:paraId="29028A0A" w14:textId="77777777" w:rsidR="00C131C9" w:rsidRDefault="00C131C9" w:rsidP="00C131C9">
      <w:pPr>
        <w:pStyle w:val="ds-markdown-paragraph"/>
        <w:numPr>
          <w:ilvl w:val="0"/>
          <w:numId w:val="59"/>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Specific Manifestations:</w:t>
      </w:r>
      <w:r>
        <w:rPr>
          <w:rFonts w:ascii="Segoe UI" w:hAnsi="Segoe UI" w:cs="Segoe UI"/>
          <w:color w:val="0F1115"/>
        </w:rPr>
        <w:t> Building owners and tenants raised significant concerns regarding vibration, noise, and the risk of settlement damage. High-profile negotiations with entities like the Sydney Opera House Trust, regarding vibration impacts from tunnelling beneath its foundations, required bespoke monitoring and mitigation solutions [3]. Business disruption during station construction was also a major source of contention.</w:t>
      </w:r>
    </w:p>
    <w:p w14:paraId="61766404" w14:textId="77777777" w:rsidR="00C131C9" w:rsidRDefault="00C131C9" w:rsidP="00C131C9">
      <w:pPr>
        <w:pStyle w:val="ds-markdown-paragraph"/>
        <w:numPr>
          <w:ilvl w:val="0"/>
          <w:numId w:val="59"/>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Root Causes:</w:t>
      </w:r>
      <w:r>
        <w:rPr>
          <w:rFonts w:ascii="Segoe UI" w:hAnsi="Segoe UI" w:cs="Segoe UI"/>
          <w:color w:val="0F1115"/>
        </w:rPr>
        <w:t> A high concentration of asset-sensitive stakeholders, the prolonged duration of high-impact construction activities, and the challenge of communicating complex technical risks in an accessible and transparent manner.</w:t>
      </w:r>
    </w:p>
    <w:p w14:paraId="15E7EB1C"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2.3 Logistical Constraints and Materials Handling</w:t>
      </w:r>
      <w:r>
        <w:rPr>
          <w:rFonts w:ascii="Segoe UI" w:hAnsi="Segoe UI" w:cs="Segoe UI"/>
          <w:color w:val="0F1115"/>
        </w:rPr>
        <w:br/>
        <w:t>The sites for station construction and TBM launch/retrieval are located in the most congested parts of the city, with extremely limited space for material storage, processing, and vehicle movement.</w:t>
      </w:r>
    </w:p>
    <w:p w14:paraId="7D335C19" w14:textId="77777777" w:rsidR="00C131C9" w:rsidRDefault="00C131C9" w:rsidP="00C131C9">
      <w:pPr>
        <w:pStyle w:val="ds-markdown-paragraph"/>
        <w:numPr>
          <w:ilvl w:val="0"/>
          <w:numId w:val="60"/>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Specific Manifestations:</w:t>
      </w:r>
      <w:r>
        <w:rPr>
          <w:rFonts w:ascii="Segoe UI" w:hAnsi="Segoe UI" w:cs="Segoe UI"/>
          <w:color w:val="0F1115"/>
        </w:rPr>
        <w:t> The logistics of removing hundreds of thousands of cubic metres of spoil from deep station boxes and tunnels, and delivering concrete and segmental linings, required a just-in-time delivery system of immense complexity. This often involved night works and complex traffic management plans, adding cost and schedule pressure [4].</w:t>
      </w:r>
    </w:p>
    <w:p w14:paraId="36611D80" w14:textId="77777777" w:rsidR="00C131C9" w:rsidRDefault="00C131C9" w:rsidP="00C131C9">
      <w:pPr>
        <w:pStyle w:val="ds-markdown-paragraph"/>
        <w:numPr>
          <w:ilvl w:val="0"/>
          <w:numId w:val="60"/>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Root Causes:</w:t>
      </w:r>
      <w:r>
        <w:rPr>
          <w:rFonts w:ascii="Segoe UI" w:hAnsi="Segoe UI" w:cs="Segoe UI"/>
          <w:color w:val="0F1115"/>
        </w:rPr>
        <w:t> The confined footprint of CBD work sites, competition for road space with city traffic, and environmental constraints on operating hours and emissions.</w:t>
      </w:r>
    </w:p>
    <w:p w14:paraId="46B57910"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eastAsiaTheme="majorEastAsia" w:hAnsi="Segoe UI" w:cs="Segoe UI"/>
          <w:color w:val="0F1115"/>
        </w:rPr>
        <w:t>Table 1: Summary of Key Challenges in Sydney Metro City &amp; Southwest Tunnelling</w:t>
      </w:r>
    </w:p>
    <w:tbl>
      <w:tblPr>
        <w:tblW w:w="0" w:type="auto"/>
        <w:tblCellMar>
          <w:top w:w="15" w:type="dxa"/>
          <w:left w:w="15" w:type="dxa"/>
          <w:bottom w:w="15" w:type="dxa"/>
          <w:right w:w="15" w:type="dxa"/>
        </w:tblCellMar>
        <w:tblLook w:val="04A0" w:firstRow="1" w:lastRow="0" w:firstColumn="1" w:lastColumn="0" w:noHBand="0" w:noVBand="1"/>
      </w:tblPr>
      <w:tblGrid>
        <w:gridCol w:w="1857"/>
        <w:gridCol w:w="2443"/>
        <w:gridCol w:w="2560"/>
        <w:gridCol w:w="2166"/>
      </w:tblGrid>
      <w:tr w:rsidR="00C131C9" w14:paraId="68E4B8DC" w14:textId="77777777">
        <w:trPr>
          <w:tblHeader/>
        </w:trPr>
        <w:tc>
          <w:tcPr>
            <w:tcW w:w="0" w:type="auto"/>
            <w:tcBorders>
              <w:top w:val="nil"/>
            </w:tcBorders>
            <w:tcMar>
              <w:top w:w="150" w:type="dxa"/>
              <w:left w:w="0" w:type="dxa"/>
              <w:bottom w:w="150" w:type="dxa"/>
              <w:right w:w="240" w:type="dxa"/>
            </w:tcMar>
            <w:vAlign w:val="center"/>
            <w:hideMark/>
          </w:tcPr>
          <w:p w14:paraId="3AF2322E" w14:textId="77777777" w:rsidR="00C131C9" w:rsidRDefault="00C131C9">
            <w:pPr>
              <w:spacing w:line="375" w:lineRule="atLeast"/>
              <w:rPr>
                <w:rFonts w:ascii="Segoe UI" w:hAnsi="Segoe UI" w:cs="Segoe UI"/>
                <w:sz w:val="23"/>
                <w:szCs w:val="23"/>
              </w:rPr>
            </w:pPr>
            <w:r>
              <w:rPr>
                <w:rFonts w:ascii="Segoe UI" w:hAnsi="Segoe UI" w:cs="Segoe UI"/>
                <w:sz w:val="23"/>
                <w:szCs w:val="23"/>
              </w:rPr>
              <w:t>Challenge Domain</w:t>
            </w:r>
          </w:p>
        </w:tc>
        <w:tc>
          <w:tcPr>
            <w:tcW w:w="0" w:type="auto"/>
            <w:tcBorders>
              <w:top w:val="nil"/>
            </w:tcBorders>
            <w:tcMar>
              <w:top w:w="150" w:type="dxa"/>
              <w:left w:w="240" w:type="dxa"/>
              <w:bottom w:w="150" w:type="dxa"/>
              <w:right w:w="240" w:type="dxa"/>
            </w:tcMar>
            <w:vAlign w:val="center"/>
            <w:hideMark/>
          </w:tcPr>
          <w:p w14:paraId="787BE09B" w14:textId="77777777" w:rsidR="00C131C9" w:rsidRDefault="00C131C9">
            <w:pPr>
              <w:spacing w:line="375" w:lineRule="atLeast"/>
              <w:rPr>
                <w:rFonts w:ascii="Segoe UI" w:hAnsi="Segoe UI" w:cs="Segoe UI"/>
                <w:sz w:val="23"/>
                <w:szCs w:val="23"/>
              </w:rPr>
            </w:pPr>
            <w:r>
              <w:rPr>
                <w:rFonts w:ascii="Segoe UI" w:hAnsi="Segoe UI" w:cs="Segoe UI"/>
                <w:sz w:val="23"/>
                <w:szCs w:val="23"/>
              </w:rPr>
              <w:t>Key Manifestations</w:t>
            </w:r>
          </w:p>
        </w:tc>
        <w:tc>
          <w:tcPr>
            <w:tcW w:w="0" w:type="auto"/>
            <w:tcBorders>
              <w:top w:val="nil"/>
            </w:tcBorders>
            <w:tcMar>
              <w:top w:w="150" w:type="dxa"/>
              <w:left w:w="240" w:type="dxa"/>
              <w:bottom w:w="150" w:type="dxa"/>
              <w:right w:w="240" w:type="dxa"/>
            </w:tcMar>
            <w:vAlign w:val="center"/>
            <w:hideMark/>
          </w:tcPr>
          <w:p w14:paraId="4364889A" w14:textId="77777777" w:rsidR="00C131C9" w:rsidRDefault="00C131C9">
            <w:pPr>
              <w:spacing w:line="375" w:lineRule="atLeast"/>
              <w:rPr>
                <w:rFonts w:ascii="Segoe UI" w:hAnsi="Segoe UI" w:cs="Segoe UI"/>
                <w:sz w:val="23"/>
                <w:szCs w:val="23"/>
              </w:rPr>
            </w:pPr>
            <w:r>
              <w:rPr>
                <w:rFonts w:ascii="Segoe UI" w:hAnsi="Segoe UI" w:cs="Segoe UI"/>
                <w:sz w:val="23"/>
                <w:szCs w:val="23"/>
              </w:rPr>
              <w:t>Underlying Causes</w:t>
            </w:r>
          </w:p>
        </w:tc>
        <w:tc>
          <w:tcPr>
            <w:tcW w:w="0" w:type="auto"/>
            <w:tcBorders>
              <w:top w:val="nil"/>
            </w:tcBorders>
            <w:tcMar>
              <w:top w:w="150" w:type="dxa"/>
              <w:left w:w="240" w:type="dxa"/>
              <w:bottom w:w="150" w:type="dxa"/>
              <w:right w:w="240" w:type="dxa"/>
            </w:tcMar>
            <w:vAlign w:val="center"/>
            <w:hideMark/>
          </w:tcPr>
          <w:p w14:paraId="02D9642D" w14:textId="77777777" w:rsidR="00C131C9" w:rsidRDefault="00C131C9">
            <w:pPr>
              <w:spacing w:line="375" w:lineRule="atLeast"/>
              <w:rPr>
                <w:rFonts w:ascii="Segoe UI" w:hAnsi="Segoe UI" w:cs="Segoe UI"/>
                <w:sz w:val="23"/>
                <w:szCs w:val="23"/>
              </w:rPr>
            </w:pPr>
            <w:r>
              <w:rPr>
                <w:rFonts w:ascii="Segoe UI" w:hAnsi="Segoe UI" w:cs="Segoe UI"/>
                <w:sz w:val="23"/>
                <w:szCs w:val="23"/>
              </w:rPr>
              <w:t>Project Impact</w:t>
            </w:r>
          </w:p>
        </w:tc>
      </w:tr>
      <w:tr w:rsidR="00C131C9" w14:paraId="0A4104C8" w14:textId="77777777">
        <w:tc>
          <w:tcPr>
            <w:tcW w:w="0" w:type="auto"/>
            <w:tcMar>
              <w:top w:w="150" w:type="dxa"/>
              <w:left w:w="0" w:type="dxa"/>
              <w:bottom w:w="150" w:type="dxa"/>
              <w:right w:w="240" w:type="dxa"/>
            </w:tcMar>
            <w:vAlign w:val="center"/>
            <w:hideMark/>
          </w:tcPr>
          <w:p w14:paraId="2994B7B4" w14:textId="77777777" w:rsidR="00C131C9" w:rsidRDefault="00C131C9">
            <w:pPr>
              <w:spacing w:line="375" w:lineRule="atLeast"/>
              <w:rPr>
                <w:rFonts w:ascii="Segoe UI" w:hAnsi="Segoe UI" w:cs="Segoe UI"/>
                <w:sz w:val="23"/>
                <w:szCs w:val="23"/>
              </w:rPr>
            </w:pPr>
            <w:r>
              <w:rPr>
                <w:rStyle w:val="Strong"/>
                <w:rFonts w:ascii="Segoe UI" w:hAnsi="Segoe UI" w:cs="Segoe UI"/>
                <w:sz w:val="23"/>
                <w:szCs w:val="23"/>
              </w:rPr>
              <w:t>Geotechnical &amp; Settlement</w:t>
            </w:r>
          </w:p>
        </w:tc>
        <w:tc>
          <w:tcPr>
            <w:tcW w:w="0" w:type="auto"/>
            <w:tcMar>
              <w:top w:w="150" w:type="dxa"/>
              <w:left w:w="240" w:type="dxa"/>
              <w:bottom w:w="150" w:type="dxa"/>
              <w:right w:w="240" w:type="dxa"/>
            </w:tcMar>
            <w:vAlign w:val="center"/>
            <w:hideMark/>
          </w:tcPr>
          <w:p w14:paraId="49582E76" w14:textId="77777777" w:rsidR="00C131C9" w:rsidRDefault="00C131C9">
            <w:pPr>
              <w:spacing w:line="375" w:lineRule="atLeast"/>
              <w:rPr>
                <w:rFonts w:ascii="Segoe UI" w:hAnsi="Segoe UI" w:cs="Segoe UI"/>
                <w:sz w:val="23"/>
                <w:szCs w:val="23"/>
              </w:rPr>
            </w:pPr>
            <w:r>
              <w:rPr>
                <w:rFonts w:ascii="Segoe UI" w:hAnsi="Segoe UI" w:cs="Segoe UI"/>
                <w:sz w:val="23"/>
                <w:szCs w:val="23"/>
              </w:rPr>
              <w:t>- Settlement exceeding predictions in localized areas.</w:t>
            </w:r>
            <w:r>
              <w:rPr>
                <w:rFonts w:ascii="Segoe UI" w:hAnsi="Segoe UI" w:cs="Segoe UI"/>
                <w:sz w:val="23"/>
                <w:szCs w:val="23"/>
              </w:rPr>
              <w:br/>
              <w:t>- Water ingress in mixed face conditions.</w:t>
            </w:r>
            <w:r>
              <w:rPr>
                <w:rFonts w:ascii="Segoe UI" w:hAnsi="Segoe UI" w:cs="Segoe UI"/>
                <w:sz w:val="23"/>
                <w:szCs w:val="23"/>
              </w:rPr>
              <w:br/>
            </w:r>
            <w:r>
              <w:rPr>
                <w:rFonts w:ascii="Segoe UI" w:hAnsi="Segoe UI" w:cs="Segoe UI"/>
                <w:sz w:val="23"/>
                <w:szCs w:val="23"/>
              </w:rPr>
              <w:lastRenderedPageBreak/>
              <w:t>- Vibration impacts on sensitive heritage structures.</w:t>
            </w:r>
          </w:p>
        </w:tc>
        <w:tc>
          <w:tcPr>
            <w:tcW w:w="0" w:type="auto"/>
            <w:tcMar>
              <w:top w:w="150" w:type="dxa"/>
              <w:left w:w="240" w:type="dxa"/>
              <w:bottom w:w="150" w:type="dxa"/>
              <w:right w:w="240" w:type="dxa"/>
            </w:tcMar>
            <w:vAlign w:val="center"/>
            <w:hideMark/>
          </w:tcPr>
          <w:p w14:paraId="56FB35F0" w14:textId="77777777" w:rsidR="00C131C9" w:rsidRDefault="00C131C9">
            <w:pPr>
              <w:spacing w:line="375" w:lineRule="atLeast"/>
              <w:rPr>
                <w:rFonts w:ascii="Segoe UI" w:hAnsi="Segoe UI" w:cs="Segoe UI"/>
                <w:sz w:val="23"/>
                <w:szCs w:val="23"/>
              </w:rPr>
            </w:pPr>
            <w:r>
              <w:rPr>
                <w:rFonts w:ascii="Segoe UI" w:hAnsi="Segoe UI" w:cs="Segoe UI"/>
                <w:sz w:val="23"/>
                <w:szCs w:val="23"/>
              </w:rPr>
              <w:lastRenderedPageBreak/>
              <w:t>- Geological heterogeneity and complex rock mass behaviour.</w:t>
            </w:r>
            <w:r>
              <w:rPr>
                <w:rFonts w:ascii="Segoe UI" w:hAnsi="Segoe UI" w:cs="Segoe UI"/>
                <w:sz w:val="23"/>
                <w:szCs w:val="23"/>
              </w:rPr>
              <w:br/>
              <w:t>- Limitations of predictive settlement models.</w:t>
            </w:r>
            <w:r>
              <w:rPr>
                <w:rFonts w:ascii="Segoe UI" w:hAnsi="Segoe UI" w:cs="Segoe UI"/>
                <w:sz w:val="23"/>
                <w:szCs w:val="23"/>
              </w:rPr>
              <w:br/>
            </w:r>
            <w:r>
              <w:rPr>
                <w:rFonts w:ascii="Segoe UI" w:hAnsi="Segoe UI" w:cs="Segoe UI"/>
                <w:sz w:val="23"/>
                <w:szCs w:val="23"/>
              </w:rPr>
              <w:lastRenderedPageBreak/>
              <w:t>- Proximity to building foundations and services.</w:t>
            </w:r>
          </w:p>
        </w:tc>
        <w:tc>
          <w:tcPr>
            <w:tcW w:w="0" w:type="auto"/>
            <w:tcMar>
              <w:top w:w="150" w:type="dxa"/>
              <w:left w:w="240" w:type="dxa"/>
              <w:bottom w:w="150" w:type="dxa"/>
              <w:right w:w="0" w:type="dxa"/>
            </w:tcMar>
            <w:vAlign w:val="center"/>
            <w:hideMark/>
          </w:tcPr>
          <w:p w14:paraId="7E51268E" w14:textId="77777777" w:rsidR="00C131C9" w:rsidRDefault="00C131C9">
            <w:pPr>
              <w:spacing w:line="375" w:lineRule="atLeast"/>
              <w:rPr>
                <w:rFonts w:ascii="Segoe UI" w:hAnsi="Segoe UI" w:cs="Segoe UI"/>
                <w:sz w:val="23"/>
                <w:szCs w:val="23"/>
              </w:rPr>
            </w:pPr>
            <w:r>
              <w:rPr>
                <w:rFonts w:ascii="Segoe UI" w:hAnsi="Segoe UI" w:cs="Segoe UI"/>
                <w:sz w:val="23"/>
                <w:szCs w:val="23"/>
              </w:rPr>
              <w:lastRenderedPageBreak/>
              <w:t>- Work stoppages for remediation.</w:t>
            </w:r>
            <w:r>
              <w:rPr>
                <w:rFonts w:ascii="Segoe UI" w:hAnsi="Segoe UI" w:cs="Segoe UI"/>
                <w:sz w:val="23"/>
                <w:szCs w:val="23"/>
              </w:rPr>
              <w:br/>
              <w:t>- Cost of additional ground support and compensation grouting.</w:t>
            </w:r>
            <w:r>
              <w:rPr>
                <w:rFonts w:ascii="Segoe UI" w:hAnsi="Segoe UI" w:cs="Segoe UI"/>
                <w:sz w:val="23"/>
                <w:szCs w:val="23"/>
              </w:rPr>
              <w:br/>
            </w:r>
            <w:r>
              <w:rPr>
                <w:rFonts w:ascii="Segoe UI" w:hAnsi="Segoe UI" w:cs="Segoe UI"/>
                <w:sz w:val="23"/>
                <w:szCs w:val="23"/>
              </w:rPr>
              <w:lastRenderedPageBreak/>
              <w:t>- Programme delays on critical path.</w:t>
            </w:r>
          </w:p>
        </w:tc>
      </w:tr>
      <w:tr w:rsidR="00C131C9" w14:paraId="6AC8F908" w14:textId="77777777">
        <w:tc>
          <w:tcPr>
            <w:tcW w:w="0" w:type="auto"/>
            <w:tcMar>
              <w:top w:w="150" w:type="dxa"/>
              <w:left w:w="0" w:type="dxa"/>
              <w:bottom w:w="150" w:type="dxa"/>
              <w:right w:w="240" w:type="dxa"/>
            </w:tcMar>
            <w:vAlign w:val="center"/>
            <w:hideMark/>
          </w:tcPr>
          <w:p w14:paraId="7B613569" w14:textId="77777777" w:rsidR="00C131C9" w:rsidRDefault="00C131C9">
            <w:pPr>
              <w:spacing w:line="375" w:lineRule="atLeast"/>
              <w:rPr>
                <w:rFonts w:ascii="Segoe UI" w:hAnsi="Segoe UI" w:cs="Segoe UI"/>
                <w:sz w:val="23"/>
                <w:szCs w:val="23"/>
              </w:rPr>
            </w:pPr>
            <w:r>
              <w:rPr>
                <w:rStyle w:val="Strong"/>
                <w:rFonts w:ascii="Segoe UI" w:hAnsi="Segoe UI" w:cs="Segoe UI"/>
                <w:sz w:val="23"/>
                <w:szCs w:val="23"/>
              </w:rPr>
              <w:lastRenderedPageBreak/>
              <w:t>Stakeholder Management</w:t>
            </w:r>
          </w:p>
        </w:tc>
        <w:tc>
          <w:tcPr>
            <w:tcW w:w="0" w:type="auto"/>
            <w:tcMar>
              <w:top w:w="150" w:type="dxa"/>
              <w:left w:w="240" w:type="dxa"/>
              <w:bottom w:w="150" w:type="dxa"/>
              <w:right w:w="240" w:type="dxa"/>
            </w:tcMar>
            <w:vAlign w:val="center"/>
            <w:hideMark/>
          </w:tcPr>
          <w:p w14:paraId="5B4AE54B" w14:textId="77777777" w:rsidR="00C131C9" w:rsidRDefault="00C131C9">
            <w:pPr>
              <w:spacing w:line="375" w:lineRule="atLeast"/>
              <w:rPr>
                <w:rFonts w:ascii="Segoe UI" w:hAnsi="Segoe UI" w:cs="Segoe UI"/>
                <w:sz w:val="23"/>
                <w:szCs w:val="23"/>
              </w:rPr>
            </w:pPr>
            <w:r>
              <w:rPr>
                <w:rFonts w:ascii="Segoe UI" w:hAnsi="Segoe UI" w:cs="Segoe UI"/>
                <w:sz w:val="23"/>
                <w:szCs w:val="23"/>
              </w:rPr>
              <w:t>- Negotiations with major corporations and cultural institutions.</w:t>
            </w:r>
            <w:r>
              <w:rPr>
                <w:rFonts w:ascii="Segoe UI" w:hAnsi="Segoe UI" w:cs="Segoe UI"/>
                <w:sz w:val="23"/>
                <w:szCs w:val="23"/>
              </w:rPr>
              <w:br/>
              <w:t>- Business disruption complaints during station construction.</w:t>
            </w:r>
            <w:r>
              <w:rPr>
                <w:rFonts w:ascii="Segoe UI" w:hAnsi="Segoe UI" w:cs="Segoe UI"/>
                <w:sz w:val="23"/>
                <w:szCs w:val="23"/>
              </w:rPr>
              <w:br/>
              <w:t>- Political and media scrutiny.</w:t>
            </w:r>
          </w:p>
        </w:tc>
        <w:tc>
          <w:tcPr>
            <w:tcW w:w="0" w:type="auto"/>
            <w:tcMar>
              <w:top w:w="150" w:type="dxa"/>
              <w:left w:w="240" w:type="dxa"/>
              <w:bottom w:w="150" w:type="dxa"/>
              <w:right w:w="240" w:type="dxa"/>
            </w:tcMar>
            <w:vAlign w:val="center"/>
            <w:hideMark/>
          </w:tcPr>
          <w:p w14:paraId="634B5AAA" w14:textId="77777777" w:rsidR="00C131C9" w:rsidRDefault="00C131C9">
            <w:pPr>
              <w:spacing w:line="375" w:lineRule="atLeast"/>
              <w:rPr>
                <w:rFonts w:ascii="Segoe UI" w:hAnsi="Segoe UI" w:cs="Segoe UI"/>
                <w:sz w:val="23"/>
                <w:szCs w:val="23"/>
              </w:rPr>
            </w:pPr>
            <w:r>
              <w:rPr>
                <w:rFonts w:ascii="Segoe UI" w:hAnsi="Segoe UI" w:cs="Segoe UI"/>
                <w:sz w:val="23"/>
                <w:szCs w:val="23"/>
              </w:rPr>
              <w:t>- High density of asset-sensitive stakeholders.</w:t>
            </w:r>
            <w:r>
              <w:rPr>
                <w:rFonts w:ascii="Segoe UI" w:hAnsi="Segoe UI" w:cs="Segoe UI"/>
                <w:sz w:val="23"/>
                <w:szCs w:val="23"/>
              </w:rPr>
              <w:br/>
              <w:t>- Prolonged duration of high-impact works.</w:t>
            </w:r>
            <w:r>
              <w:rPr>
                <w:rFonts w:ascii="Segoe UI" w:hAnsi="Segoe UI" w:cs="Segoe UI"/>
                <w:sz w:val="23"/>
                <w:szCs w:val="23"/>
              </w:rPr>
              <w:br/>
              <w:t>- Communication gaps in technical risk explanation.</w:t>
            </w:r>
          </w:p>
        </w:tc>
        <w:tc>
          <w:tcPr>
            <w:tcW w:w="0" w:type="auto"/>
            <w:tcMar>
              <w:top w:w="150" w:type="dxa"/>
              <w:left w:w="240" w:type="dxa"/>
              <w:bottom w:w="150" w:type="dxa"/>
              <w:right w:w="0" w:type="dxa"/>
            </w:tcMar>
            <w:vAlign w:val="center"/>
            <w:hideMark/>
          </w:tcPr>
          <w:p w14:paraId="5CE22597" w14:textId="77777777" w:rsidR="00C131C9" w:rsidRDefault="00C131C9">
            <w:pPr>
              <w:spacing w:line="375" w:lineRule="atLeast"/>
              <w:rPr>
                <w:rFonts w:ascii="Segoe UI" w:hAnsi="Segoe UI" w:cs="Segoe UI"/>
                <w:sz w:val="23"/>
                <w:szCs w:val="23"/>
              </w:rPr>
            </w:pPr>
            <w:r>
              <w:rPr>
                <w:rFonts w:ascii="Segoe UI" w:hAnsi="Segoe UI" w:cs="Segoe UI"/>
                <w:sz w:val="23"/>
                <w:szCs w:val="23"/>
              </w:rPr>
              <w:t>- Requirement for bespoke and costly mitigation measures.</w:t>
            </w:r>
            <w:r>
              <w:rPr>
                <w:rFonts w:ascii="Segoe UI" w:hAnsi="Segoe UI" w:cs="Segoe UI"/>
                <w:sz w:val="23"/>
                <w:szCs w:val="23"/>
              </w:rPr>
              <w:br/>
              <w:t>- Reputational damage and erosion of public trust.</w:t>
            </w:r>
            <w:r>
              <w:rPr>
                <w:rFonts w:ascii="Segoe UI" w:hAnsi="Segoe UI" w:cs="Segoe UI"/>
                <w:sz w:val="23"/>
                <w:szCs w:val="23"/>
              </w:rPr>
              <w:br/>
              <w:t>- Potential for legal disputes.</w:t>
            </w:r>
          </w:p>
        </w:tc>
      </w:tr>
      <w:tr w:rsidR="00C131C9" w14:paraId="028B6625" w14:textId="77777777">
        <w:tc>
          <w:tcPr>
            <w:tcW w:w="0" w:type="auto"/>
            <w:tcMar>
              <w:top w:w="150" w:type="dxa"/>
              <w:left w:w="0" w:type="dxa"/>
              <w:bottom w:w="150" w:type="dxa"/>
              <w:right w:w="240" w:type="dxa"/>
            </w:tcMar>
            <w:vAlign w:val="center"/>
            <w:hideMark/>
          </w:tcPr>
          <w:p w14:paraId="3B068651" w14:textId="77777777" w:rsidR="00C131C9" w:rsidRDefault="00C131C9">
            <w:pPr>
              <w:spacing w:line="375" w:lineRule="atLeast"/>
              <w:rPr>
                <w:rFonts w:ascii="Segoe UI" w:hAnsi="Segoe UI" w:cs="Segoe UI"/>
                <w:sz w:val="23"/>
                <w:szCs w:val="23"/>
              </w:rPr>
            </w:pPr>
            <w:r>
              <w:rPr>
                <w:rStyle w:val="Strong"/>
                <w:rFonts w:ascii="Segoe UI" w:hAnsi="Segoe UI" w:cs="Segoe UI"/>
                <w:sz w:val="23"/>
                <w:szCs w:val="23"/>
              </w:rPr>
              <w:t>Logistics &amp; Materials Handling</w:t>
            </w:r>
          </w:p>
        </w:tc>
        <w:tc>
          <w:tcPr>
            <w:tcW w:w="0" w:type="auto"/>
            <w:tcMar>
              <w:top w:w="150" w:type="dxa"/>
              <w:left w:w="240" w:type="dxa"/>
              <w:bottom w:w="150" w:type="dxa"/>
              <w:right w:w="240" w:type="dxa"/>
            </w:tcMar>
            <w:vAlign w:val="center"/>
            <w:hideMark/>
          </w:tcPr>
          <w:p w14:paraId="045BA62C" w14:textId="77777777" w:rsidR="00C131C9" w:rsidRDefault="00C131C9">
            <w:pPr>
              <w:spacing w:line="375" w:lineRule="atLeast"/>
              <w:rPr>
                <w:rFonts w:ascii="Segoe UI" w:hAnsi="Segoe UI" w:cs="Segoe UI"/>
                <w:sz w:val="23"/>
                <w:szCs w:val="23"/>
              </w:rPr>
            </w:pPr>
            <w:r>
              <w:rPr>
                <w:rFonts w:ascii="Segoe UI" w:hAnsi="Segoe UI" w:cs="Segoe UI"/>
                <w:sz w:val="23"/>
                <w:szCs w:val="23"/>
              </w:rPr>
              <w:t>- Complex spoil removal from deep sites.</w:t>
            </w:r>
            <w:r>
              <w:rPr>
                <w:rFonts w:ascii="Segoe UI" w:hAnsi="Segoe UI" w:cs="Segoe UI"/>
                <w:sz w:val="23"/>
                <w:szCs w:val="23"/>
              </w:rPr>
              <w:br/>
              <w:t>- Just-in-time delivery of segments and concrete.</w:t>
            </w:r>
            <w:r>
              <w:rPr>
                <w:rFonts w:ascii="Segoe UI" w:hAnsi="Segoe UI" w:cs="Segoe UI"/>
                <w:sz w:val="23"/>
                <w:szCs w:val="23"/>
              </w:rPr>
              <w:br/>
              <w:t>- Traffic and noise impacts from 24/7 operations.</w:t>
            </w:r>
          </w:p>
        </w:tc>
        <w:tc>
          <w:tcPr>
            <w:tcW w:w="0" w:type="auto"/>
            <w:tcMar>
              <w:top w:w="150" w:type="dxa"/>
              <w:left w:w="240" w:type="dxa"/>
              <w:bottom w:w="150" w:type="dxa"/>
              <w:right w:w="240" w:type="dxa"/>
            </w:tcMar>
            <w:vAlign w:val="center"/>
            <w:hideMark/>
          </w:tcPr>
          <w:p w14:paraId="4B02AA2B" w14:textId="77777777" w:rsidR="00C131C9" w:rsidRDefault="00C131C9">
            <w:pPr>
              <w:spacing w:line="375" w:lineRule="atLeast"/>
              <w:rPr>
                <w:rFonts w:ascii="Segoe UI" w:hAnsi="Segoe UI" w:cs="Segoe UI"/>
                <w:sz w:val="23"/>
                <w:szCs w:val="23"/>
              </w:rPr>
            </w:pPr>
            <w:r>
              <w:rPr>
                <w:rFonts w:ascii="Segoe UI" w:hAnsi="Segoe UI" w:cs="Segoe UI"/>
                <w:sz w:val="23"/>
                <w:szCs w:val="23"/>
              </w:rPr>
              <w:t>- Extremely confined CBD site footprints.</w:t>
            </w:r>
            <w:r>
              <w:rPr>
                <w:rFonts w:ascii="Segoe UI" w:hAnsi="Segoe UI" w:cs="Segoe UI"/>
                <w:sz w:val="23"/>
                <w:szCs w:val="23"/>
              </w:rPr>
              <w:br/>
              <w:t>- Competition with city traffic for road space.</w:t>
            </w:r>
            <w:r>
              <w:rPr>
                <w:rFonts w:ascii="Segoe UI" w:hAnsi="Segoe UI" w:cs="Segoe UI"/>
                <w:sz w:val="23"/>
                <w:szCs w:val="23"/>
              </w:rPr>
              <w:br/>
              <w:t>- Stringent environmental and community operating constraints.</w:t>
            </w:r>
          </w:p>
        </w:tc>
        <w:tc>
          <w:tcPr>
            <w:tcW w:w="0" w:type="auto"/>
            <w:tcMar>
              <w:top w:w="150" w:type="dxa"/>
              <w:left w:w="240" w:type="dxa"/>
              <w:bottom w:w="150" w:type="dxa"/>
              <w:right w:w="0" w:type="dxa"/>
            </w:tcMar>
            <w:vAlign w:val="center"/>
            <w:hideMark/>
          </w:tcPr>
          <w:p w14:paraId="404718B3" w14:textId="77777777" w:rsidR="00C131C9" w:rsidRDefault="00C131C9">
            <w:pPr>
              <w:spacing w:line="375" w:lineRule="atLeast"/>
              <w:rPr>
                <w:rFonts w:ascii="Segoe UI" w:hAnsi="Segoe UI" w:cs="Segoe UI"/>
                <w:sz w:val="23"/>
                <w:szCs w:val="23"/>
              </w:rPr>
            </w:pPr>
            <w:r>
              <w:rPr>
                <w:rFonts w:ascii="Segoe UI" w:hAnsi="Segoe UI" w:cs="Segoe UI"/>
                <w:sz w:val="23"/>
                <w:szCs w:val="23"/>
              </w:rPr>
              <w:t>- Increased cost of logistics and traffic management.</w:t>
            </w:r>
            <w:r>
              <w:rPr>
                <w:rFonts w:ascii="Segoe UI" w:hAnsi="Segoe UI" w:cs="Segoe UI"/>
                <w:sz w:val="23"/>
                <w:szCs w:val="23"/>
              </w:rPr>
              <w:br/>
              <w:t>- Schedule dependencies on flawless supply chain.</w:t>
            </w:r>
            <w:r>
              <w:rPr>
                <w:rFonts w:ascii="Segoe UI" w:hAnsi="Segoe UI" w:cs="Segoe UI"/>
                <w:sz w:val="23"/>
                <w:szCs w:val="23"/>
              </w:rPr>
              <w:br/>
              <w:t>- Community frustration from prolonged disruption.</w:t>
            </w:r>
          </w:p>
        </w:tc>
      </w:tr>
    </w:tbl>
    <w:p w14:paraId="38DA481F" w14:textId="77777777" w:rsidR="00C131C9" w:rsidRDefault="00C131C9" w:rsidP="00C131C9">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lastRenderedPageBreak/>
        <w:t>3. Critical Analysis of Problem Causes and Intrinsic Connections</w:t>
      </w:r>
    </w:p>
    <w:p w14:paraId="290DAD53"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challenges outlined are not isolated; they are dynamically interconnected, creating a system where a failure in one domain can trigger a cascade of consequences in others. This can be conceptualized through a systems thinking lens, as illustrated in Fig. 1.</w:t>
      </w:r>
    </w:p>
    <w:p w14:paraId="1D9F32CE"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Fig. 1.</w:t>
      </w:r>
      <w:r>
        <w:rPr>
          <w:rFonts w:ascii="Segoe UI" w:hAnsi="Segoe UI" w:cs="Segoe UI"/>
          <w:color w:val="0F1115"/>
        </w:rPr>
        <w:t> Causal Loop Diagram illustrating reinforcing feedback loops between project challenges.</w:t>
      </w:r>
    </w:p>
    <w:p w14:paraId="7F6CB796"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most critical nexus is between </w:t>
      </w:r>
      <w:r>
        <w:rPr>
          <w:rStyle w:val="Strong"/>
          <w:rFonts w:ascii="Segoe UI" w:eastAsiaTheme="majorEastAsia" w:hAnsi="Segoe UI" w:cs="Segoe UI"/>
          <w:color w:val="0F1115"/>
        </w:rPr>
        <w:t>geotechnical risks and stakeholder management (R1)</w:t>
      </w:r>
      <w:r>
        <w:rPr>
          <w:rFonts w:ascii="Segoe UI" w:hAnsi="Segoe UI" w:cs="Segoe UI"/>
          <w:color w:val="0F1115"/>
        </w:rPr>
        <w:t>. When ground settlement exceeds predictions, even if within safe absolute limits, it inevitably heightens anxiety among building owners and tenants. This increased concern leads to heightened scrutiny, more stringent regulatory oversight, and potentially the imposition of work stoppages to allow for further investigation and remediation. These stoppages directly impact the project schedule. The subsequent pressure to recover lost time can, in turn, lead to accelerated work paces or altered sequences that may increase the risk of further geotechnical issues, thus closing the vicious cycle.</w:t>
      </w:r>
    </w:p>
    <w:p w14:paraId="08CC02E3"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Simultaneously, </w:t>
      </w:r>
      <w:r>
        <w:rPr>
          <w:rStyle w:val="Strong"/>
          <w:rFonts w:ascii="Segoe UI" w:eastAsiaTheme="majorEastAsia" w:hAnsi="Segoe UI" w:cs="Segoe UI"/>
          <w:color w:val="0F1115"/>
        </w:rPr>
        <w:t>logistical constraints (R2)</w:t>
      </w:r>
      <w:r>
        <w:rPr>
          <w:rFonts w:ascii="Segoe UI" w:hAnsi="Segoe UI" w:cs="Segoe UI"/>
          <w:color w:val="0F1115"/>
        </w:rPr>
        <w:t> directly interact with technical performance. A delay in the complex logistics chain—for example, a truck breakdown disrupting spoil removal from a TBM—can force the TBM to halt mining. A stationary TBM face in certain ground conditions can lead to ground relaxation and a loss of stability, requiring unplanned ground improvement works before mining can resume. This then introduces further logistical complexity in delivering the necessary grouting materials or equipment, amplifying the initial delay. The project system was thus configured in a way that made it highly vulnerable to these reinforcing feedback loops, where the primary management strategy was often reactive rather than proactive.</w:t>
      </w:r>
    </w:p>
    <w:p w14:paraId="159768A7" w14:textId="77777777" w:rsidR="00C131C9" w:rsidRDefault="00C131C9" w:rsidP="00C131C9">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4. Review of Best Practices</w:t>
      </w:r>
    </w:p>
    <w:p w14:paraId="6C968C42"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Examining globally renowned projects provides a blueprint for mitigating the challenges faced by Sydney Metro.</w:t>
      </w:r>
    </w:p>
    <w:p w14:paraId="668FA5A7"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4.1 Crossrail, London (UK)</w:t>
      </w:r>
      <w:r>
        <w:rPr>
          <w:rFonts w:ascii="Segoe UI" w:hAnsi="Segoe UI" w:cs="Segoe UI"/>
          <w:color w:val="0F1115"/>
        </w:rPr>
        <w:br/>
        <w:t>The Crossrail project (now the Elizabeth Line) is a direct comparator, involving 42 km of new tunnels under central London. Its approach to risk management was foundational to its success.</w:t>
      </w:r>
    </w:p>
    <w:p w14:paraId="2FD2E43E" w14:textId="77777777" w:rsidR="00C131C9" w:rsidRDefault="00C131C9" w:rsidP="00C131C9">
      <w:pPr>
        <w:pStyle w:val="ds-markdown-paragraph"/>
        <w:numPr>
          <w:ilvl w:val="0"/>
          <w:numId w:val="62"/>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Approach:</w:t>
      </w:r>
      <w:r>
        <w:rPr>
          <w:rFonts w:ascii="Segoe UI" w:hAnsi="Segoe UI" w:cs="Segoe UI"/>
          <w:color w:val="0F1115"/>
        </w:rPr>
        <w:t> Crossrail implemented an unparalleled </w:t>
      </w:r>
      <w:r>
        <w:rPr>
          <w:rStyle w:val="Strong"/>
          <w:rFonts w:ascii="Segoe UI" w:eastAsiaTheme="majorEastAsia" w:hAnsi="Segoe UI" w:cs="Segoe UI"/>
          <w:color w:val="0F1115"/>
        </w:rPr>
        <w:t>geotechnical baseline report</w:t>
      </w:r>
      <w:r>
        <w:rPr>
          <w:rFonts w:ascii="Segoe UI" w:hAnsi="Segoe UI" w:cs="Segoe UI"/>
          <w:color w:val="0F1115"/>
        </w:rPr>
        <w:t> and a comprehensive </w:t>
      </w:r>
      <w:r>
        <w:rPr>
          <w:rStyle w:val="Strong"/>
          <w:rFonts w:ascii="Segoe UI" w:eastAsiaTheme="majorEastAsia" w:hAnsi="Segoe UI" w:cs="Segoe UI"/>
          <w:color w:val="0F1115"/>
        </w:rPr>
        <w:t>3D ground model</w:t>
      </w:r>
      <w:r>
        <w:rPr>
          <w:rFonts w:ascii="Segoe UI" w:hAnsi="Segoe UI" w:cs="Segoe UI"/>
          <w:color w:val="0F1115"/>
        </w:rPr>
        <w:t xml:space="preserve"> that was continuously updated with data from boreholes and TBM sensors. This served as a single </w:t>
      </w:r>
      <w:r>
        <w:rPr>
          <w:rFonts w:ascii="Segoe UI" w:hAnsi="Segoe UI" w:cs="Segoe UI"/>
          <w:color w:val="0F1115"/>
        </w:rPr>
        <w:lastRenderedPageBreak/>
        <w:t>source of truth for all parties [5]. Furthermore, they established an extensive </w:t>
      </w:r>
      <w:r>
        <w:rPr>
          <w:rStyle w:val="Strong"/>
          <w:rFonts w:ascii="Segoe UI" w:eastAsiaTheme="majorEastAsia" w:hAnsi="Segoe UI" w:cs="Segoe UI"/>
          <w:color w:val="0F1115"/>
        </w:rPr>
        <w:t>building protection strategy</w:t>
      </w:r>
      <w:r>
        <w:rPr>
          <w:rFonts w:ascii="Segoe UI" w:hAnsi="Segoe UI" w:cs="Segoe UI"/>
          <w:color w:val="0F1115"/>
        </w:rPr>
        <w:t> that included pre-construction condition surveys and real-time monitoring, with pre-agreed trigger levels for intervention.</w:t>
      </w:r>
    </w:p>
    <w:p w14:paraId="488AD991" w14:textId="77777777" w:rsidR="00C131C9" w:rsidRDefault="00C131C9" w:rsidP="00C131C9">
      <w:pPr>
        <w:pStyle w:val="ds-markdown-paragraph"/>
        <w:numPr>
          <w:ilvl w:val="0"/>
          <w:numId w:val="62"/>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Critical Analysis &amp; Relevance:</w:t>
      </w:r>
      <w:r>
        <w:rPr>
          <w:rFonts w:ascii="Segoe UI" w:hAnsi="Segoe UI" w:cs="Segoe UI"/>
          <w:color w:val="0F1115"/>
        </w:rPr>
        <w:t> Sydney Metro employed similar techniques, but Crossrail's integration of data into a centralised model and its proactive, pre-agreed mitigation strategies were more systematic. This approach directly attacks the feedback loop (R1) by building stakeholder confidence through transparency and pre-planned responses, rather than reacting to incidents.</w:t>
      </w:r>
    </w:p>
    <w:p w14:paraId="11C96E9D"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4.2 Marmaray Project, Istanbul (Turkey)</w:t>
      </w:r>
      <w:r>
        <w:rPr>
          <w:rFonts w:ascii="Segoe UI" w:hAnsi="Segoe UI" w:cs="Segoe UI"/>
          <w:color w:val="0F1115"/>
        </w:rPr>
        <w:br/>
        <w:t>The Marmaray project involved constructing a 13.6 km immersed tube tunnel under the Bosphorus Strait, connecting Europe and Asia, in a seismically active region with complex currents and geology.</w:t>
      </w:r>
    </w:p>
    <w:p w14:paraId="77A535D4" w14:textId="77777777" w:rsidR="00C131C9" w:rsidRDefault="00C131C9" w:rsidP="00C131C9">
      <w:pPr>
        <w:pStyle w:val="ds-markdown-paragraph"/>
        <w:numPr>
          <w:ilvl w:val="0"/>
          <w:numId w:val="63"/>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Approach:</w:t>
      </w:r>
      <w:r>
        <w:rPr>
          <w:rFonts w:ascii="Segoe UI" w:hAnsi="Segoe UI" w:cs="Segoe UI"/>
          <w:color w:val="0F1115"/>
        </w:rPr>
        <w:t> A key to success was the adoption of an </w:t>
      </w:r>
      <w:r>
        <w:rPr>
          <w:rStyle w:val="Strong"/>
          <w:rFonts w:ascii="Segoe UI" w:eastAsiaTheme="majorEastAsia" w:hAnsi="Segoe UI" w:cs="Segoe UI"/>
          <w:color w:val="0F1115"/>
        </w:rPr>
        <w:t>international risk-sharing consortium</w:t>
      </w:r>
      <w:r>
        <w:rPr>
          <w:rFonts w:ascii="Segoe UI" w:hAnsi="Segoe UI" w:cs="Segoe UI"/>
          <w:color w:val="0F1115"/>
        </w:rPr>
        <w:t> and the use of </w:t>
      </w:r>
      <w:r>
        <w:rPr>
          <w:rStyle w:val="Strong"/>
          <w:rFonts w:ascii="Segoe UI" w:eastAsiaTheme="majorEastAsia" w:hAnsi="Segoe UI" w:cs="Segoe UI"/>
          <w:color w:val="0F1115"/>
        </w:rPr>
        <w:t>cutting-edge, purpose-built technology</w:t>
      </w:r>
      <w:r>
        <w:rPr>
          <w:rFonts w:ascii="Segoe UI" w:hAnsi="Segoe UI" w:cs="Segoe UI"/>
          <w:color w:val="0F1115"/>
        </w:rPr>
        <w:t>. The project utilised a joint venture of international contractors with specific relevant expertise, and deployed a specially designed, seismically resilient tunnel element and immersion technology [6].</w:t>
      </w:r>
    </w:p>
    <w:p w14:paraId="180EFA15" w14:textId="77777777" w:rsidR="00C131C9" w:rsidRDefault="00C131C9" w:rsidP="00C131C9">
      <w:pPr>
        <w:pStyle w:val="ds-markdown-paragraph"/>
        <w:numPr>
          <w:ilvl w:val="0"/>
          <w:numId w:val="63"/>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Critical Analysis &amp; Relevance:</w:t>
      </w:r>
      <w:r>
        <w:rPr>
          <w:rFonts w:ascii="Segoe UI" w:hAnsi="Segoe UI" w:cs="Segoe UI"/>
          <w:color w:val="0F1115"/>
        </w:rPr>
        <w:t> While Sydney Metro used TBMs, the principle of deploying technology and contractual models tailored to the project's highest risks is universal. The Marmaray project's success underscores the limitation of applying standard procurement and technology to non-standard, high-risk megaprojects. For Sydney Metro, a more collaborative, alliance-based model from the outset could have better managed the shared risk of differing ground conditions.</w:t>
      </w:r>
    </w:p>
    <w:p w14:paraId="119CB90B"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eastAsiaTheme="majorEastAsia" w:hAnsi="Segoe UI" w:cs="Segoe UI"/>
          <w:color w:val="0F1115"/>
        </w:rPr>
        <w:t>Table 2: Analysis of International Best Practices</w:t>
      </w:r>
    </w:p>
    <w:tbl>
      <w:tblPr>
        <w:tblW w:w="0" w:type="auto"/>
        <w:tblCellMar>
          <w:top w:w="15" w:type="dxa"/>
          <w:left w:w="15" w:type="dxa"/>
          <w:bottom w:w="15" w:type="dxa"/>
          <w:right w:w="15" w:type="dxa"/>
        </w:tblCellMar>
        <w:tblLook w:val="04A0" w:firstRow="1" w:lastRow="0" w:firstColumn="1" w:lastColumn="0" w:noHBand="0" w:noVBand="1"/>
      </w:tblPr>
      <w:tblGrid>
        <w:gridCol w:w="1492"/>
        <w:gridCol w:w="2105"/>
        <w:gridCol w:w="2241"/>
        <w:gridCol w:w="3188"/>
      </w:tblGrid>
      <w:tr w:rsidR="00C131C9" w14:paraId="7AB4CD98" w14:textId="77777777">
        <w:trPr>
          <w:tblHeader/>
        </w:trPr>
        <w:tc>
          <w:tcPr>
            <w:tcW w:w="0" w:type="auto"/>
            <w:tcBorders>
              <w:top w:val="nil"/>
            </w:tcBorders>
            <w:tcMar>
              <w:top w:w="150" w:type="dxa"/>
              <w:left w:w="0" w:type="dxa"/>
              <w:bottom w:w="150" w:type="dxa"/>
              <w:right w:w="240" w:type="dxa"/>
            </w:tcMar>
            <w:vAlign w:val="center"/>
            <w:hideMark/>
          </w:tcPr>
          <w:p w14:paraId="4473A46D" w14:textId="77777777" w:rsidR="00C131C9" w:rsidRDefault="00C131C9">
            <w:pPr>
              <w:spacing w:line="375" w:lineRule="atLeast"/>
              <w:rPr>
                <w:rFonts w:ascii="Segoe UI" w:hAnsi="Segoe UI" w:cs="Segoe UI"/>
                <w:sz w:val="23"/>
                <w:szCs w:val="23"/>
              </w:rPr>
            </w:pPr>
            <w:r>
              <w:rPr>
                <w:rFonts w:ascii="Segoe UI" w:hAnsi="Segoe UI" w:cs="Segoe UI"/>
                <w:sz w:val="23"/>
                <w:szCs w:val="23"/>
              </w:rPr>
              <w:t>Project</w:t>
            </w:r>
          </w:p>
        </w:tc>
        <w:tc>
          <w:tcPr>
            <w:tcW w:w="0" w:type="auto"/>
            <w:tcBorders>
              <w:top w:val="nil"/>
            </w:tcBorders>
            <w:tcMar>
              <w:top w:w="150" w:type="dxa"/>
              <w:left w:w="240" w:type="dxa"/>
              <w:bottom w:w="150" w:type="dxa"/>
              <w:right w:w="240" w:type="dxa"/>
            </w:tcMar>
            <w:vAlign w:val="center"/>
            <w:hideMark/>
          </w:tcPr>
          <w:p w14:paraId="2377C3BD" w14:textId="77777777" w:rsidR="00C131C9" w:rsidRDefault="00C131C9">
            <w:pPr>
              <w:spacing w:line="375" w:lineRule="atLeast"/>
              <w:rPr>
                <w:rFonts w:ascii="Segoe UI" w:hAnsi="Segoe UI" w:cs="Segoe UI"/>
                <w:sz w:val="23"/>
                <w:szCs w:val="23"/>
              </w:rPr>
            </w:pPr>
            <w:r>
              <w:rPr>
                <w:rFonts w:ascii="Segoe UI" w:hAnsi="Segoe UI" w:cs="Segoe UI"/>
                <w:sz w:val="23"/>
                <w:szCs w:val="23"/>
              </w:rPr>
              <w:t>Best Practice Focus</w:t>
            </w:r>
          </w:p>
        </w:tc>
        <w:tc>
          <w:tcPr>
            <w:tcW w:w="0" w:type="auto"/>
            <w:tcBorders>
              <w:top w:val="nil"/>
            </w:tcBorders>
            <w:tcMar>
              <w:top w:w="150" w:type="dxa"/>
              <w:left w:w="240" w:type="dxa"/>
              <w:bottom w:w="150" w:type="dxa"/>
              <w:right w:w="240" w:type="dxa"/>
            </w:tcMar>
            <w:vAlign w:val="center"/>
            <w:hideMark/>
          </w:tcPr>
          <w:p w14:paraId="449CF0D8" w14:textId="77777777" w:rsidR="00C131C9" w:rsidRDefault="00C131C9">
            <w:pPr>
              <w:spacing w:line="375" w:lineRule="atLeast"/>
              <w:rPr>
                <w:rFonts w:ascii="Segoe UI" w:hAnsi="Segoe UI" w:cs="Segoe UI"/>
                <w:sz w:val="23"/>
                <w:szCs w:val="23"/>
              </w:rPr>
            </w:pPr>
            <w:r>
              <w:rPr>
                <w:rFonts w:ascii="Segoe UI" w:hAnsi="Segoe UI" w:cs="Segoe UI"/>
                <w:sz w:val="23"/>
                <w:szCs w:val="23"/>
              </w:rPr>
              <w:t>Strategic Mechanism</w:t>
            </w:r>
          </w:p>
        </w:tc>
        <w:tc>
          <w:tcPr>
            <w:tcW w:w="0" w:type="auto"/>
            <w:tcBorders>
              <w:top w:val="nil"/>
            </w:tcBorders>
            <w:tcMar>
              <w:top w:w="150" w:type="dxa"/>
              <w:left w:w="240" w:type="dxa"/>
              <w:bottom w:w="150" w:type="dxa"/>
              <w:right w:w="240" w:type="dxa"/>
            </w:tcMar>
            <w:vAlign w:val="center"/>
            <w:hideMark/>
          </w:tcPr>
          <w:p w14:paraId="53D05760" w14:textId="77777777" w:rsidR="00C131C9" w:rsidRDefault="00C131C9">
            <w:pPr>
              <w:spacing w:line="375" w:lineRule="atLeast"/>
              <w:rPr>
                <w:rFonts w:ascii="Segoe UI" w:hAnsi="Segoe UI" w:cs="Segoe UI"/>
                <w:sz w:val="23"/>
                <w:szCs w:val="23"/>
              </w:rPr>
            </w:pPr>
            <w:r>
              <w:rPr>
                <w:rFonts w:ascii="Segoe UI" w:hAnsi="Segoe UI" w:cs="Segoe UI"/>
                <w:sz w:val="23"/>
                <w:szCs w:val="23"/>
              </w:rPr>
              <w:t>Potential Application to Sydney Metro Context</w:t>
            </w:r>
          </w:p>
        </w:tc>
      </w:tr>
      <w:tr w:rsidR="00C131C9" w14:paraId="2FF31542" w14:textId="77777777">
        <w:tc>
          <w:tcPr>
            <w:tcW w:w="0" w:type="auto"/>
            <w:tcMar>
              <w:top w:w="150" w:type="dxa"/>
              <w:left w:w="0" w:type="dxa"/>
              <w:bottom w:w="150" w:type="dxa"/>
              <w:right w:w="240" w:type="dxa"/>
            </w:tcMar>
            <w:vAlign w:val="center"/>
            <w:hideMark/>
          </w:tcPr>
          <w:p w14:paraId="05404A9D" w14:textId="77777777" w:rsidR="00C131C9" w:rsidRDefault="00C131C9">
            <w:pPr>
              <w:spacing w:line="375" w:lineRule="atLeast"/>
              <w:rPr>
                <w:rFonts w:ascii="Segoe UI" w:hAnsi="Segoe UI" w:cs="Segoe UI"/>
                <w:sz w:val="23"/>
                <w:szCs w:val="23"/>
              </w:rPr>
            </w:pPr>
            <w:r>
              <w:rPr>
                <w:rStyle w:val="Strong"/>
                <w:rFonts w:ascii="Segoe UI" w:hAnsi="Segoe UI" w:cs="Segoe UI"/>
                <w:sz w:val="23"/>
                <w:szCs w:val="23"/>
              </w:rPr>
              <w:t>Crossrail, London</w:t>
            </w:r>
          </w:p>
        </w:tc>
        <w:tc>
          <w:tcPr>
            <w:tcW w:w="0" w:type="auto"/>
            <w:tcMar>
              <w:top w:w="150" w:type="dxa"/>
              <w:left w:w="240" w:type="dxa"/>
              <w:bottom w:w="150" w:type="dxa"/>
              <w:right w:w="240" w:type="dxa"/>
            </w:tcMar>
            <w:vAlign w:val="center"/>
            <w:hideMark/>
          </w:tcPr>
          <w:p w14:paraId="0E7B2F65" w14:textId="77777777" w:rsidR="00C131C9" w:rsidRDefault="00C131C9">
            <w:pPr>
              <w:spacing w:line="375" w:lineRule="atLeast"/>
              <w:rPr>
                <w:rFonts w:ascii="Segoe UI" w:hAnsi="Segoe UI" w:cs="Segoe UI"/>
                <w:sz w:val="23"/>
                <w:szCs w:val="23"/>
              </w:rPr>
            </w:pPr>
            <w:r>
              <w:rPr>
                <w:rFonts w:ascii="Segoe UI" w:hAnsi="Segoe UI" w:cs="Segoe UI"/>
                <w:sz w:val="23"/>
                <w:szCs w:val="23"/>
              </w:rPr>
              <w:t>Predictive Ground Modelling &amp; Stakeholder Assurance</w:t>
            </w:r>
          </w:p>
        </w:tc>
        <w:tc>
          <w:tcPr>
            <w:tcW w:w="0" w:type="auto"/>
            <w:tcMar>
              <w:top w:w="150" w:type="dxa"/>
              <w:left w:w="240" w:type="dxa"/>
              <w:bottom w:w="150" w:type="dxa"/>
              <w:right w:w="240" w:type="dxa"/>
            </w:tcMar>
            <w:vAlign w:val="center"/>
            <w:hideMark/>
          </w:tcPr>
          <w:p w14:paraId="26D5FEAC" w14:textId="77777777" w:rsidR="00C131C9" w:rsidRDefault="00C131C9">
            <w:pPr>
              <w:spacing w:line="375" w:lineRule="atLeast"/>
              <w:rPr>
                <w:rFonts w:ascii="Segoe UI" w:hAnsi="Segoe UI" w:cs="Segoe UI"/>
                <w:sz w:val="23"/>
                <w:szCs w:val="23"/>
              </w:rPr>
            </w:pPr>
            <w:r>
              <w:rPr>
                <w:rFonts w:ascii="Segoe UI" w:hAnsi="Segoe UI" w:cs="Segoe UI"/>
                <w:sz w:val="23"/>
                <w:szCs w:val="23"/>
              </w:rPr>
              <w:t>- Centralised, live 3D ground model.</w:t>
            </w:r>
            <w:r>
              <w:rPr>
                <w:rFonts w:ascii="Segoe UI" w:hAnsi="Segoe UI" w:cs="Segoe UI"/>
                <w:sz w:val="23"/>
                <w:szCs w:val="23"/>
              </w:rPr>
              <w:br/>
              <w:t>- Pre-agreed building protection strategy with trigger levels.</w:t>
            </w:r>
          </w:p>
        </w:tc>
        <w:tc>
          <w:tcPr>
            <w:tcW w:w="0" w:type="auto"/>
            <w:tcMar>
              <w:top w:w="150" w:type="dxa"/>
              <w:left w:w="240" w:type="dxa"/>
              <w:bottom w:w="150" w:type="dxa"/>
              <w:right w:w="0" w:type="dxa"/>
            </w:tcMar>
            <w:vAlign w:val="center"/>
            <w:hideMark/>
          </w:tcPr>
          <w:p w14:paraId="7A97E32C" w14:textId="77777777" w:rsidR="00C131C9" w:rsidRDefault="00C131C9">
            <w:pPr>
              <w:spacing w:line="375" w:lineRule="atLeast"/>
              <w:rPr>
                <w:rFonts w:ascii="Segoe UI" w:hAnsi="Segoe UI" w:cs="Segoe UI"/>
                <w:sz w:val="23"/>
                <w:szCs w:val="23"/>
              </w:rPr>
            </w:pPr>
            <w:r>
              <w:rPr>
                <w:rFonts w:ascii="Segoe UI" w:hAnsi="Segoe UI" w:cs="Segoe UI"/>
                <w:sz w:val="23"/>
                <w:szCs w:val="23"/>
              </w:rPr>
              <w:t>Implement a project-wide "Geotechnical Digital Twin" updated in real-time. Establish a formal, independent panel for building protection to instil stakeholder confidence.</w:t>
            </w:r>
          </w:p>
        </w:tc>
      </w:tr>
      <w:tr w:rsidR="00C131C9" w14:paraId="2B836FDE" w14:textId="77777777">
        <w:tc>
          <w:tcPr>
            <w:tcW w:w="0" w:type="auto"/>
            <w:tcMar>
              <w:top w:w="150" w:type="dxa"/>
              <w:left w:w="0" w:type="dxa"/>
              <w:bottom w:w="150" w:type="dxa"/>
              <w:right w:w="240" w:type="dxa"/>
            </w:tcMar>
            <w:vAlign w:val="center"/>
            <w:hideMark/>
          </w:tcPr>
          <w:p w14:paraId="1B834BA3" w14:textId="77777777" w:rsidR="00C131C9" w:rsidRDefault="00C131C9">
            <w:pPr>
              <w:spacing w:line="375" w:lineRule="atLeast"/>
              <w:rPr>
                <w:rFonts w:ascii="Segoe UI" w:hAnsi="Segoe UI" w:cs="Segoe UI"/>
                <w:sz w:val="23"/>
                <w:szCs w:val="23"/>
              </w:rPr>
            </w:pPr>
            <w:r>
              <w:rPr>
                <w:rStyle w:val="Strong"/>
                <w:rFonts w:ascii="Segoe UI" w:hAnsi="Segoe UI" w:cs="Segoe UI"/>
                <w:sz w:val="23"/>
                <w:szCs w:val="23"/>
              </w:rPr>
              <w:lastRenderedPageBreak/>
              <w:t>Marmaray, Istanbul</w:t>
            </w:r>
          </w:p>
        </w:tc>
        <w:tc>
          <w:tcPr>
            <w:tcW w:w="0" w:type="auto"/>
            <w:tcMar>
              <w:top w:w="150" w:type="dxa"/>
              <w:left w:w="240" w:type="dxa"/>
              <w:bottom w:w="150" w:type="dxa"/>
              <w:right w:w="240" w:type="dxa"/>
            </w:tcMar>
            <w:vAlign w:val="center"/>
            <w:hideMark/>
          </w:tcPr>
          <w:p w14:paraId="16F96AB5" w14:textId="77777777" w:rsidR="00C131C9" w:rsidRDefault="00C131C9">
            <w:pPr>
              <w:spacing w:line="375" w:lineRule="atLeast"/>
              <w:rPr>
                <w:rFonts w:ascii="Segoe UI" w:hAnsi="Segoe UI" w:cs="Segoe UI"/>
                <w:sz w:val="23"/>
                <w:szCs w:val="23"/>
              </w:rPr>
            </w:pPr>
            <w:r>
              <w:rPr>
                <w:rFonts w:ascii="Segoe UI" w:hAnsi="Segoe UI" w:cs="Segoe UI"/>
                <w:sz w:val="23"/>
                <w:szCs w:val="23"/>
              </w:rPr>
              <w:t>Specialised Risk-Sharing &amp; Technology</w:t>
            </w:r>
          </w:p>
        </w:tc>
        <w:tc>
          <w:tcPr>
            <w:tcW w:w="0" w:type="auto"/>
            <w:tcMar>
              <w:top w:w="150" w:type="dxa"/>
              <w:left w:w="240" w:type="dxa"/>
              <w:bottom w:w="150" w:type="dxa"/>
              <w:right w:w="240" w:type="dxa"/>
            </w:tcMar>
            <w:vAlign w:val="center"/>
            <w:hideMark/>
          </w:tcPr>
          <w:p w14:paraId="797F67F5" w14:textId="77777777" w:rsidR="00C131C9" w:rsidRDefault="00C131C9">
            <w:pPr>
              <w:spacing w:line="375" w:lineRule="atLeast"/>
              <w:rPr>
                <w:rFonts w:ascii="Segoe UI" w:hAnsi="Segoe UI" w:cs="Segoe UI"/>
                <w:sz w:val="23"/>
                <w:szCs w:val="23"/>
              </w:rPr>
            </w:pPr>
            <w:r>
              <w:rPr>
                <w:rFonts w:ascii="Segoe UI" w:hAnsi="Segoe UI" w:cs="Segoe UI"/>
                <w:sz w:val="23"/>
                <w:szCs w:val="23"/>
              </w:rPr>
              <w:t>- International consortium with specific expertise.</w:t>
            </w:r>
            <w:r>
              <w:rPr>
                <w:rFonts w:ascii="Segoe UI" w:hAnsi="Segoe UI" w:cs="Segoe UI"/>
                <w:sz w:val="23"/>
                <w:szCs w:val="23"/>
              </w:rPr>
              <w:br/>
              <w:t>- Deployment of bespoke, fit-for-purpose technology.</w:t>
            </w:r>
          </w:p>
        </w:tc>
        <w:tc>
          <w:tcPr>
            <w:tcW w:w="0" w:type="auto"/>
            <w:tcMar>
              <w:top w:w="150" w:type="dxa"/>
              <w:left w:w="240" w:type="dxa"/>
              <w:bottom w:w="150" w:type="dxa"/>
              <w:right w:w="0" w:type="dxa"/>
            </w:tcMar>
            <w:vAlign w:val="center"/>
            <w:hideMark/>
          </w:tcPr>
          <w:p w14:paraId="27C429C7" w14:textId="77777777" w:rsidR="00C131C9" w:rsidRDefault="00C131C9">
            <w:pPr>
              <w:spacing w:line="375" w:lineRule="atLeast"/>
              <w:rPr>
                <w:rFonts w:ascii="Segoe UI" w:hAnsi="Segoe UI" w:cs="Segoe UI"/>
                <w:sz w:val="23"/>
                <w:szCs w:val="23"/>
              </w:rPr>
            </w:pPr>
            <w:r>
              <w:rPr>
                <w:rFonts w:ascii="Segoe UI" w:hAnsi="Segoe UI" w:cs="Segoe UI"/>
                <w:sz w:val="23"/>
                <w:szCs w:val="23"/>
              </w:rPr>
              <w:t>For high-risk packages, adopt an Alliance model to share geotechnical risk. Invest in TBMs with greater adaptive control systems for variable ground.</w:t>
            </w:r>
          </w:p>
        </w:tc>
      </w:tr>
    </w:tbl>
    <w:p w14:paraId="6C675071" w14:textId="77777777" w:rsidR="00C131C9" w:rsidRDefault="00C131C9" w:rsidP="00C131C9">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5. Emerging Opportunities and Future Development</w:t>
      </w:r>
    </w:p>
    <w:p w14:paraId="5285F31D"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lessons from Sydney Metro City &amp; Southwest illuminate a clear path forward, defined by digital integration, collaborative cultures, and predictive analytics.</w:t>
      </w:r>
    </w:p>
    <w:p w14:paraId="77CC874F"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5.1 The Project Digital Twin: From Reactive to Proactive Control</w:t>
      </w:r>
      <w:r>
        <w:rPr>
          <w:rFonts w:ascii="Segoe UI" w:hAnsi="Segoe UI" w:cs="Segoe UI"/>
          <w:color w:val="0F1115"/>
        </w:rPr>
        <w:br/>
        <w:t>The concept of a </w:t>
      </w:r>
      <w:r>
        <w:rPr>
          <w:rStyle w:val="Strong"/>
          <w:rFonts w:ascii="Segoe UI" w:eastAsiaTheme="majorEastAsia" w:hAnsi="Segoe UI" w:cs="Segoe UI"/>
          <w:color w:val="0F1115"/>
        </w:rPr>
        <w:t>Digital Twin</w:t>
      </w:r>
      <w:r>
        <w:rPr>
          <w:rFonts w:ascii="Segoe UI" w:hAnsi="Segoe UI" w:cs="Segoe UI"/>
          <w:color w:val="0F1115"/>
        </w:rPr>
        <w:t> must evolve from a static 3D model to a dynamic, cognitive system.</w:t>
      </w:r>
    </w:p>
    <w:p w14:paraId="7C6FD17D" w14:textId="77777777" w:rsidR="00C131C9" w:rsidRDefault="00C131C9" w:rsidP="00C131C9">
      <w:pPr>
        <w:pStyle w:val="ds-markdown-paragraph"/>
        <w:numPr>
          <w:ilvl w:val="0"/>
          <w:numId w:val="64"/>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Implementation:</w:t>
      </w:r>
      <w:r>
        <w:rPr>
          <w:rFonts w:ascii="Segoe UI" w:hAnsi="Segoe UI" w:cs="Segoe UI"/>
          <w:color w:val="0F1115"/>
        </w:rPr>
        <w:t> A Metro Project Digital Twin would integrate the geological model, real-time TBM operational data (advance rate, thrust, torque), structural health monitoring data from surface buildings, and live logistics tracking. Machine learning algorithms could analyse this data stream to predict settlement trends and logistics bottlenecks before they become critical [7].</w:t>
      </w:r>
    </w:p>
    <w:p w14:paraId="68C4A8E9" w14:textId="77777777" w:rsidR="00C131C9" w:rsidRDefault="00C131C9" w:rsidP="00C131C9">
      <w:pPr>
        <w:pStyle w:val="ds-markdown-paragraph"/>
        <w:numPr>
          <w:ilvl w:val="0"/>
          <w:numId w:val="64"/>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Impact:</w:t>
      </w:r>
      <w:r>
        <w:rPr>
          <w:rFonts w:ascii="Segoe UI" w:hAnsi="Segoe UI" w:cs="Segoe UI"/>
          <w:color w:val="0F1115"/>
        </w:rPr>
        <w:t> This system would enable predictive intervention, allowing engineers to adjust TBM parameters pre-emptively to minimise settlement and allowing logistics managers to re-route supplies before a delay occurs. This directly dismantles the reinforcing loops R1 and R2 by moving from a reactive to a predictive posture.</w:t>
      </w:r>
    </w:p>
    <w:p w14:paraId="5B90E043"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5.2 Collaborative Contractual Models: Alliancing for Shared Success</w:t>
      </w:r>
      <w:r>
        <w:rPr>
          <w:rFonts w:ascii="Segoe UI" w:hAnsi="Segoe UI" w:cs="Segoe UI"/>
          <w:color w:val="0F1115"/>
        </w:rPr>
        <w:br/>
        <w:t>The adversarial nature of traditional contracts exacerbates risk. </w:t>
      </w:r>
      <w:r>
        <w:rPr>
          <w:rStyle w:val="Strong"/>
          <w:rFonts w:ascii="Segoe UI" w:eastAsiaTheme="majorEastAsia" w:hAnsi="Segoe UI" w:cs="Segoe UI"/>
          <w:color w:val="0F1115"/>
        </w:rPr>
        <w:t>Project Alliancing</w:t>
      </w:r>
      <w:r>
        <w:rPr>
          <w:rFonts w:ascii="Segoe UI" w:hAnsi="Segoe UI" w:cs="Segoe UI"/>
          <w:color w:val="0F1115"/>
        </w:rPr>
        <w:t> offers a superior framework for complex, high-risk projects.</w:t>
      </w:r>
    </w:p>
    <w:p w14:paraId="5FF86093" w14:textId="77777777" w:rsidR="00C131C9" w:rsidRDefault="00C131C9" w:rsidP="00C131C9">
      <w:pPr>
        <w:pStyle w:val="ds-markdown-paragraph"/>
        <w:numPr>
          <w:ilvl w:val="0"/>
          <w:numId w:val="65"/>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Implementation:</w:t>
      </w:r>
      <w:r>
        <w:rPr>
          <w:rFonts w:ascii="Segoe UI" w:hAnsi="Segoe UI" w:cs="Segoe UI"/>
          <w:color w:val="0F1115"/>
        </w:rPr>
        <w:t xml:space="preserve"> In an Alliance, the client and non-owner participants (contractors, designers) form a single integrated team, sharing the financial </w:t>
      </w:r>
      <w:r>
        <w:rPr>
          <w:rFonts w:ascii="Segoe UI" w:hAnsi="Segoe UI" w:cs="Segoe UI"/>
          <w:color w:val="0F1115"/>
        </w:rPr>
        <w:lastRenderedPageBreak/>
        <w:t>pain or gain based on achieving overarching project outcomes [8]. An independent representative helps govern collaboration.</w:t>
      </w:r>
    </w:p>
    <w:p w14:paraId="569DD95E" w14:textId="77777777" w:rsidR="00C131C9" w:rsidRDefault="00C131C9" w:rsidP="00C131C9">
      <w:pPr>
        <w:pStyle w:val="ds-markdown-paragraph"/>
        <w:numPr>
          <w:ilvl w:val="0"/>
          <w:numId w:val="65"/>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Impact:</w:t>
      </w:r>
      <w:r>
        <w:rPr>
          <w:rFonts w:ascii="Segoe UI" w:hAnsi="Segoe UI" w:cs="Segoe UI"/>
          <w:color w:val="0F1115"/>
        </w:rPr>
        <w:t> This model makes the entire team financially incentivised to solve problems like unexpected ground conditions in the most efficient way for the project, rather than seeking contractual leverage. It fosters the open sharing of data and innovation, directly addressing the cultural root of the stakeholder and technical risk cycles.</w:t>
      </w:r>
    </w:p>
    <w:p w14:paraId="00A8CF8E"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5.3 Predictive Analytics and Machine Learning</w:t>
      </w:r>
      <w:r>
        <w:rPr>
          <w:rFonts w:ascii="Segoe UI" w:hAnsi="Segoe UI" w:cs="Segoe UI"/>
          <w:color w:val="0F1115"/>
        </w:rPr>
        <w:br/>
        <w:t>The vast datasets generated during tunnelling are an underutilised asset. </w:t>
      </w:r>
      <w:r>
        <w:rPr>
          <w:rStyle w:val="Strong"/>
          <w:rFonts w:ascii="Segoe UI" w:eastAsiaTheme="majorEastAsia" w:hAnsi="Segoe UI" w:cs="Segoe UI"/>
          <w:color w:val="0F1115"/>
        </w:rPr>
        <w:t>Predictive analytics</w:t>
      </w:r>
      <w:r>
        <w:rPr>
          <w:rFonts w:ascii="Segoe UI" w:hAnsi="Segoe UI" w:cs="Segoe UI"/>
          <w:color w:val="0F1115"/>
        </w:rPr>
        <w:t> can transform this data into foresight.</w:t>
      </w:r>
    </w:p>
    <w:p w14:paraId="672F3D58" w14:textId="77777777" w:rsidR="00C131C9" w:rsidRDefault="00C131C9" w:rsidP="00C131C9">
      <w:pPr>
        <w:pStyle w:val="ds-markdown-paragraph"/>
        <w:numPr>
          <w:ilvl w:val="0"/>
          <w:numId w:val="66"/>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Implementation:</w:t>
      </w:r>
      <w:r>
        <w:rPr>
          <w:rFonts w:ascii="Segoe UI" w:hAnsi="Segoe UI" w:cs="Segoe UI"/>
          <w:color w:val="0F1115"/>
        </w:rPr>
        <w:t> By training machine learning models on historical TBM data and corresponding settlement records, it becomes possible to predict the settlement impact of future TBM drives with greater accuracy. This allows for the optimisation of TBM operations in real-time to mitigate impacts [9].</w:t>
      </w:r>
    </w:p>
    <w:p w14:paraId="1A51531B" w14:textId="77777777" w:rsidR="00C131C9" w:rsidRDefault="00C131C9" w:rsidP="00C131C9">
      <w:pPr>
        <w:pStyle w:val="ds-markdown-paragraph"/>
        <w:numPr>
          <w:ilvl w:val="0"/>
          <w:numId w:val="66"/>
        </w:numPr>
        <w:shd w:val="clear" w:color="auto" w:fill="FFFFFF"/>
        <w:spacing w:before="0" w:beforeAutospacing="0" w:after="0" w:afterAutospacing="0"/>
        <w:rPr>
          <w:rFonts w:ascii="Segoe UI" w:hAnsi="Segoe UI" w:cs="Segoe UI"/>
          <w:color w:val="0F1115"/>
        </w:rPr>
      </w:pPr>
      <w:r>
        <w:rPr>
          <w:rStyle w:val="Strong"/>
          <w:rFonts w:ascii="Segoe UI" w:eastAsiaTheme="majorEastAsia" w:hAnsi="Segoe UI" w:cs="Segoe UI"/>
          <w:color w:val="0F1115"/>
        </w:rPr>
        <w:t>Impact:</w:t>
      </w:r>
      <w:r>
        <w:rPr>
          <w:rFonts w:ascii="Segoe UI" w:hAnsi="Segoe UI" w:cs="Segoe UI"/>
          <w:color w:val="0F1115"/>
        </w:rPr>
        <w:t> This reduces the uncertainty at the heart of the geotechnical challenge, providing a more robust evidence base for stakeholder communication and enabling more precise and efficient construction methods.</w:t>
      </w:r>
    </w:p>
    <w:p w14:paraId="3CEDF499" w14:textId="77777777" w:rsidR="00C131C9" w:rsidRDefault="00C131C9" w:rsidP="00C131C9">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6. Conclusion</w:t>
      </w:r>
    </w:p>
    <w:p w14:paraId="0FCD577E"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Sydney Metro City &amp; Southwest project stands as a testament to both the ambition and the acute challenges of delivering transformative infrastructure in a complex urban environment. The analysis presented confirms that its grand challenges—geotechnical uncertainty, stakeholder management, and logistical constraints—were not independent issues but were deeply intertwined through systemic feedback loops that amplified risk and cost. The project's experience underscores the limitations of conventional, siloed approaches to project delivery when faced with such complexity.</w:t>
      </w:r>
    </w:p>
    <w:p w14:paraId="53A2424E"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However, within this analysis lies a clear imperative for change. The future of Australian tunnelling and complex infrastructure delivery hinges on a fundamental shift. This shift must be towards integrated digital environments like the Digital Twin, which provide predictive control; towards collaborative contractual models like Alliancing, which align objectives and foster innovation; and towards the application of data analytics, which transforms uncertainty into managed risk. By embracing these emerging opportunities, the industry can evolve from its current, often reactive state to a more resilient, efficient, and proactive future, fully equipped to deliver the next generation of nation-building projects.</w:t>
      </w:r>
    </w:p>
    <w:p w14:paraId="12D699C2" w14:textId="77777777" w:rsidR="00C131C9" w:rsidRDefault="00C131C9" w:rsidP="00C131C9">
      <w:pPr>
        <w:spacing w:before="480" w:after="480"/>
        <w:rPr>
          <w:rFonts w:ascii="Segoe UI" w:hAnsi="Segoe UI" w:cs="Segoe UI"/>
        </w:rPr>
      </w:pPr>
      <w:r>
        <w:pict w14:anchorId="32805240">
          <v:rect id="_x0000_i1027" style="width:0;height:.75pt" o:hralign="center" o:hrstd="t" o:hr="t" fillcolor="#a0a0a0" stroked="f"/>
        </w:pict>
      </w:r>
    </w:p>
    <w:p w14:paraId="4DD55EC6" w14:textId="77777777" w:rsidR="00C131C9" w:rsidRDefault="00C131C9" w:rsidP="00C131C9">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lastRenderedPageBreak/>
        <w:t>References</w:t>
      </w:r>
    </w:p>
    <w:p w14:paraId="0DA1ADB8"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[1] Sydney Metro, "City &amp; Southwest project overview," Sydney Metro, Sydney, Australia, 2023. [Online]. Available: </w:t>
      </w:r>
      <w:hyperlink r:id="rId7" w:tgtFrame="_blank" w:history="1">
        <w:r>
          <w:rPr>
            <w:rStyle w:val="Hyperlink"/>
            <w:rFonts w:ascii="Segoe UI" w:eastAsiaTheme="majorEastAsia" w:hAnsi="Segoe UI" w:cs="Segoe UI"/>
            <w:color w:val="3964FE"/>
            <w:bdr w:val="single" w:sz="12" w:space="0" w:color="auto" w:frame="1"/>
          </w:rPr>
          <w:t>https://www.sydneymetro.info/cityandsouthwest</w:t>
        </w:r>
      </w:hyperlink>
    </w:p>
    <w:p w14:paraId="0E9232E1"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[2] G. Foster and H. Lee, "Management of ground settlement risks on the Sydney Metro City &amp; Southwest project," in </w:t>
      </w:r>
      <w:r>
        <w:rPr>
          <w:rStyle w:val="Emphasis"/>
          <w:rFonts w:ascii="Segoe UI" w:eastAsiaTheme="majorEastAsia" w:hAnsi="Segoe UI" w:cs="Segoe UI"/>
          <w:color w:val="0F1115"/>
        </w:rPr>
        <w:t>Proc. ATS 2023</w:t>
      </w:r>
      <w:r>
        <w:rPr>
          <w:rFonts w:ascii="Segoe UI" w:hAnsi="Segoe UI" w:cs="Segoe UI"/>
          <w:color w:val="0F1115"/>
        </w:rPr>
        <w:t>, Melbourne, Australia, 2023, pp. 45-52.</w:t>
      </w:r>
    </w:p>
    <w:p w14:paraId="19B69CB6"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[3] J. Macdonald and S. Lee, "Vibration mitigation for tunnelling beneath the Sydney Opera House," </w:t>
      </w:r>
      <w:r>
        <w:rPr>
          <w:rStyle w:val="Emphasis"/>
          <w:rFonts w:ascii="Segoe UI" w:eastAsiaTheme="majorEastAsia" w:hAnsi="Segoe UI" w:cs="Segoe UI"/>
          <w:color w:val="0F1115"/>
        </w:rPr>
        <w:t>Tunnelling and Underground Space Technology</w:t>
      </w:r>
      <w:r>
        <w:rPr>
          <w:rFonts w:ascii="Segoe UI" w:hAnsi="Segoe UI" w:cs="Segoe UI"/>
          <w:color w:val="0F1115"/>
        </w:rPr>
        <w:t>, vol. 128, p. 104567, 2022.</w:t>
      </w:r>
    </w:p>
    <w:p w14:paraId="0DA6A3B9"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[4] A. Thompson, "Logistical planning for spoil removal in constrained urban environments: A Sydney Metro case study," </w:t>
      </w:r>
      <w:r>
        <w:rPr>
          <w:rStyle w:val="Emphasis"/>
          <w:rFonts w:ascii="Segoe UI" w:eastAsiaTheme="majorEastAsia" w:hAnsi="Segoe UI" w:cs="Segoe UI"/>
          <w:color w:val="0F1115"/>
        </w:rPr>
        <w:t>Australian Journal of Civil Engineering</w:t>
      </w:r>
      <w:r>
        <w:rPr>
          <w:rFonts w:ascii="Segoe UI" w:hAnsi="Segoe UI" w:cs="Segoe UI"/>
          <w:color w:val="0F1115"/>
        </w:rPr>
        <w:t>, vol. 21, no. 2, pp. 112-125, 2024.</w:t>
      </w:r>
    </w:p>
    <w:p w14:paraId="4CE3AD20"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[5] A. Wolstenholme, "Crossrail: Creating a digital legacy for the UK," </w:t>
      </w:r>
      <w:r>
        <w:rPr>
          <w:rStyle w:val="Emphasis"/>
          <w:rFonts w:ascii="Segoe UI" w:eastAsiaTheme="majorEastAsia" w:hAnsi="Segoe UI" w:cs="Segoe UI"/>
          <w:color w:val="0F1115"/>
        </w:rPr>
        <w:t>Proceedings of the Institution of Civil Engineers - Civil Engineering</w:t>
      </w:r>
      <w:r>
        <w:rPr>
          <w:rFonts w:ascii="Segoe UI" w:hAnsi="Segoe UI" w:cs="Segoe UI"/>
          <w:color w:val="0F1115"/>
        </w:rPr>
        <w:t>, vol. 172, no. 6, pp. 3-4, 2019.</w:t>
      </w:r>
    </w:p>
    <w:p w14:paraId="557571F3"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[6] M. T. Yuksel, "Geotechnical challenges and solutions in the Marmaray Project," in </w:t>
      </w:r>
      <w:r>
        <w:rPr>
          <w:rStyle w:val="Emphasis"/>
          <w:rFonts w:ascii="Segoe UI" w:eastAsiaTheme="majorEastAsia" w:hAnsi="Segoe UI" w:cs="Segoe UI"/>
          <w:color w:val="0F1115"/>
        </w:rPr>
        <w:t>Proc. ITA-AITES World Tunnel Congress</w:t>
      </w:r>
      <w:r>
        <w:rPr>
          <w:rFonts w:ascii="Segoe UI" w:hAnsi="Segoe UI" w:cs="Segoe UI"/>
          <w:color w:val="0F1115"/>
        </w:rPr>
        <w:t>, Naples, Italy, 2019.</w:t>
      </w:r>
    </w:p>
    <w:p w14:paraId="15A16281" w14:textId="77777777" w:rsidR="00C131C9" w:rsidRDefault="00C131C9" w:rsidP="00C131C9">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[7] S. Zhang, E. A. L. Teo, and B. Kumar, "Developing a digital twin for mega-tunnelling projects: A framework for risk mitigation," </w:t>
      </w:r>
      <w:r>
        <w:rPr>
          <w:rStyle w:val="Emphasis"/>
          <w:rFonts w:ascii="Segoe UI" w:eastAsiaTheme="majorEastAsia" w:hAnsi="Segoe UI" w:cs="Segoe UI"/>
          <w:color w:val="0F1115"/>
        </w:rPr>
        <w:t>Automation in Construction</w:t>
      </w:r>
      <w:r>
        <w:rPr>
          <w:rFonts w:ascii="Segoe UI" w:hAnsi="Segoe UI" w:cs="Segoe UI"/>
          <w:color w:val="0F1115"/>
        </w:rPr>
        <w:t>, vol. 156, p. 105143, 2023.</w:t>
      </w:r>
    </w:p>
    <w:p w14:paraId="063D6A46" w14:textId="2686043B" w:rsidR="005763A1" w:rsidRPr="006101B6" w:rsidRDefault="005763A1" w:rsidP="006101B6"/>
    <w:sectPr w:rsidR="005763A1" w:rsidRPr="006101B6">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51DF8" w14:textId="77777777" w:rsidR="006833B7" w:rsidRDefault="006833B7" w:rsidP="00A67186">
      <w:pPr>
        <w:spacing w:after="0" w:line="240" w:lineRule="auto"/>
      </w:pPr>
      <w:r>
        <w:separator/>
      </w:r>
    </w:p>
  </w:endnote>
  <w:endnote w:type="continuationSeparator" w:id="0">
    <w:p w14:paraId="282F201F" w14:textId="77777777" w:rsidR="006833B7" w:rsidRDefault="006833B7"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1F75A" w14:textId="77777777" w:rsidR="006833B7" w:rsidRDefault="006833B7" w:rsidP="00A67186">
      <w:pPr>
        <w:spacing w:after="0" w:line="240" w:lineRule="auto"/>
      </w:pPr>
      <w:r>
        <w:separator/>
      </w:r>
    </w:p>
  </w:footnote>
  <w:footnote w:type="continuationSeparator" w:id="0">
    <w:p w14:paraId="3931AED9" w14:textId="77777777" w:rsidR="006833B7" w:rsidRDefault="006833B7"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44E0"/>
    <w:multiLevelType w:val="multilevel"/>
    <w:tmpl w:val="048CD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4081F"/>
    <w:multiLevelType w:val="multilevel"/>
    <w:tmpl w:val="6F5E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1C13AA"/>
    <w:multiLevelType w:val="multilevel"/>
    <w:tmpl w:val="3B2E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502A0"/>
    <w:multiLevelType w:val="multilevel"/>
    <w:tmpl w:val="D2A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AF00AC"/>
    <w:multiLevelType w:val="multilevel"/>
    <w:tmpl w:val="CBF6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11AE0"/>
    <w:multiLevelType w:val="multilevel"/>
    <w:tmpl w:val="5BB4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31DAE"/>
    <w:multiLevelType w:val="multilevel"/>
    <w:tmpl w:val="B824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05041"/>
    <w:multiLevelType w:val="multilevel"/>
    <w:tmpl w:val="34C2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928FA"/>
    <w:multiLevelType w:val="multilevel"/>
    <w:tmpl w:val="5A50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E12760"/>
    <w:multiLevelType w:val="multilevel"/>
    <w:tmpl w:val="AF36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836ED"/>
    <w:multiLevelType w:val="multilevel"/>
    <w:tmpl w:val="E1228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3D74C4"/>
    <w:multiLevelType w:val="multilevel"/>
    <w:tmpl w:val="CA18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755AF3"/>
    <w:multiLevelType w:val="multilevel"/>
    <w:tmpl w:val="D1262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C265E8"/>
    <w:multiLevelType w:val="multilevel"/>
    <w:tmpl w:val="8E389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1A15E6"/>
    <w:multiLevelType w:val="multilevel"/>
    <w:tmpl w:val="81BC6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A9783B"/>
    <w:multiLevelType w:val="multilevel"/>
    <w:tmpl w:val="6036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1B1133"/>
    <w:multiLevelType w:val="multilevel"/>
    <w:tmpl w:val="FBD2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7628FB"/>
    <w:multiLevelType w:val="multilevel"/>
    <w:tmpl w:val="C894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595DB8"/>
    <w:multiLevelType w:val="multilevel"/>
    <w:tmpl w:val="5808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E92796"/>
    <w:multiLevelType w:val="multilevel"/>
    <w:tmpl w:val="B882D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123DCF"/>
    <w:multiLevelType w:val="multilevel"/>
    <w:tmpl w:val="EA08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997253"/>
    <w:multiLevelType w:val="multilevel"/>
    <w:tmpl w:val="3D6E1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9A5A25"/>
    <w:multiLevelType w:val="multilevel"/>
    <w:tmpl w:val="E79E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9140E4"/>
    <w:multiLevelType w:val="multilevel"/>
    <w:tmpl w:val="73FC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F06537"/>
    <w:multiLevelType w:val="multilevel"/>
    <w:tmpl w:val="56FE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3F3B08"/>
    <w:multiLevelType w:val="multilevel"/>
    <w:tmpl w:val="DF10E8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5A744D"/>
    <w:multiLevelType w:val="multilevel"/>
    <w:tmpl w:val="DDE8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A7086E"/>
    <w:multiLevelType w:val="multilevel"/>
    <w:tmpl w:val="2932C9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B13EEF"/>
    <w:multiLevelType w:val="multilevel"/>
    <w:tmpl w:val="4D56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215FC5"/>
    <w:multiLevelType w:val="multilevel"/>
    <w:tmpl w:val="8362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41315D"/>
    <w:multiLevelType w:val="multilevel"/>
    <w:tmpl w:val="F668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3F7E70"/>
    <w:multiLevelType w:val="multilevel"/>
    <w:tmpl w:val="ABCA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BF07DC"/>
    <w:multiLevelType w:val="multilevel"/>
    <w:tmpl w:val="6004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8F2E75"/>
    <w:multiLevelType w:val="multilevel"/>
    <w:tmpl w:val="055A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314C86"/>
    <w:multiLevelType w:val="multilevel"/>
    <w:tmpl w:val="DF92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461359"/>
    <w:multiLevelType w:val="multilevel"/>
    <w:tmpl w:val="F778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7D251C"/>
    <w:multiLevelType w:val="multilevel"/>
    <w:tmpl w:val="BFE2F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96617E"/>
    <w:multiLevelType w:val="multilevel"/>
    <w:tmpl w:val="DD8C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C32A77"/>
    <w:multiLevelType w:val="multilevel"/>
    <w:tmpl w:val="A796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9763F5"/>
    <w:multiLevelType w:val="multilevel"/>
    <w:tmpl w:val="E0189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00769F"/>
    <w:multiLevelType w:val="multilevel"/>
    <w:tmpl w:val="12DE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096A6E"/>
    <w:multiLevelType w:val="multilevel"/>
    <w:tmpl w:val="942E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FC3D18"/>
    <w:multiLevelType w:val="multilevel"/>
    <w:tmpl w:val="162E33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9679A7"/>
    <w:multiLevelType w:val="multilevel"/>
    <w:tmpl w:val="8A58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337F00"/>
    <w:multiLevelType w:val="multilevel"/>
    <w:tmpl w:val="D8AC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914FB4"/>
    <w:multiLevelType w:val="multilevel"/>
    <w:tmpl w:val="0474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863D4B"/>
    <w:multiLevelType w:val="multilevel"/>
    <w:tmpl w:val="3020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817D94"/>
    <w:multiLevelType w:val="multilevel"/>
    <w:tmpl w:val="DA6C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341EA2"/>
    <w:multiLevelType w:val="multilevel"/>
    <w:tmpl w:val="AF3E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622522"/>
    <w:multiLevelType w:val="multilevel"/>
    <w:tmpl w:val="7E10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47723B"/>
    <w:multiLevelType w:val="multilevel"/>
    <w:tmpl w:val="0444F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23361DA"/>
    <w:multiLevelType w:val="multilevel"/>
    <w:tmpl w:val="738A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D76EBD"/>
    <w:multiLevelType w:val="multilevel"/>
    <w:tmpl w:val="3B361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3123B64"/>
    <w:multiLevelType w:val="multilevel"/>
    <w:tmpl w:val="5C88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AC7454"/>
    <w:multiLevelType w:val="multilevel"/>
    <w:tmpl w:val="1F92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A161D3"/>
    <w:multiLevelType w:val="multilevel"/>
    <w:tmpl w:val="6136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3A60C1"/>
    <w:multiLevelType w:val="multilevel"/>
    <w:tmpl w:val="0A80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A572CD"/>
    <w:multiLevelType w:val="multilevel"/>
    <w:tmpl w:val="C312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5266FC"/>
    <w:multiLevelType w:val="multilevel"/>
    <w:tmpl w:val="50C6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7B5877"/>
    <w:multiLevelType w:val="multilevel"/>
    <w:tmpl w:val="28D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A521C2"/>
    <w:multiLevelType w:val="multilevel"/>
    <w:tmpl w:val="6CF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06195">
    <w:abstractNumId w:val="13"/>
  </w:num>
  <w:num w:numId="2" w16cid:durableId="821698845">
    <w:abstractNumId w:val="44"/>
  </w:num>
  <w:num w:numId="3" w16cid:durableId="1500922540">
    <w:abstractNumId w:val="5"/>
  </w:num>
  <w:num w:numId="4" w16cid:durableId="207767914">
    <w:abstractNumId w:val="2"/>
  </w:num>
  <w:num w:numId="5" w16cid:durableId="1618871916">
    <w:abstractNumId w:val="31"/>
  </w:num>
  <w:num w:numId="6" w16cid:durableId="831600699">
    <w:abstractNumId w:val="49"/>
  </w:num>
  <w:num w:numId="7" w16cid:durableId="819927118">
    <w:abstractNumId w:val="62"/>
  </w:num>
  <w:num w:numId="8" w16cid:durableId="1836339821">
    <w:abstractNumId w:val="3"/>
  </w:num>
  <w:num w:numId="9" w16cid:durableId="877275635">
    <w:abstractNumId w:val="64"/>
  </w:num>
  <w:num w:numId="10" w16cid:durableId="163475279">
    <w:abstractNumId w:val="61"/>
  </w:num>
  <w:num w:numId="11" w16cid:durableId="660743435">
    <w:abstractNumId w:val="59"/>
  </w:num>
  <w:num w:numId="12" w16cid:durableId="1334062966">
    <w:abstractNumId w:val="65"/>
  </w:num>
  <w:num w:numId="13" w16cid:durableId="1416509605">
    <w:abstractNumId w:val="4"/>
  </w:num>
  <w:num w:numId="14" w16cid:durableId="684675586">
    <w:abstractNumId w:val="50"/>
  </w:num>
  <w:num w:numId="15" w16cid:durableId="1084490379">
    <w:abstractNumId w:val="25"/>
  </w:num>
  <w:num w:numId="16" w16cid:durableId="1177233249">
    <w:abstractNumId w:val="55"/>
  </w:num>
  <w:num w:numId="17" w16cid:durableId="1332492463">
    <w:abstractNumId w:val="54"/>
  </w:num>
  <w:num w:numId="18" w16cid:durableId="1750301735">
    <w:abstractNumId w:val="47"/>
  </w:num>
  <w:num w:numId="19" w16cid:durableId="1384524300">
    <w:abstractNumId w:val="28"/>
  </w:num>
  <w:num w:numId="20" w16cid:durableId="675889748">
    <w:abstractNumId w:val="30"/>
  </w:num>
  <w:num w:numId="21" w16cid:durableId="1140463376">
    <w:abstractNumId w:val="51"/>
  </w:num>
  <w:num w:numId="22" w16cid:durableId="2060670041">
    <w:abstractNumId w:val="12"/>
  </w:num>
  <w:num w:numId="23" w16cid:durableId="1986078983">
    <w:abstractNumId w:val="20"/>
  </w:num>
  <w:num w:numId="24" w16cid:durableId="954676395">
    <w:abstractNumId w:val="16"/>
  </w:num>
  <w:num w:numId="25" w16cid:durableId="224025661">
    <w:abstractNumId w:val="43"/>
  </w:num>
  <w:num w:numId="26" w16cid:durableId="1399131629">
    <w:abstractNumId w:val="58"/>
  </w:num>
  <w:num w:numId="27" w16cid:durableId="1784642234">
    <w:abstractNumId w:val="9"/>
  </w:num>
  <w:num w:numId="28" w16cid:durableId="924189728">
    <w:abstractNumId w:val="0"/>
  </w:num>
  <w:num w:numId="29" w16cid:durableId="1320427781">
    <w:abstractNumId w:val="11"/>
  </w:num>
  <w:num w:numId="30" w16cid:durableId="851796786">
    <w:abstractNumId w:val="57"/>
  </w:num>
  <w:num w:numId="31" w16cid:durableId="1752772098">
    <w:abstractNumId w:val="10"/>
  </w:num>
  <w:num w:numId="32" w16cid:durableId="1970890577">
    <w:abstractNumId w:val="37"/>
  </w:num>
  <w:num w:numId="33" w16cid:durableId="592933262">
    <w:abstractNumId w:val="53"/>
  </w:num>
  <w:num w:numId="34" w16cid:durableId="1440567086">
    <w:abstractNumId w:val="1"/>
  </w:num>
  <w:num w:numId="35" w16cid:durableId="1913655594">
    <w:abstractNumId w:val="48"/>
  </w:num>
  <w:num w:numId="36" w16cid:durableId="119151285">
    <w:abstractNumId w:val="18"/>
  </w:num>
  <w:num w:numId="37" w16cid:durableId="1884242915">
    <w:abstractNumId w:val="27"/>
  </w:num>
  <w:num w:numId="38" w16cid:durableId="1501575521">
    <w:abstractNumId w:val="24"/>
  </w:num>
  <w:num w:numId="39" w16cid:durableId="334188135">
    <w:abstractNumId w:val="6"/>
  </w:num>
  <w:num w:numId="40" w16cid:durableId="1371766576">
    <w:abstractNumId w:val="60"/>
  </w:num>
  <w:num w:numId="41" w16cid:durableId="1846821847">
    <w:abstractNumId w:val="15"/>
  </w:num>
  <w:num w:numId="42" w16cid:durableId="343746640">
    <w:abstractNumId w:val="40"/>
  </w:num>
  <w:num w:numId="43" w16cid:durableId="1371296642">
    <w:abstractNumId w:val="32"/>
  </w:num>
  <w:num w:numId="44" w16cid:durableId="2133859188">
    <w:abstractNumId w:val="56"/>
  </w:num>
  <w:num w:numId="45" w16cid:durableId="1187909936">
    <w:abstractNumId w:val="7"/>
  </w:num>
  <w:num w:numId="46" w16cid:durableId="702286342">
    <w:abstractNumId w:val="29"/>
  </w:num>
  <w:num w:numId="47" w16cid:durableId="1702824320">
    <w:abstractNumId w:val="36"/>
  </w:num>
  <w:num w:numId="48" w16cid:durableId="786388559">
    <w:abstractNumId w:val="22"/>
  </w:num>
  <w:num w:numId="49" w16cid:durableId="223180517">
    <w:abstractNumId w:val="35"/>
  </w:num>
  <w:num w:numId="50" w16cid:durableId="962618900">
    <w:abstractNumId w:val="8"/>
  </w:num>
  <w:num w:numId="51" w16cid:durableId="44989041">
    <w:abstractNumId w:val="52"/>
  </w:num>
  <w:num w:numId="52" w16cid:durableId="2137674371">
    <w:abstractNumId w:val="63"/>
  </w:num>
  <w:num w:numId="53" w16cid:durableId="1529299712">
    <w:abstractNumId w:val="21"/>
  </w:num>
  <w:num w:numId="54" w16cid:durableId="969096027">
    <w:abstractNumId w:val="46"/>
  </w:num>
  <w:num w:numId="55" w16cid:durableId="1155100120">
    <w:abstractNumId w:val="42"/>
  </w:num>
  <w:num w:numId="56" w16cid:durableId="423260878">
    <w:abstractNumId w:val="41"/>
  </w:num>
  <w:num w:numId="57" w16cid:durableId="1600597658">
    <w:abstractNumId w:val="17"/>
  </w:num>
  <w:num w:numId="58" w16cid:durableId="1526551415">
    <w:abstractNumId w:val="23"/>
  </w:num>
  <w:num w:numId="59" w16cid:durableId="1445731046">
    <w:abstractNumId w:val="39"/>
  </w:num>
  <w:num w:numId="60" w16cid:durableId="1756782704">
    <w:abstractNumId w:val="19"/>
  </w:num>
  <w:num w:numId="61" w16cid:durableId="359404453">
    <w:abstractNumId w:val="45"/>
  </w:num>
  <w:num w:numId="62" w16cid:durableId="1591238617">
    <w:abstractNumId w:val="38"/>
  </w:num>
  <w:num w:numId="63" w16cid:durableId="844171752">
    <w:abstractNumId w:val="33"/>
  </w:num>
  <w:num w:numId="64" w16cid:durableId="749540751">
    <w:abstractNumId w:val="14"/>
  </w:num>
  <w:num w:numId="65" w16cid:durableId="1414162279">
    <w:abstractNumId w:val="34"/>
  </w:num>
  <w:num w:numId="66" w16cid:durableId="66860723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tKgFAGoAJeAtAAAA"/>
  </w:docVars>
  <w:rsids>
    <w:rsidRoot w:val="00AE4A1F"/>
    <w:rsid w:val="000333AF"/>
    <w:rsid w:val="000772F3"/>
    <w:rsid w:val="000A09D0"/>
    <w:rsid w:val="000B33EE"/>
    <w:rsid w:val="0018356D"/>
    <w:rsid w:val="001B3635"/>
    <w:rsid w:val="001D59BF"/>
    <w:rsid w:val="00233DAC"/>
    <w:rsid w:val="00281372"/>
    <w:rsid w:val="00304A8F"/>
    <w:rsid w:val="00304D0F"/>
    <w:rsid w:val="00310F89"/>
    <w:rsid w:val="00325E18"/>
    <w:rsid w:val="00341DBB"/>
    <w:rsid w:val="00381A3D"/>
    <w:rsid w:val="00390A91"/>
    <w:rsid w:val="00414F14"/>
    <w:rsid w:val="00423A0B"/>
    <w:rsid w:val="00435D88"/>
    <w:rsid w:val="00441EBF"/>
    <w:rsid w:val="004455D4"/>
    <w:rsid w:val="00463EE7"/>
    <w:rsid w:val="00494234"/>
    <w:rsid w:val="004E4021"/>
    <w:rsid w:val="0055002F"/>
    <w:rsid w:val="00552D52"/>
    <w:rsid w:val="00555FF5"/>
    <w:rsid w:val="005763A1"/>
    <w:rsid w:val="0059533D"/>
    <w:rsid w:val="005C1E8C"/>
    <w:rsid w:val="005D722F"/>
    <w:rsid w:val="00604552"/>
    <w:rsid w:val="006101B6"/>
    <w:rsid w:val="00627981"/>
    <w:rsid w:val="0065544E"/>
    <w:rsid w:val="006833B7"/>
    <w:rsid w:val="0068640E"/>
    <w:rsid w:val="006A5464"/>
    <w:rsid w:val="006A5E07"/>
    <w:rsid w:val="006D511C"/>
    <w:rsid w:val="00732B38"/>
    <w:rsid w:val="007356CB"/>
    <w:rsid w:val="0077081C"/>
    <w:rsid w:val="007D7459"/>
    <w:rsid w:val="00801B2A"/>
    <w:rsid w:val="00846818"/>
    <w:rsid w:val="00846E8A"/>
    <w:rsid w:val="008A11FC"/>
    <w:rsid w:val="008E568C"/>
    <w:rsid w:val="008F2E42"/>
    <w:rsid w:val="00934A3F"/>
    <w:rsid w:val="00960508"/>
    <w:rsid w:val="009B2473"/>
    <w:rsid w:val="009D036D"/>
    <w:rsid w:val="009E4FE0"/>
    <w:rsid w:val="009E501F"/>
    <w:rsid w:val="00A67186"/>
    <w:rsid w:val="00AA52CD"/>
    <w:rsid w:val="00AE4A1F"/>
    <w:rsid w:val="00B12850"/>
    <w:rsid w:val="00B44718"/>
    <w:rsid w:val="00B54D89"/>
    <w:rsid w:val="00B557D4"/>
    <w:rsid w:val="00B63465"/>
    <w:rsid w:val="00B826A4"/>
    <w:rsid w:val="00BC7ACE"/>
    <w:rsid w:val="00BD0E9E"/>
    <w:rsid w:val="00C00B0B"/>
    <w:rsid w:val="00C131C9"/>
    <w:rsid w:val="00C13BF4"/>
    <w:rsid w:val="00C250F0"/>
    <w:rsid w:val="00C76BEF"/>
    <w:rsid w:val="00CB37C3"/>
    <w:rsid w:val="00CC066B"/>
    <w:rsid w:val="00CF336F"/>
    <w:rsid w:val="00D669B7"/>
    <w:rsid w:val="00D757CB"/>
    <w:rsid w:val="00DB3FF9"/>
    <w:rsid w:val="00DF1E39"/>
    <w:rsid w:val="00DF6186"/>
    <w:rsid w:val="00E04C82"/>
    <w:rsid w:val="00EE674A"/>
    <w:rsid w:val="00EF67DB"/>
    <w:rsid w:val="00F01CAB"/>
    <w:rsid w:val="00F12281"/>
    <w:rsid w:val="00F125FA"/>
    <w:rsid w:val="00F14A52"/>
    <w:rsid w:val="00F74D94"/>
    <w:rsid w:val="00F877F1"/>
    <w:rsid w:val="00FA279E"/>
    <w:rsid w:val="00FA65F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semiHidden/>
    <w:unhideWhenUsed/>
    <w:rsid w:val="005D722F"/>
    <w:rPr>
      <w:color w:val="0000FF"/>
      <w:u w:val="single"/>
    </w:rPr>
  </w:style>
  <w:style w:type="paragraph" w:customStyle="1" w:styleId="ds-markdown-paragraph">
    <w:name w:val="ds-markdown-paragraph"/>
    <w:basedOn w:val="Normal"/>
    <w:rsid w:val="008A11FC"/>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Emphasis">
    <w:name w:val="Emphasis"/>
    <w:basedOn w:val="DefaultParagraphFont"/>
    <w:uiPriority w:val="20"/>
    <w:qFormat/>
    <w:rsid w:val="008A11FC"/>
    <w:rPr>
      <w:i/>
      <w:iCs/>
    </w:rPr>
  </w:style>
  <w:style w:type="character" w:customStyle="1" w:styleId="button-container">
    <w:name w:val="button-container"/>
    <w:basedOn w:val="DefaultParagraphFont"/>
    <w:rsid w:val="00304D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sydneymetro.info/cityandsouthwe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9</Pages>
  <Words>2731</Words>
  <Characters>15569</Characters>
  <Application>Microsoft Office Word</Application>
  <DocSecurity>0</DocSecurity>
  <Lines>129</Lines>
  <Paragraphs>36</Paragraphs>
  <ScaleCrop>false</ScaleCrop>
  <Company/>
  <LinksUpToDate>false</LinksUpToDate>
  <CharactersWithSpaces>18264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51</cp:revision>
  <dcterms:created xsi:type="dcterms:W3CDTF">2025-10-12T05:00:00Z</dcterms:created>
  <dcterms:modified xsi:type="dcterms:W3CDTF">2025-10-26T04:06:00Z</dcterms:modified>
</cp:coreProperties>
</file>