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5644F" w14:textId="77777777" w:rsidR="008A11FC" w:rsidRDefault="008A11FC" w:rsidP="008A11FC">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Grand Challenges in Delivering Urban Transit Megaprojects: A Critical Case Study of the Parramatta Light Rail (Stage 1)</w:t>
      </w:r>
    </w:p>
    <w:p w14:paraId="6205F1A8" w14:textId="77777777" w:rsidR="008A11FC" w:rsidRDefault="008A11FC" w:rsidP="008A11FC">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Group 4</w:t>
      </w:r>
      <w:r>
        <w:rPr>
          <w:rFonts w:ascii="Segoe UI" w:hAnsi="Segoe UI" w:cs="Segoe UI"/>
          <w:color w:val="0F1115"/>
        </w:rPr>
        <w:br/>
        <w:t>CVEN9723 - Design of Construction Operations</w:t>
      </w:r>
      <w:r>
        <w:rPr>
          <w:rFonts w:ascii="Segoe UI" w:hAnsi="Segoe UI" w:cs="Segoe UI"/>
          <w:color w:val="0F1115"/>
        </w:rPr>
        <w:br/>
        <w:t>Term 3, 2025</w:t>
      </w:r>
      <w:r>
        <w:rPr>
          <w:rFonts w:ascii="Segoe UI" w:hAnsi="Segoe UI" w:cs="Segoe UI"/>
          <w:color w:val="0F1115"/>
        </w:rPr>
        <w:br/>
        <w:t>UNSW Sydney</w:t>
      </w:r>
      <w:r>
        <w:rPr>
          <w:rFonts w:ascii="Segoe UI" w:hAnsi="Segoe UI" w:cs="Segoe UI"/>
          <w:color w:val="0F1115"/>
        </w:rPr>
        <w:br/>
        <w:t>Date: 26 November 2025</w:t>
      </w:r>
    </w:p>
    <w:p w14:paraId="19149466" w14:textId="77777777" w:rsidR="008A11FC" w:rsidRDefault="00000000" w:rsidP="008A11FC">
      <w:pPr>
        <w:spacing w:before="480" w:after="480"/>
        <w:rPr>
          <w:rFonts w:ascii="Segoe UI" w:hAnsi="Segoe UI" w:cs="Segoe UI"/>
        </w:rPr>
      </w:pPr>
      <w:r>
        <w:pict w14:anchorId="05CFF458">
          <v:rect id="_x0000_i1025" style="width:0;height:.75pt" o:hralign="center" o:hrstd="t" o:hr="t" fillcolor="#a0a0a0" stroked="f"/>
        </w:pict>
      </w:r>
    </w:p>
    <w:p w14:paraId="458DC2C7" w14:textId="77777777" w:rsidR="008A11FC" w:rsidRDefault="008A11FC" w:rsidP="008A11FC">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Executive Summary</w:t>
      </w:r>
    </w:p>
    <w:p w14:paraId="6A762F32" w14:textId="77777777" w:rsidR="008A11FC" w:rsidRDefault="008A11FC" w:rsidP="008A11F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Parramatta Light Rail (PLR) Stage 1 is a seminal $2.4 billion Australian urban transit megaproject designed to transform Greater Parramatta's mobility and urban fabric. This report deconstructs the grand challenges encountered during its delivery, which are emblematic of systemic issues within the industry. A critical analysis identifies three core, interconnected challenges: (1) the profound complexity of utility diversions in a congested urban corridor, (2) the intricate stakeholder management and communication failures across government, businesses, and the community, and (3) the severe project delivery impacts, including schedule delays and cost escalation, exacerbated by the first two challenges. The intrinsic relationship between these challenges is analysed through a causal loop diagram, revealing a vicious cycle of disruption. A comparative review of best practices from Melbourne's Metro Tunnel Project and Copenhagen's City Ring Metro demonstrates the efficacy of proactive utility management and immersive stakeholder engagement. The report concludes by framing these challenges as catalysts for embracing emerging opportunities, including the deployment of Digital Twins through Building Information Modelling (BIM), the adoption of Lean Construction principles to minimise waste, and the strategic use of Modular Integrated Construction (</w:t>
      </w:r>
      <w:proofErr w:type="spellStart"/>
      <w:r>
        <w:rPr>
          <w:rFonts w:ascii="Segoe UI" w:hAnsi="Segoe UI" w:cs="Segoe UI"/>
          <w:color w:val="0F1115"/>
        </w:rPr>
        <w:t>MiC</w:t>
      </w:r>
      <w:proofErr w:type="spellEnd"/>
      <w:r>
        <w:rPr>
          <w:rFonts w:ascii="Segoe UI" w:hAnsi="Segoe UI" w:cs="Segoe UI"/>
          <w:color w:val="0F1115"/>
        </w:rPr>
        <w:t>) for accelerated station and precinct development. This case study posits that the future resilience of the Australian construction industry hinges on its capacity to institutionalise these digital, managerial, and technological innovations.</w:t>
      </w:r>
    </w:p>
    <w:p w14:paraId="52FD8860" w14:textId="77777777" w:rsidR="008A11FC" w:rsidRDefault="00000000" w:rsidP="008A11FC">
      <w:pPr>
        <w:spacing w:before="480" w:after="480"/>
        <w:rPr>
          <w:rFonts w:ascii="Segoe UI" w:hAnsi="Segoe UI" w:cs="Segoe UI"/>
        </w:rPr>
      </w:pPr>
      <w:r>
        <w:pict w14:anchorId="15DD8DAB">
          <v:rect id="_x0000_i1026" style="width:0;height:.75pt" o:hralign="center" o:hrstd="t" o:hr="t" fillcolor="#a0a0a0" stroked="f"/>
        </w:pict>
      </w:r>
    </w:p>
    <w:p w14:paraId="6365A456" w14:textId="77777777" w:rsidR="008A11FC" w:rsidRDefault="008A11FC" w:rsidP="008A11FC">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lastRenderedPageBreak/>
        <w:t>1. Introduction</w:t>
      </w:r>
    </w:p>
    <w:p w14:paraId="4D5E72CC" w14:textId="77777777" w:rsidR="008A11FC" w:rsidRDefault="008A11FC" w:rsidP="008A11F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Urban transit megaprojects are critical for shaping sustainable, liveable cities, yet they are notoriously fraught with delivery challenges. The </w:t>
      </w:r>
      <w:r>
        <w:rPr>
          <w:rStyle w:val="Strong"/>
          <w:rFonts w:ascii="Segoe UI" w:eastAsiaTheme="majorEastAsia" w:hAnsi="Segoe UI" w:cs="Segoe UI"/>
          <w:color w:val="0F1115"/>
        </w:rPr>
        <w:t>Parramatta Light Rail (Stage 1)</w:t>
      </w:r>
      <w:r>
        <w:rPr>
          <w:rFonts w:ascii="Segoe UI" w:hAnsi="Segoe UI" w:cs="Segoe UI"/>
          <w:color w:val="0F1115"/>
        </w:rPr>
        <w:t>, linking Westmead to Carlingford via the Parramatta CBD, serves as a potent case study of the grand challenges facing the Australian construction industry. While its strategic objectives—catalysing urban renewal, improving connectivity, and supporting a growing population—are clear, its delivery has been characterised by significant complexity (NSW Government, 2023).</w:t>
      </w:r>
    </w:p>
    <w:p w14:paraId="3B66EA1B" w14:textId="77777777" w:rsidR="008A11FC" w:rsidRDefault="008A11FC" w:rsidP="008A11F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This report provides a critical dissection of the PLR project. It moves beyond superficial identification of problems to investigate the root causes and, most importantly, the </w:t>
      </w:r>
      <w:r>
        <w:rPr>
          <w:rStyle w:val="Strong"/>
          <w:rFonts w:ascii="Segoe UI" w:eastAsiaTheme="majorEastAsia" w:hAnsi="Segoe UI" w:cs="Segoe UI"/>
          <w:color w:val="0F1115"/>
        </w:rPr>
        <w:t>intrinsic synergies between challenges</w:t>
      </w:r>
      <w:r>
        <w:rPr>
          <w:rFonts w:ascii="Segoe UI" w:hAnsi="Segoe UI" w:cs="Segoe UI"/>
          <w:color w:val="0F1115"/>
        </w:rPr>
        <w:t> that amplify project risk. The analysis is fortified by a review of international best practices, providing a benchmark for performance. Finally, the report projects forward, discussing how these challenges unveil emerging opportunities for transformative change within the industry, positioning the PLR not merely as a problem but as a pivotal learning experience for future Australian infrastructure.</w:t>
      </w:r>
    </w:p>
    <w:p w14:paraId="762FDA28" w14:textId="77777777" w:rsidR="008A11FC" w:rsidRDefault="008A11FC" w:rsidP="008A11FC">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2. Identification and Analysis of Main Challenges</w:t>
      </w:r>
    </w:p>
    <w:p w14:paraId="24D13442" w14:textId="77777777" w:rsidR="008A11FC" w:rsidRDefault="008A11FC" w:rsidP="008A11F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delivery of the PLR has been a masterclass in managing urban complexity. The primary challenges can be categorised into three interconnected domains.</w:t>
      </w:r>
    </w:p>
    <w:p w14:paraId="08CE880B" w14:textId="77777777" w:rsidR="008A11FC" w:rsidRDefault="008A11FC" w:rsidP="008A11FC">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2.1 Complex Utility Diversion and Subsurface Uncertainty</w:t>
      </w:r>
      <w:r>
        <w:rPr>
          <w:rFonts w:ascii="Segoe UI" w:hAnsi="Segoe UI" w:cs="Segoe UI"/>
          <w:color w:val="0F1115"/>
        </w:rPr>
        <w:br/>
        <w:t>The PLR corridor is a congested urban space, with a dense, poorly documented network of ageing utilities (water, gas, telecommunications, electricity) that required extensive diversion. This was not a simple logistical task but a major technical and programmatic risk.</w:t>
      </w:r>
    </w:p>
    <w:p w14:paraId="7645CD15" w14:textId="77777777" w:rsidR="008A11FC" w:rsidRDefault="008A11FC" w:rsidP="008A11FC">
      <w:pPr>
        <w:pStyle w:val="ds-markdown-paragraph"/>
        <w:numPr>
          <w:ilvl w:val="0"/>
          <w:numId w:val="6"/>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Root Causes:</w:t>
      </w:r>
      <w:r>
        <w:rPr>
          <w:rFonts w:ascii="Segoe UI" w:hAnsi="Segoe UI" w:cs="Segoe UI"/>
          <w:color w:val="0F1115"/>
        </w:rPr>
        <w:t> Inadequate historical records (as-built drawings), the brittle state of ageing assets, and the need to maintain continuous service to a live CBD during works.</w:t>
      </w:r>
    </w:p>
    <w:p w14:paraId="6ED99C95" w14:textId="77777777" w:rsidR="008A11FC" w:rsidRDefault="008A11FC" w:rsidP="008A11FC">
      <w:pPr>
        <w:pStyle w:val="ds-markdown-paragraph"/>
        <w:numPr>
          <w:ilvl w:val="0"/>
          <w:numId w:val="6"/>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Impact:</w:t>
      </w:r>
      <w:r>
        <w:rPr>
          <w:rFonts w:ascii="Segoe UI" w:hAnsi="Segoe UI" w:cs="Segoe UI"/>
          <w:color w:val="0F1115"/>
        </w:rPr>
        <w:t> Unforeseen utility conflicts became the single largest cause of design changes and construction delays. Encountering an undocumented Telstra fibre optic trunk, for instance, required a six-week stoppage for delicate manual excavation and redesign of the track alignment, creating a critical path delay (Infrastructure NSW, 2024).</w:t>
      </w:r>
    </w:p>
    <w:p w14:paraId="2D58E702" w14:textId="77777777" w:rsidR="008A11FC" w:rsidRDefault="008A11FC" w:rsidP="008A11FC">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2.2 Stakeholder Management and Communication Fragmentation</w:t>
      </w:r>
      <w:r>
        <w:rPr>
          <w:rFonts w:ascii="Segoe UI" w:hAnsi="Segoe UI" w:cs="Segoe UI"/>
          <w:color w:val="0F1115"/>
        </w:rPr>
        <w:br/>
        <w:t xml:space="preserve">The project impacted a diverse set of stakeholders: residents affected by noise and dust, businesses suffering from prolonged loss of footfall and access, multiple local government agencies, and utility providers. Initial communication was often </w:t>
      </w:r>
      <w:r>
        <w:rPr>
          <w:rFonts w:ascii="Segoe UI" w:hAnsi="Segoe UI" w:cs="Segoe UI"/>
          <w:color w:val="0F1115"/>
        </w:rPr>
        <w:lastRenderedPageBreak/>
        <w:t>perceived as top-down and insufficient, leading to eroding public trust and formal disputes.</w:t>
      </w:r>
    </w:p>
    <w:p w14:paraId="46A2FA56" w14:textId="77777777" w:rsidR="008A11FC" w:rsidRDefault="008A11FC" w:rsidP="008A11FC">
      <w:pPr>
        <w:pStyle w:val="ds-markdown-paragraph"/>
        <w:numPr>
          <w:ilvl w:val="0"/>
          <w:numId w:val="7"/>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Root Causes:</w:t>
      </w:r>
      <w:r>
        <w:rPr>
          <w:rFonts w:ascii="Segoe UI" w:hAnsi="Segoe UI" w:cs="Segoe UI"/>
          <w:color w:val="0F1115"/>
        </w:rPr>
        <w:t> A reactive, rather than proactive, engagement strategy; siloed communication between the principal contractor, Transport for NSW, and utility companies; and an underestimation of the socio-economic impact on small businesses.</w:t>
      </w:r>
    </w:p>
    <w:p w14:paraId="756AA170" w14:textId="77777777" w:rsidR="008A11FC" w:rsidRDefault="008A11FC" w:rsidP="008A11FC">
      <w:pPr>
        <w:pStyle w:val="ds-markdown-paragraph"/>
        <w:numPr>
          <w:ilvl w:val="0"/>
          <w:numId w:val="7"/>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Impact:</w:t>
      </w:r>
      <w:r>
        <w:rPr>
          <w:rFonts w:ascii="Segoe UI" w:hAnsi="Segoe UI" w:cs="Segoe UI"/>
          <w:color w:val="0F1115"/>
        </w:rPr>
        <w:t> This resulted in increased transaction costs due to dispute resolution, reputational damage to the government and contractors, and political pressure that forced costly scope changes, such as additional noise barriers and business compensation packages (Pearson &amp; Lim, 2024).</w:t>
      </w:r>
    </w:p>
    <w:p w14:paraId="16C02A9E" w14:textId="77777777" w:rsidR="008A11FC" w:rsidRDefault="008A11FC" w:rsidP="008A11FC">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2.3 Project Delivery Impacts: Schedule and Cost Performance</w:t>
      </w:r>
      <w:r>
        <w:rPr>
          <w:rFonts w:ascii="Segoe UI" w:hAnsi="Segoe UI" w:cs="Segoe UI"/>
          <w:color w:val="0F1115"/>
        </w:rPr>
        <w:br/>
        <w:t>The interplay of the above challenges directly manifested in traditional project performance metrics. The project timeline extended by over 18 months from the original forecast, and the final cost is projected to exceed the initial budget by approximately 20%.</w:t>
      </w:r>
    </w:p>
    <w:p w14:paraId="652FBCA6" w14:textId="77777777" w:rsidR="008A11FC" w:rsidRDefault="008A11FC" w:rsidP="008A11FC">
      <w:pPr>
        <w:pStyle w:val="ds-markdown-paragraph"/>
        <w:numPr>
          <w:ilvl w:val="0"/>
          <w:numId w:val="8"/>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Root Causes:</w:t>
      </w:r>
      <w:r>
        <w:rPr>
          <w:rFonts w:ascii="Segoe UI" w:hAnsi="Segoe UI" w:cs="Segoe UI"/>
          <w:color w:val="0F1115"/>
        </w:rPr>
        <w:t> The primary drivers were the cumulative impact of utility-related delays and the costs associated with stakeholder mitigation measures and scope changes.</w:t>
      </w:r>
    </w:p>
    <w:p w14:paraId="7365108E" w14:textId="77777777" w:rsidR="008A11FC" w:rsidRDefault="008A11FC" w:rsidP="008A11FC">
      <w:pPr>
        <w:pStyle w:val="ds-markdown-paragraph"/>
        <w:numPr>
          <w:ilvl w:val="0"/>
          <w:numId w:val="8"/>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Impact:</w:t>
      </w:r>
      <w:r>
        <w:rPr>
          <w:rFonts w:ascii="Segoe UI" w:hAnsi="Segoe UI" w:cs="Segoe UI"/>
          <w:color w:val="0F1115"/>
        </w:rPr>
        <w:t> These overruns undermine the public business case, reduce the net present value of the project's benefits, and create a risk-averse environment for funding future projects.</w:t>
      </w:r>
    </w:p>
    <w:p w14:paraId="07391924" w14:textId="6150CC3D" w:rsidR="008A11FC" w:rsidRDefault="008A11FC" w:rsidP="008A11FC">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Table 1:</w:t>
      </w:r>
      <w:r>
        <w:rPr>
          <w:rFonts w:ascii="Segoe UI" w:hAnsi="Segoe UI" w:cs="Segoe UI"/>
          <w:color w:val="0F1115"/>
        </w:rPr>
        <w:t> Summary of Grand Challenges in the Parramatta Light Rail Project</w:t>
      </w:r>
    </w:p>
    <w:tbl>
      <w:tblPr>
        <w:tblW w:w="0" w:type="auto"/>
        <w:tblCellMar>
          <w:top w:w="15" w:type="dxa"/>
          <w:left w:w="15" w:type="dxa"/>
          <w:bottom w:w="15" w:type="dxa"/>
          <w:right w:w="15" w:type="dxa"/>
        </w:tblCellMar>
        <w:tblLook w:val="04A0" w:firstRow="1" w:lastRow="0" w:firstColumn="1" w:lastColumn="0" w:noHBand="0" w:noVBand="1"/>
      </w:tblPr>
      <w:tblGrid>
        <w:gridCol w:w="1886"/>
        <w:gridCol w:w="2444"/>
        <w:gridCol w:w="2561"/>
        <w:gridCol w:w="2135"/>
      </w:tblGrid>
      <w:tr w:rsidR="008A11FC" w14:paraId="0DCCDEB3" w14:textId="77777777">
        <w:trPr>
          <w:tblHeader/>
        </w:trPr>
        <w:tc>
          <w:tcPr>
            <w:tcW w:w="0" w:type="auto"/>
            <w:tcBorders>
              <w:top w:val="nil"/>
            </w:tcBorders>
            <w:tcMar>
              <w:top w:w="150" w:type="dxa"/>
              <w:left w:w="0" w:type="dxa"/>
              <w:bottom w:w="150" w:type="dxa"/>
              <w:right w:w="240" w:type="dxa"/>
            </w:tcMar>
            <w:vAlign w:val="center"/>
            <w:hideMark/>
          </w:tcPr>
          <w:p w14:paraId="34862FCE" w14:textId="77777777" w:rsidR="008A11FC" w:rsidRDefault="008A11FC">
            <w:pPr>
              <w:spacing w:line="375" w:lineRule="atLeast"/>
              <w:rPr>
                <w:rFonts w:ascii="Segoe UI" w:hAnsi="Segoe UI" w:cs="Segoe UI"/>
                <w:sz w:val="23"/>
                <w:szCs w:val="23"/>
              </w:rPr>
            </w:pPr>
            <w:r>
              <w:rPr>
                <w:rFonts w:ascii="Segoe UI" w:hAnsi="Segoe UI" w:cs="Segoe UI"/>
                <w:sz w:val="23"/>
                <w:szCs w:val="23"/>
              </w:rPr>
              <w:t>Challenge Domain</w:t>
            </w:r>
          </w:p>
        </w:tc>
        <w:tc>
          <w:tcPr>
            <w:tcW w:w="0" w:type="auto"/>
            <w:tcBorders>
              <w:top w:val="nil"/>
            </w:tcBorders>
            <w:tcMar>
              <w:top w:w="150" w:type="dxa"/>
              <w:left w:w="240" w:type="dxa"/>
              <w:bottom w:w="150" w:type="dxa"/>
              <w:right w:w="240" w:type="dxa"/>
            </w:tcMar>
            <w:vAlign w:val="center"/>
            <w:hideMark/>
          </w:tcPr>
          <w:p w14:paraId="1AE4AE61" w14:textId="77777777" w:rsidR="008A11FC" w:rsidRDefault="008A11FC">
            <w:pPr>
              <w:spacing w:line="375" w:lineRule="atLeast"/>
              <w:rPr>
                <w:rFonts w:ascii="Segoe UI" w:hAnsi="Segoe UI" w:cs="Segoe UI"/>
                <w:sz w:val="23"/>
                <w:szCs w:val="23"/>
              </w:rPr>
            </w:pPr>
            <w:r>
              <w:rPr>
                <w:rFonts w:ascii="Segoe UI" w:hAnsi="Segoe UI" w:cs="Segoe UI"/>
                <w:sz w:val="23"/>
                <w:szCs w:val="23"/>
              </w:rPr>
              <w:t>Specific Manifestation</w:t>
            </w:r>
          </w:p>
        </w:tc>
        <w:tc>
          <w:tcPr>
            <w:tcW w:w="0" w:type="auto"/>
            <w:tcBorders>
              <w:top w:val="nil"/>
            </w:tcBorders>
            <w:tcMar>
              <w:top w:w="150" w:type="dxa"/>
              <w:left w:w="240" w:type="dxa"/>
              <w:bottom w:w="150" w:type="dxa"/>
              <w:right w:w="240" w:type="dxa"/>
            </w:tcMar>
            <w:vAlign w:val="center"/>
            <w:hideMark/>
          </w:tcPr>
          <w:p w14:paraId="52029016" w14:textId="77777777" w:rsidR="008A11FC" w:rsidRDefault="008A11FC">
            <w:pPr>
              <w:spacing w:line="375" w:lineRule="atLeast"/>
              <w:rPr>
                <w:rFonts w:ascii="Segoe UI" w:hAnsi="Segoe UI" w:cs="Segoe UI"/>
                <w:sz w:val="23"/>
                <w:szCs w:val="23"/>
              </w:rPr>
            </w:pPr>
            <w:r>
              <w:rPr>
                <w:rFonts w:ascii="Segoe UI" w:hAnsi="Segoe UI" w:cs="Segoe UI"/>
                <w:sz w:val="23"/>
                <w:szCs w:val="23"/>
              </w:rPr>
              <w:t>Root Cause(s)</w:t>
            </w:r>
          </w:p>
        </w:tc>
        <w:tc>
          <w:tcPr>
            <w:tcW w:w="0" w:type="auto"/>
            <w:tcBorders>
              <w:top w:val="nil"/>
            </w:tcBorders>
            <w:tcMar>
              <w:top w:w="150" w:type="dxa"/>
              <w:left w:w="240" w:type="dxa"/>
              <w:bottom w:w="150" w:type="dxa"/>
              <w:right w:w="240" w:type="dxa"/>
            </w:tcMar>
            <w:vAlign w:val="center"/>
            <w:hideMark/>
          </w:tcPr>
          <w:p w14:paraId="475E7575" w14:textId="77777777" w:rsidR="008A11FC" w:rsidRDefault="008A11FC">
            <w:pPr>
              <w:spacing w:line="375" w:lineRule="atLeast"/>
              <w:rPr>
                <w:rFonts w:ascii="Segoe UI" w:hAnsi="Segoe UI" w:cs="Segoe UI"/>
                <w:sz w:val="23"/>
                <w:szCs w:val="23"/>
              </w:rPr>
            </w:pPr>
            <w:r>
              <w:rPr>
                <w:rFonts w:ascii="Segoe UI" w:hAnsi="Segoe UI" w:cs="Segoe UI"/>
                <w:sz w:val="23"/>
                <w:szCs w:val="23"/>
              </w:rPr>
              <w:t>Direct Impact on Project</w:t>
            </w:r>
          </w:p>
        </w:tc>
      </w:tr>
      <w:tr w:rsidR="008A11FC" w14:paraId="700AD945" w14:textId="77777777">
        <w:tc>
          <w:tcPr>
            <w:tcW w:w="0" w:type="auto"/>
            <w:tcMar>
              <w:top w:w="150" w:type="dxa"/>
              <w:left w:w="0" w:type="dxa"/>
              <w:bottom w:w="150" w:type="dxa"/>
              <w:right w:w="240" w:type="dxa"/>
            </w:tcMar>
            <w:vAlign w:val="center"/>
            <w:hideMark/>
          </w:tcPr>
          <w:p w14:paraId="078840AA" w14:textId="77777777" w:rsidR="008A11FC" w:rsidRDefault="008A11FC">
            <w:pPr>
              <w:spacing w:line="375" w:lineRule="atLeast"/>
              <w:rPr>
                <w:rFonts w:ascii="Segoe UI" w:hAnsi="Segoe UI" w:cs="Segoe UI"/>
                <w:sz w:val="23"/>
                <w:szCs w:val="23"/>
              </w:rPr>
            </w:pPr>
            <w:r>
              <w:rPr>
                <w:rStyle w:val="Strong"/>
                <w:rFonts w:ascii="Segoe UI" w:hAnsi="Segoe UI" w:cs="Segoe UI"/>
                <w:sz w:val="23"/>
                <w:szCs w:val="23"/>
              </w:rPr>
              <w:t>Technical: Utility Diversion</w:t>
            </w:r>
          </w:p>
        </w:tc>
        <w:tc>
          <w:tcPr>
            <w:tcW w:w="0" w:type="auto"/>
            <w:tcMar>
              <w:top w:w="150" w:type="dxa"/>
              <w:left w:w="240" w:type="dxa"/>
              <w:bottom w:w="150" w:type="dxa"/>
              <w:right w:w="240" w:type="dxa"/>
            </w:tcMar>
            <w:vAlign w:val="center"/>
            <w:hideMark/>
          </w:tcPr>
          <w:p w14:paraId="11255FC0" w14:textId="77777777" w:rsidR="008A11FC" w:rsidRDefault="008A11FC">
            <w:pPr>
              <w:spacing w:line="375" w:lineRule="atLeast"/>
              <w:rPr>
                <w:rFonts w:ascii="Segoe UI" w:hAnsi="Segoe UI" w:cs="Segoe UI"/>
                <w:sz w:val="23"/>
                <w:szCs w:val="23"/>
              </w:rPr>
            </w:pPr>
            <w:r>
              <w:rPr>
                <w:rFonts w:ascii="Segoe UI" w:hAnsi="Segoe UI" w:cs="Segoe UI"/>
                <w:sz w:val="23"/>
                <w:szCs w:val="23"/>
              </w:rPr>
              <w:t>- Encounter of undocumented services</w:t>
            </w:r>
            <w:r>
              <w:rPr>
                <w:rFonts w:ascii="Segoe UI" w:hAnsi="Segoe UI" w:cs="Segoe UI"/>
                <w:sz w:val="23"/>
                <w:szCs w:val="23"/>
              </w:rPr>
              <w:br/>
              <w:t>- Collapse of a century-old stormwater pipe during piling</w:t>
            </w:r>
            <w:r>
              <w:rPr>
                <w:rFonts w:ascii="Segoe UI" w:hAnsi="Segoe UI" w:cs="Segoe UI"/>
                <w:sz w:val="23"/>
                <w:szCs w:val="23"/>
              </w:rPr>
              <w:br/>
              <w:t>- Conflicts between gas and power lines</w:t>
            </w:r>
          </w:p>
        </w:tc>
        <w:tc>
          <w:tcPr>
            <w:tcW w:w="0" w:type="auto"/>
            <w:tcMar>
              <w:top w:w="150" w:type="dxa"/>
              <w:left w:w="240" w:type="dxa"/>
              <w:bottom w:w="150" w:type="dxa"/>
              <w:right w:w="240" w:type="dxa"/>
            </w:tcMar>
            <w:vAlign w:val="center"/>
            <w:hideMark/>
          </w:tcPr>
          <w:p w14:paraId="61D6FFBF" w14:textId="77777777" w:rsidR="008A11FC" w:rsidRDefault="008A11FC">
            <w:pPr>
              <w:spacing w:line="375" w:lineRule="atLeast"/>
              <w:rPr>
                <w:rFonts w:ascii="Segoe UI" w:hAnsi="Segoe UI" w:cs="Segoe UI"/>
                <w:sz w:val="23"/>
                <w:szCs w:val="23"/>
              </w:rPr>
            </w:pPr>
            <w:r>
              <w:rPr>
                <w:rFonts w:ascii="Segoe UI" w:hAnsi="Segoe UI" w:cs="Segoe UI"/>
                <w:sz w:val="23"/>
                <w:szCs w:val="23"/>
              </w:rPr>
              <w:t>- Poor historical records (as-built data)</w:t>
            </w:r>
            <w:r>
              <w:rPr>
                <w:rFonts w:ascii="Segoe UI" w:hAnsi="Segoe UI" w:cs="Segoe UI"/>
                <w:sz w:val="23"/>
                <w:szCs w:val="23"/>
              </w:rPr>
              <w:br/>
              <w:t>- Ageing and fragile infrastructure</w:t>
            </w:r>
            <w:r>
              <w:rPr>
                <w:rFonts w:ascii="Segoe UI" w:hAnsi="Segoe UI" w:cs="Segoe UI"/>
                <w:sz w:val="23"/>
                <w:szCs w:val="23"/>
              </w:rPr>
              <w:br/>
              <w:t>- High-density urban corridor</w:t>
            </w:r>
          </w:p>
        </w:tc>
        <w:tc>
          <w:tcPr>
            <w:tcW w:w="0" w:type="auto"/>
            <w:tcMar>
              <w:top w:w="150" w:type="dxa"/>
              <w:left w:w="240" w:type="dxa"/>
              <w:bottom w:w="150" w:type="dxa"/>
              <w:right w:w="0" w:type="dxa"/>
            </w:tcMar>
            <w:vAlign w:val="center"/>
            <w:hideMark/>
          </w:tcPr>
          <w:p w14:paraId="101E28AB" w14:textId="77777777" w:rsidR="008A11FC" w:rsidRDefault="008A11FC">
            <w:pPr>
              <w:spacing w:line="375" w:lineRule="atLeast"/>
              <w:rPr>
                <w:rFonts w:ascii="Segoe UI" w:hAnsi="Segoe UI" w:cs="Segoe UI"/>
                <w:sz w:val="23"/>
                <w:szCs w:val="23"/>
              </w:rPr>
            </w:pPr>
            <w:r>
              <w:rPr>
                <w:rFonts w:ascii="Segoe UI" w:hAnsi="Segoe UI" w:cs="Segoe UI"/>
                <w:sz w:val="23"/>
                <w:szCs w:val="23"/>
              </w:rPr>
              <w:t>- Critical path delays (avg. 8 weeks per major conflict)</w:t>
            </w:r>
            <w:r>
              <w:rPr>
                <w:rFonts w:ascii="Segoe UI" w:hAnsi="Segoe UI" w:cs="Segoe UI"/>
                <w:sz w:val="23"/>
                <w:szCs w:val="23"/>
              </w:rPr>
              <w:br/>
              <w:t>- Unplanned redesign costs</w:t>
            </w:r>
            <w:r>
              <w:rPr>
                <w:rFonts w:ascii="Segoe UI" w:hAnsi="Segoe UI" w:cs="Segoe UI"/>
                <w:sz w:val="23"/>
                <w:szCs w:val="23"/>
              </w:rPr>
              <w:br/>
              <w:t>- Contractor claims for variations</w:t>
            </w:r>
          </w:p>
        </w:tc>
      </w:tr>
      <w:tr w:rsidR="008A11FC" w14:paraId="58DC3DA4" w14:textId="77777777">
        <w:tc>
          <w:tcPr>
            <w:tcW w:w="0" w:type="auto"/>
            <w:tcMar>
              <w:top w:w="150" w:type="dxa"/>
              <w:left w:w="0" w:type="dxa"/>
              <w:bottom w:w="150" w:type="dxa"/>
              <w:right w:w="240" w:type="dxa"/>
            </w:tcMar>
            <w:vAlign w:val="center"/>
            <w:hideMark/>
          </w:tcPr>
          <w:p w14:paraId="6B3E3243" w14:textId="77777777" w:rsidR="008A11FC" w:rsidRDefault="008A11FC">
            <w:pPr>
              <w:spacing w:line="375" w:lineRule="atLeast"/>
              <w:rPr>
                <w:rFonts w:ascii="Segoe UI" w:hAnsi="Segoe UI" w:cs="Segoe UI"/>
                <w:sz w:val="23"/>
                <w:szCs w:val="23"/>
              </w:rPr>
            </w:pPr>
            <w:r>
              <w:rPr>
                <w:rStyle w:val="Strong"/>
                <w:rFonts w:ascii="Segoe UI" w:hAnsi="Segoe UI" w:cs="Segoe UI"/>
                <w:sz w:val="23"/>
                <w:szCs w:val="23"/>
              </w:rPr>
              <w:lastRenderedPageBreak/>
              <w:t>Managerial: Stakeholder Engagement</w:t>
            </w:r>
          </w:p>
        </w:tc>
        <w:tc>
          <w:tcPr>
            <w:tcW w:w="0" w:type="auto"/>
            <w:tcMar>
              <w:top w:w="150" w:type="dxa"/>
              <w:left w:w="240" w:type="dxa"/>
              <w:bottom w:w="150" w:type="dxa"/>
              <w:right w:w="240" w:type="dxa"/>
            </w:tcMar>
            <w:vAlign w:val="center"/>
            <w:hideMark/>
          </w:tcPr>
          <w:p w14:paraId="4C1B1A77" w14:textId="77777777" w:rsidR="008A11FC" w:rsidRDefault="008A11FC">
            <w:pPr>
              <w:spacing w:line="375" w:lineRule="atLeast"/>
              <w:rPr>
                <w:rFonts w:ascii="Segoe UI" w:hAnsi="Segoe UI" w:cs="Segoe UI"/>
                <w:sz w:val="23"/>
                <w:szCs w:val="23"/>
              </w:rPr>
            </w:pPr>
            <w:r>
              <w:rPr>
                <w:rFonts w:ascii="Segoe UI" w:hAnsi="Segoe UI" w:cs="Segoe UI"/>
                <w:sz w:val="23"/>
                <w:szCs w:val="23"/>
              </w:rPr>
              <w:t>- Business group protests and media campaigns</w:t>
            </w:r>
            <w:r>
              <w:rPr>
                <w:rFonts w:ascii="Segoe UI" w:hAnsi="Segoe UI" w:cs="Segoe UI"/>
                <w:sz w:val="23"/>
                <w:szCs w:val="23"/>
              </w:rPr>
              <w:br/>
              <w:t>- Resident complaints over construction hours</w:t>
            </w:r>
            <w:r>
              <w:rPr>
                <w:rFonts w:ascii="Segoe UI" w:hAnsi="Segoe UI" w:cs="Segoe UI"/>
                <w:sz w:val="23"/>
                <w:szCs w:val="23"/>
              </w:rPr>
              <w:br/>
              <w:t>- Inter-agency coordination delays</w:t>
            </w:r>
          </w:p>
        </w:tc>
        <w:tc>
          <w:tcPr>
            <w:tcW w:w="0" w:type="auto"/>
            <w:tcMar>
              <w:top w:w="150" w:type="dxa"/>
              <w:left w:w="240" w:type="dxa"/>
              <w:bottom w:w="150" w:type="dxa"/>
              <w:right w:w="240" w:type="dxa"/>
            </w:tcMar>
            <w:vAlign w:val="center"/>
            <w:hideMark/>
          </w:tcPr>
          <w:p w14:paraId="46D33740" w14:textId="77777777" w:rsidR="008A11FC" w:rsidRDefault="008A11FC">
            <w:pPr>
              <w:spacing w:line="375" w:lineRule="atLeast"/>
              <w:rPr>
                <w:rFonts w:ascii="Segoe UI" w:hAnsi="Segoe UI" w:cs="Segoe UI"/>
                <w:sz w:val="23"/>
                <w:szCs w:val="23"/>
              </w:rPr>
            </w:pPr>
            <w:r>
              <w:rPr>
                <w:rFonts w:ascii="Segoe UI" w:hAnsi="Segoe UI" w:cs="Segoe UI"/>
                <w:sz w:val="23"/>
                <w:szCs w:val="23"/>
              </w:rPr>
              <w:t>- Reactive communication strategy</w:t>
            </w:r>
            <w:r>
              <w:rPr>
                <w:rFonts w:ascii="Segoe UI" w:hAnsi="Segoe UI" w:cs="Segoe UI"/>
                <w:sz w:val="23"/>
                <w:szCs w:val="23"/>
              </w:rPr>
              <w:br/>
              <w:t>- Siloed information between project entities</w:t>
            </w:r>
            <w:r>
              <w:rPr>
                <w:rFonts w:ascii="Segoe UI" w:hAnsi="Segoe UI" w:cs="Segoe UI"/>
                <w:sz w:val="23"/>
                <w:szCs w:val="23"/>
              </w:rPr>
              <w:br/>
              <w:t>- Underestimation of socio-economic impact</w:t>
            </w:r>
          </w:p>
        </w:tc>
        <w:tc>
          <w:tcPr>
            <w:tcW w:w="0" w:type="auto"/>
            <w:tcMar>
              <w:top w:w="150" w:type="dxa"/>
              <w:left w:w="240" w:type="dxa"/>
              <w:bottom w:w="150" w:type="dxa"/>
              <w:right w:w="0" w:type="dxa"/>
            </w:tcMar>
            <w:vAlign w:val="center"/>
            <w:hideMark/>
          </w:tcPr>
          <w:p w14:paraId="2FFB5AEF" w14:textId="77777777" w:rsidR="008A11FC" w:rsidRDefault="008A11FC">
            <w:pPr>
              <w:spacing w:line="375" w:lineRule="atLeast"/>
              <w:rPr>
                <w:rFonts w:ascii="Segoe UI" w:hAnsi="Segoe UI" w:cs="Segoe UI"/>
                <w:sz w:val="23"/>
                <w:szCs w:val="23"/>
              </w:rPr>
            </w:pPr>
            <w:r>
              <w:rPr>
                <w:rFonts w:ascii="Segoe UI" w:hAnsi="Segoe UI" w:cs="Segoe UI"/>
                <w:sz w:val="23"/>
                <w:szCs w:val="23"/>
              </w:rPr>
              <w:t>- Costly scope changes (e.g., extra mitigation)</w:t>
            </w:r>
            <w:r>
              <w:rPr>
                <w:rFonts w:ascii="Segoe UI" w:hAnsi="Segoe UI" w:cs="Segoe UI"/>
                <w:sz w:val="23"/>
                <w:szCs w:val="23"/>
              </w:rPr>
              <w:br/>
              <w:t>- Reputational damage</w:t>
            </w:r>
            <w:r>
              <w:rPr>
                <w:rFonts w:ascii="Segoe UI" w:hAnsi="Segoe UI" w:cs="Segoe UI"/>
                <w:sz w:val="23"/>
                <w:szCs w:val="23"/>
              </w:rPr>
              <w:br/>
              <w:t>- Political intervention and oversight</w:t>
            </w:r>
          </w:p>
        </w:tc>
      </w:tr>
      <w:tr w:rsidR="008A11FC" w14:paraId="05966320" w14:textId="77777777">
        <w:tc>
          <w:tcPr>
            <w:tcW w:w="0" w:type="auto"/>
            <w:tcMar>
              <w:top w:w="150" w:type="dxa"/>
              <w:left w:w="0" w:type="dxa"/>
              <w:bottom w:w="150" w:type="dxa"/>
              <w:right w:w="240" w:type="dxa"/>
            </w:tcMar>
            <w:vAlign w:val="center"/>
            <w:hideMark/>
          </w:tcPr>
          <w:p w14:paraId="1435ACF9" w14:textId="77777777" w:rsidR="008A11FC" w:rsidRDefault="008A11FC">
            <w:pPr>
              <w:spacing w:line="375" w:lineRule="atLeast"/>
              <w:rPr>
                <w:rFonts w:ascii="Segoe UI" w:hAnsi="Segoe UI" w:cs="Segoe UI"/>
                <w:sz w:val="23"/>
                <w:szCs w:val="23"/>
              </w:rPr>
            </w:pPr>
            <w:r>
              <w:rPr>
                <w:rStyle w:val="Strong"/>
                <w:rFonts w:ascii="Segoe UI" w:hAnsi="Segoe UI" w:cs="Segoe UI"/>
                <w:sz w:val="23"/>
                <w:szCs w:val="23"/>
              </w:rPr>
              <w:t>Commercial: Delivery Performance</w:t>
            </w:r>
          </w:p>
        </w:tc>
        <w:tc>
          <w:tcPr>
            <w:tcW w:w="0" w:type="auto"/>
            <w:tcMar>
              <w:top w:w="150" w:type="dxa"/>
              <w:left w:w="240" w:type="dxa"/>
              <w:bottom w:w="150" w:type="dxa"/>
              <w:right w:w="240" w:type="dxa"/>
            </w:tcMar>
            <w:vAlign w:val="center"/>
            <w:hideMark/>
          </w:tcPr>
          <w:p w14:paraId="6A39919D" w14:textId="77777777" w:rsidR="008A11FC" w:rsidRDefault="008A11FC">
            <w:pPr>
              <w:spacing w:line="375" w:lineRule="atLeast"/>
              <w:rPr>
                <w:rFonts w:ascii="Segoe UI" w:hAnsi="Segoe UI" w:cs="Segoe UI"/>
                <w:sz w:val="23"/>
                <w:szCs w:val="23"/>
              </w:rPr>
            </w:pPr>
            <w:r>
              <w:rPr>
                <w:rFonts w:ascii="Segoe UI" w:hAnsi="Segoe UI" w:cs="Segoe UI"/>
                <w:sz w:val="23"/>
                <w:szCs w:val="23"/>
              </w:rPr>
              <w:t>- Schedule slippage of &gt;18 months</w:t>
            </w:r>
            <w:r>
              <w:rPr>
                <w:rFonts w:ascii="Segoe UI" w:hAnsi="Segoe UI" w:cs="Segoe UI"/>
                <w:sz w:val="23"/>
                <w:szCs w:val="23"/>
              </w:rPr>
              <w:br/>
              <w:t>- Budget escalation of ~20% ($~480m)</w:t>
            </w:r>
          </w:p>
        </w:tc>
        <w:tc>
          <w:tcPr>
            <w:tcW w:w="0" w:type="auto"/>
            <w:tcMar>
              <w:top w:w="150" w:type="dxa"/>
              <w:left w:w="240" w:type="dxa"/>
              <w:bottom w:w="150" w:type="dxa"/>
              <w:right w:w="240" w:type="dxa"/>
            </w:tcMar>
            <w:vAlign w:val="center"/>
            <w:hideMark/>
          </w:tcPr>
          <w:p w14:paraId="3D9426FA" w14:textId="77777777" w:rsidR="008A11FC" w:rsidRDefault="008A11FC">
            <w:pPr>
              <w:spacing w:line="375" w:lineRule="atLeast"/>
              <w:rPr>
                <w:rFonts w:ascii="Segoe UI" w:hAnsi="Segoe UI" w:cs="Segoe UI"/>
                <w:sz w:val="23"/>
                <w:szCs w:val="23"/>
              </w:rPr>
            </w:pPr>
            <w:r>
              <w:rPr>
                <w:rFonts w:ascii="Segoe UI" w:hAnsi="Segoe UI" w:cs="Segoe UI"/>
                <w:sz w:val="23"/>
                <w:szCs w:val="23"/>
              </w:rPr>
              <w:t>- Compound delays from utilities and stakeholder issues</w:t>
            </w:r>
            <w:r>
              <w:rPr>
                <w:rFonts w:ascii="Segoe UI" w:hAnsi="Segoe UI" w:cs="Segoe UI"/>
                <w:sz w:val="23"/>
                <w:szCs w:val="23"/>
              </w:rPr>
              <w:br/>
              <w:t>- Inflation and supply chain pressures post-COVID</w:t>
            </w:r>
          </w:p>
        </w:tc>
        <w:tc>
          <w:tcPr>
            <w:tcW w:w="0" w:type="auto"/>
            <w:tcMar>
              <w:top w:w="150" w:type="dxa"/>
              <w:left w:w="240" w:type="dxa"/>
              <w:bottom w:w="150" w:type="dxa"/>
              <w:right w:w="0" w:type="dxa"/>
            </w:tcMar>
            <w:vAlign w:val="center"/>
            <w:hideMark/>
          </w:tcPr>
          <w:p w14:paraId="77A810B8" w14:textId="77777777" w:rsidR="008A11FC" w:rsidRDefault="008A11FC">
            <w:pPr>
              <w:spacing w:line="375" w:lineRule="atLeast"/>
              <w:rPr>
                <w:rFonts w:ascii="Segoe UI" w:hAnsi="Segoe UI" w:cs="Segoe UI"/>
                <w:sz w:val="23"/>
                <w:szCs w:val="23"/>
              </w:rPr>
            </w:pPr>
            <w:r>
              <w:rPr>
                <w:rFonts w:ascii="Segoe UI" w:hAnsi="Segoe UI" w:cs="Segoe UI"/>
                <w:sz w:val="23"/>
                <w:szCs w:val="23"/>
              </w:rPr>
              <w:t>- Reduced public benefit realisation</w:t>
            </w:r>
            <w:r>
              <w:rPr>
                <w:rFonts w:ascii="Segoe UI" w:hAnsi="Segoe UI" w:cs="Segoe UI"/>
                <w:sz w:val="23"/>
                <w:szCs w:val="23"/>
              </w:rPr>
              <w:br/>
              <w:t>- Erosion of investor/public confidence</w:t>
            </w:r>
            <w:r>
              <w:rPr>
                <w:rFonts w:ascii="Segoe UI" w:hAnsi="Segoe UI" w:cs="Segoe UI"/>
                <w:sz w:val="23"/>
                <w:szCs w:val="23"/>
              </w:rPr>
              <w:br/>
              <w:t>- Increased financing costs</w:t>
            </w:r>
          </w:p>
        </w:tc>
      </w:tr>
    </w:tbl>
    <w:p w14:paraId="756574E6" w14:textId="77777777" w:rsidR="008A11FC" w:rsidRDefault="008A11FC" w:rsidP="008A11FC">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3. Critical Analysis of Intrinsic Connection Between Challenges</w:t>
      </w:r>
    </w:p>
    <w:p w14:paraId="50429730" w14:textId="77777777" w:rsidR="008A11FC" w:rsidRDefault="008A11FC" w:rsidP="008A11F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challenges outlined in Table 1 are not discrete; they form a tightly coupled, reinforcing system. Figure 1 illustrates this as a series of vicious cycles, where one challenge exacerbates another.</w:t>
      </w:r>
    </w:p>
    <w:p w14:paraId="6EE5D4FA" w14:textId="77777777" w:rsidR="008A11FC" w:rsidRDefault="008A11FC" w:rsidP="008A11FC">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Figure 1:</w:t>
      </w:r>
      <w:r>
        <w:rPr>
          <w:rFonts w:ascii="Segoe UI" w:hAnsi="Segoe UI" w:cs="Segoe UI"/>
          <w:color w:val="0F1115"/>
        </w:rPr>
        <w:t> Causal Loop Diagram illustrating the reinforcing feedback loops between challenges in the PLR project.</w:t>
      </w:r>
    </w:p>
    <w:p w14:paraId="02285D0E" w14:textId="77777777" w:rsidR="008A11FC" w:rsidRDefault="008A11FC" w:rsidP="008A11F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most critical link is between </w:t>
      </w:r>
      <w:r>
        <w:rPr>
          <w:rStyle w:val="Strong"/>
          <w:rFonts w:ascii="Segoe UI" w:eastAsiaTheme="majorEastAsia" w:hAnsi="Segoe UI" w:cs="Segoe UI"/>
          <w:color w:val="0F1115"/>
        </w:rPr>
        <w:t>utility conflicts and stakeholder management</w:t>
      </w:r>
      <w:r>
        <w:rPr>
          <w:rFonts w:ascii="Segoe UI" w:hAnsi="Segoe UI" w:cs="Segoe UI"/>
          <w:color w:val="0F1115"/>
        </w:rPr>
        <w:t xml:space="preserve">. An unforeseen utility conflict (e.g., a ruptured water main) does not only cause a technical delay. It immediately extends the duration of road closures and footpath detours, directly increasing the disruption to businesses and residents (Stakeholder Impact). This heightened disruption, when poorly communicated, fuels community frustration and formal complaints (Stakeholder Reaction). The resulting political pressure often forces the project team to implement accelerated, and sometimes more expensive, mitigation strategies or even design changes, which can introduce </w:t>
      </w:r>
      <w:r>
        <w:rPr>
          <w:rFonts w:ascii="Segoe UI" w:hAnsi="Segoe UI" w:cs="Segoe UI"/>
          <w:color w:val="0F1115"/>
        </w:rPr>
        <w:lastRenderedPageBreak/>
        <w:t>new technical risks or further compress the schedule, creating a fertile ground for the next utility conflict. This analysis moves beyond listing problems to demonstrating how the project was caught in a systemic trap of its own making.</w:t>
      </w:r>
    </w:p>
    <w:p w14:paraId="61869AA8" w14:textId="77777777" w:rsidR="008A11FC" w:rsidRDefault="008A11FC" w:rsidP="008A11FC">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4. Review of Local and Global Best Practices</w:t>
      </w:r>
    </w:p>
    <w:p w14:paraId="03E7FE32" w14:textId="77777777" w:rsidR="008A11FC" w:rsidRDefault="008A11FC" w:rsidP="008A11F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 comparative analysis with leading international projects reveals strategic approaches to mitigating the very challenges faced by the PLR.</w:t>
      </w:r>
    </w:p>
    <w:p w14:paraId="760F8280" w14:textId="77777777" w:rsidR="008A11FC" w:rsidRDefault="008A11FC" w:rsidP="008A11FC">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4.1 Melbourne Metro Tunnel Project (Local Best Practice)</w:t>
      </w:r>
      <w:r>
        <w:rPr>
          <w:rFonts w:ascii="Segoe UI" w:hAnsi="Segoe UI" w:cs="Segoe UI"/>
          <w:color w:val="0F1115"/>
        </w:rPr>
        <w:br/>
        <w:t>The Melbourne Metro Tunnel project faced similar utility challenges in a dense CBD. Its success is attributed to a </w:t>
      </w:r>
      <w:r>
        <w:rPr>
          <w:rStyle w:val="Strong"/>
          <w:rFonts w:ascii="Segoe UI" w:eastAsiaTheme="majorEastAsia" w:hAnsi="Segoe UI" w:cs="Segoe UI"/>
          <w:color w:val="0F1115"/>
        </w:rPr>
        <w:t>Proactive Utility Investigation and Engagement (PUIE) model</w:t>
      </w:r>
      <w:r>
        <w:rPr>
          <w:rFonts w:ascii="Segoe UI" w:hAnsi="Segoe UI" w:cs="Segoe UI"/>
          <w:color w:val="0F1115"/>
        </w:rPr>
        <w:t>.</w:t>
      </w:r>
    </w:p>
    <w:p w14:paraId="4C0E6D7F" w14:textId="77777777" w:rsidR="008A11FC" w:rsidRDefault="008A11FC" w:rsidP="008A11FC">
      <w:pPr>
        <w:pStyle w:val="ds-markdown-paragraph"/>
        <w:numPr>
          <w:ilvl w:val="0"/>
          <w:numId w:val="10"/>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Approach:</w:t>
      </w:r>
      <w:r>
        <w:rPr>
          <w:rFonts w:ascii="Segoe UI" w:hAnsi="Segoe UI" w:cs="Segoe UI"/>
          <w:color w:val="0F1115"/>
        </w:rPr>
        <w:t> The project established a dedicated utility coordination team that worked with providers from the feasibility stage. They employed advanced subsurface scanning (GPR and EMI) and potholing to create a highly accurate "below-ground BIM model" before finalising designs (Rail Projects Victoria, 2022).</w:t>
      </w:r>
    </w:p>
    <w:p w14:paraId="608B8ADC" w14:textId="77777777" w:rsidR="008A11FC" w:rsidRDefault="008A11FC" w:rsidP="008A11FC">
      <w:pPr>
        <w:pStyle w:val="ds-markdown-paragraph"/>
        <w:numPr>
          <w:ilvl w:val="0"/>
          <w:numId w:val="10"/>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Relevance to PLR:</w:t>
      </w:r>
      <w:r>
        <w:rPr>
          <w:rFonts w:ascii="Segoe UI" w:hAnsi="Segoe UI" w:cs="Segoe UI"/>
          <w:color w:val="0F1115"/>
        </w:rPr>
        <w:t> This front-loaded investment in data would have significantly de-risked the PLR's utility diversion phase, reducing unforeseen conflicts and associated delays.</w:t>
      </w:r>
    </w:p>
    <w:p w14:paraId="645AFF13" w14:textId="77777777" w:rsidR="008A11FC" w:rsidRDefault="008A11FC" w:rsidP="008A11FC">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4.2 Copenhagen City Ring Metro (Global Best Practice)</w:t>
      </w:r>
      <w:r>
        <w:rPr>
          <w:rFonts w:ascii="Segoe UI" w:hAnsi="Segoe UI" w:cs="Segoe UI"/>
          <w:color w:val="0F1115"/>
        </w:rPr>
        <w:br/>
        <w:t>Copenhagen's project is a global benchmark for stakeholder management in a sensitive urban environment.</w:t>
      </w:r>
    </w:p>
    <w:p w14:paraId="11F85DFD" w14:textId="77777777" w:rsidR="008A11FC" w:rsidRDefault="008A11FC" w:rsidP="008A11FC">
      <w:pPr>
        <w:pStyle w:val="ds-markdown-paragraph"/>
        <w:numPr>
          <w:ilvl w:val="0"/>
          <w:numId w:val="11"/>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Approach:</w:t>
      </w:r>
      <w:r>
        <w:rPr>
          <w:rFonts w:ascii="Segoe UI" w:hAnsi="Segoe UI" w:cs="Segoe UI"/>
          <w:color w:val="0F1115"/>
        </w:rPr>
        <w:t xml:space="preserve"> They implemented an "Information Centre" in the heart of the construction zone, offering immersive, real-time updates via interactive 3D models. Furthermore, they established </w:t>
      </w:r>
      <w:proofErr w:type="spellStart"/>
      <w:proofErr w:type="gramStart"/>
      <w:r>
        <w:rPr>
          <w:rFonts w:ascii="Segoe UI" w:hAnsi="Segoe UI" w:cs="Segoe UI"/>
          <w:color w:val="0F1115"/>
        </w:rPr>
        <w:t>a</w:t>
      </w:r>
      <w:proofErr w:type="spellEnd"/>
      <w:proofErr w:type="gramEnd"/>
      <w:r>
        <w:rPr>
          <w:rFonts w:ascii="Segoe UI" w:hAnsi="Segoe UI" w:cs="Segoe UI"/>
          <w:color w:val="0F1115"/>
        </w:rPr>
        <w:t xml:space="preserve"> independent, project-funded Business Support Scheme that provided proactive financial and logistical advice to affected businesses, not just reactive compensation (Bendixen &amp; Thygesen, 2020).</w:t>
      </w:r>
    </w:p>
    <w:p w14:paraId="003A5D79" w14:textId="77777777" w:rsidR="008A11FC" w:rsidRDefault="008A11FC" w:rsidP="008A11FC">
      <w:pPr>
        <w:pStyle w:val="ds-markdown-paragraph"/>
        <w:numPr>
          <w:ilvl w:val="0"/>
          <w:numId w:val="11"/>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Relevance to PLR:</w:t>
      </w:r>
      <w:r>
        <w:rPr>
          <w:rFonts w:ascii="Segoe UI" w:hAnsi="Segoe UI" w:cs="Segoe UI"/>
          <w:color w:val="0F1115"/>
        </w:rPr>
        <w:t> This model of transparent, empathetic, and proactive engagement could have preserved social license to operate and mitigated the severe business backlash experienced in Parramatta.</w:t>
      </w:r>
    </w:p>
    <w:p w14:paraId="3167CE9E" w14:textId="77777777" w:rsidR="008A11FC" w:rsidRDefault="008A11FC" w:rsidP="008A11FC">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Table 2:</w:t>
      </w:r>
      <w:r>
        <w:rPr>
          <w:rFonts w:ascii="Segoe UI" w:hAnsi="Segoe UI" w:cs="Segoe UI"/>
          <w:color w:val="0F1115"/>
        </w:rPr>
        <w:t> Comparative Analysis of Best Practices for Urban Transit Megaprojects</w:t>
      </w:r>
    </w:p>
    <w:tbl>
      <w:tblPr>
        <w:tblW w:w="0" w:type="auto"/>
        <w:tblCellMar>
          <w:top w:w="15" w:type="dxa"/>
          <w:left w:w="15" w:type="dxa"/>
          <w:bottom w:w="15" w:type="dxa"/>
          <w:right w:w="15" w:type="dxa"/>
        </w:tblCellMar>
        <w:tblLook w:val="04A0" w:firstRow="1" w:lastRow="0" w:firstColumn="1" w:lastColumn="0" w:noHBand="0" w:noVBand="1"/>
      </w:tblPr>
      <w:tblGrid>
        <w:gridCol w:w="1953"/>
        <w:gridCol w:w="2024"/>
        <w:gridCol w:w="2323"/>
        <w:gridCol w:w="2726"/>
      </w:tblGrid>
      <w:tr w:rsidR="008A11FC" w14:paraId="052B5C88" w14:textId="77777777">
        <w:trPr>
          <w:tblHeader/>
        </w:trPr>
        <w:tc>
          <w:tcPr>
            <w:tcW w:w="0" w:type="auto"/>
            <w:tcBorders>
              <w:top w:val="nil"/>
            </w:tcBorders>
            <w:tcMar>
              <w:top w:w="150" w:type="dxa"/>
              <w:left w:w="0" w:type="dxa"/>
              <w:bottom w:w="150" w:type="dxa"/>
              <w:right w:w="240" w:type="dxa"/>
            </w:tcMar>
            <w:vAlign w:val="center"/>
            <w:hideMark/>
          </w:tcPr>
          <w:p w14:paraId="766E59CA" w14:textId="77777777" w:rsidR="008A11FC" w:rsidRDefault="008A11FC">
            <w:pPr>
              <w:spacing w:line="375" w:lineRule="atLeast"/>
              <w:rPr>
                <w:rFonts w:ascii="Segoe UI" w:hAnsi="Segoe UI" w:cs="Segoe UI"/>
                <w:sz w:val="23"/>
                <w:szCs w:val="23"/>
              </w:rPr>
            </w:pPr>
            <w:r>
              <w:rPr>
                <w:rFonts w:ascii="Segoe UI" w:hAnsi="Segoe UI" w:cs="Segoe UI"/>
                <w:sz w:val="23"/>
                <w:szCs w:val="23"/>
              </w:rPr>
              <w:lastRenderedPageBreak/>
              <w:t>Project (Challenge Focus)</w:t>
            </w:r>
          </w:p>
        </w:tc>
        <w:tc>
          <w:tcPr>
            <w:tcW w:w="0" w:type="auto"/>
            <w:tcBorders>
              <w:top w:val="nil"/>
            </w:tcBorders>
            <w:tcMar>
              <w:top w:w="150" w:type="dxa"/>
              <w:left w:w="240" w:type="dxa"/>
              <w:bottom w:w="150" w:type="dxa"/>
              <w:right w:w="240" w:type="dxa"/>
            </w:tcMar>
            <w:vAlign w:val="center"/>
            <w:hideMark/>
          </w:tcPr>
          <w:p w14:paraId="027784C9" w14:textId="77777777" w:rsidR="008A11FC" w:rsidRDefault="008A11FC">
            <w:pPr>
              <w:spacing w:line="375" w:lineRule="atLeast"/>
              <w:rPr>
                <w:rFonts w:ascii="Segoe UI" w:hAnsi="Segoe UI" w:cs="Segoe UI"/>
                <w:sz w:val="23"/>
                <w:szCs w:val="23"/>
              </w:rPr>
            </w:pPr>
            <w:r>
              <w:rPr>
                <w:rFonts w:ascii="Segoe UI" w:hAnsi="Segoe UI" w:cs="Segoe UI"/>
                <w:sz w:val="23"/>
                <w:szCs w:val="23"/>
              </w:rPr>
              <w:t>Best Practice Initiative</w:t>
            </w:r>
          </w:p>
        </w:tc>
        <w:tc>
          <w:tcPr>
            <w:tcW w:w="0" w:type="auto"/>
            <w:tcBorders>
              <w:top w:val="nil"/>
            </w:tcBorders>
            <w:tcMar>
              <w:top w:w="150" w:type="dxa"/>
              <w:left w:w="240" w:type="dxa"/>
              <w:bottom w:w="150" w:type="dxa"/>
              <w:right w:w="240" w:type="dxa"/>
            </w:tcMar>
            <w:vAlign w:val="center"/>
            <w:hideMark/>
          </w:tcPr>
          <w:p w14:paraId="3E2DC3CC" w14:textId="77777777" w:rsidR="008A11FC" w:rsidRDefault="008A11FC">
            <w:pPr>
              <w:spacing w:line="375" w:lineRule="atLeast"/>
              <w:rPr>
                <w:rFonts w:ascii="Segoe UI" w:hAnsi="Segoe UI" w:cs="Segoe UI"/>
                <w:sz w:val="23"/>
                <w:szCs w:val="23"/>
              </w:rPr>
            </w:pPr>
            <w:r>
              <w:rPr>
                <w:rFonts w:ascii="Segoe UI" w:hAnsi="Segoe UI" w:cs="Segoe UI"/>
                <w:sz w:val="23"/>
                <w:szCs w:val="23"/>
              </w:rPr>
              <w:t>Key Mechanism</w:t>
            </w:r>
          </w:p>
        </w:tc>
        <w:tc>
          <w:tcPr>
            <w:tcW w:w="0" w:type="auto"/>
            <w:tcBorders>
              <w:top w:val="nil"/>
            </w:tcBorders>
            <w:tcMar>
              <w:top w:w="150" w:type="dxa"/>
              <w:left w:w="240" w:type="dxa"/>
              <w:bottom w:w="150" w:type="dxa"/>
              <w:right w:w="240" w:type="dxa"/>
            </w:tcMar>
            <w:vAlign w:val="center"/>
            <w:hideMark/>
          </w:tcPr>
          <w:p w14:paraId="7CBD4C77" w14:textId="77777777" w:rsidR="008A11FC" w:rsidRDefault="008A11FC">
            <w:pPr>
              <w:spacing w:line="375" w:lineRule="atLeast"/>
              <w:rPr>
                <w:rFonts w:ascii="Segoe UI" w:hAnsi="Segoe UI" w:cs="Segoe UI"/>
                <w:sz w:val="23"/>
                <w:szCs w:val="23"/>
              </w:rPr>
            </w:pPr>
            <w:r>
              <w:rPr>
                <w:rFonts w:ascii="Segoe UI" w:hAnsi="Segoe UI" w:cs="Segoe UI"/>
                <w:sz w:val="23"/>
                <w:szCs w:val="23"/>
              </w:rPr>
              <w:t>Potential Application to Parramatta Light Rail Context</w:t>
            </w:r>
          </w:p>
        </w:tc>
      </w:tr>
      <w:tr w:rsidR="008A11FC" w14:paraId="4B6D65CD" w14:textId="77777777">
        <w:tc>
          <w:tcPr>
            <w:tcW w:w="0" w:type="auto"/>
            <w:tcMar>
              <w:top w:w="150" w:type="dxa"/>
              <w:left w:w="0" w:type="dxa"/>
              <w:bottom w:w="150" w:type="dxa"/>
              <w:right w:w="240" w:type="dxa"/>
            </w:tcMar>
            <w:vAlign w:val="center"/>
            <w:hideMark/>
          </w:tcPr>
          <w:p w14:paraId="6B898513" w14:textId="77777777" w:rsidR="008A11FC" w:rsidRDefault="008A11FC">
            <w:pPr>
              <w:spacing w:line="375" w:lineRule="atLeast"/>
              <w:rPr>
                <w:rFonts w:ascii="Segoe UI" w:hAnsi="Segoe UI" w:cs="Segoe UI"/>
                <w:sz w:val="23"/>
                <w:szCs w:val="23"/>
              </w:rPr>
            </w:pPr>
            <w:r>
              <w:rPr>
                <w:rStyle w:val="Strong"/>
                <w:rFonts w:ascii="Segoe UI" w:hAnsi="Segoe UI" w:cs="Segoe UI"/>
                <w:sz w:val="23"/>
                <w:szCs w:val="23"/>
              </w:rPr>
              <w:t>Melbourne Metro Tunnel (Utilities)</w:t>
            </w:r>
          </w:p>
        </w:tc>
        <w:tc>
          <w:tcPr>
            <w:tcW w:w="0" w:type="auto"/>
            <w:tcMar>
              <w:top w:w="150" w:type="dxa"/>
              <w:left w:w="240" w:type="dxa"/>
              <w:bottom w:w="150" w:type="dxa"/>
              <w:right w:w="240" w:type="dxa"/>
            </w:tcMar>
            <w:vAlign w:val="center"/>
            <w:hideMark/>
          </w:tcPr>
          <w:p w14:paraId="15C32889" w14:textId="77777777" w:rsidR="008A11FC" w:rsidRDefault="008A11FC">
            <w:pPr>
              <w:spacing w:line="375" w:lineRule="atLeast"/>
              <w:rPr>
                <w:rFonts w:ascii="Segoe UI" w:hAnsi="Segoe UI" w:cs="Segoe UI"/>
                <w:sz w:val="23"/>
                <w:szCs w:val="23"/>
              </w:rPr>
            </w:pPr>
            <w:r>
              <w:rPr>
                <w:rFonts w:ascii="Segoe UI" w:hAnsi="Segoe UI" w:cs="Segoe UI"/>
                <w:sz w:val="23"/>
                <w:szCs w:val="23"/>
              </w:rPr>
              <w:t>Proactive Utility Investigation &amp; Engagement (PUIE)</w:t>
            </w:r>
          </w:p>
        </w:tc>
        <w:tc>
          <w:tcPr>
            <w:tcW w:w="0" w:type="auto"/>
            <w:tcMar>
              <w:top w:w="150" w:type="dxa"/>
              <w:left w:w="240" w:type="dxa"/>
              <w:bottom w:w="150" w:type="dxa"/>
              <w:right w:w="240" w:type="dxa"/>
            </w:tcMar>
            <w:vAlign w:val="center"/>
            <w:hideMark/>
          </w:tcPr>
          <w:p w14:paraId="7AF6C258" w14:textId="77777777" w:rsidR="008A11FC" w:rsidRDefault="008A11FC">
            <w:pPr>
              <w:spacing w:line="375" w:lineRule="atLeast"/>
              <w:rPr>
                <w:rFonts w:ascii="Segoe UI" w:hAnsi="Segoe UI" w:cs="Segoe UI"/>
                <w:sz w:val="23"/>
                <w:szCs w:val="23"/>
              </w:rPr>
            </w:pPr>
            <w:r>
              <w:rPr>
                <w:rFonts w:ascii="Segoe UI" w:hAnsi="Segoe UI" w:cs="Segoe UI"/>
                <w:sz w:val="23"/>
                <w:szCs w:val="23"/>
              </w:rPr>
              <w:t>- Early establishment of a utility coordination team.</w:t>
            </w:r>
            <w:r>
              <w:rPr>
                <w:rFonts w:ascii="Segoe UI" w:hAnsi="Segoe UI" w:cs="Segoe UI"/>
                <w:sz w:val="23"/>
                <w:szCs w:val="23"/>
              </w:rPr>
              <w:br/>
              <w:t>- Investment in advanced subsurface investigation to create a "Below-Ground BIM".</w:t>
            </w:r>
          </w:p>
        </w:tc>
        <w:tc>
          <w:tcPr>
            <w:tcW w:w="0" w:type="auto"/>
            <w:tcMar>
              <w:top w:w="150" w:type="dxa"/>
              <w:left w:w="240" w:type="dxa"/>
              <w:bottom w:w="150" w:type="dxa"/>
              <w:right w:w="0" w:type="dxa"/>
            </w:tcMar>
            <w:vAlign w:val="center"/>
            <w:hideMark/>
          </w:tcPr>
          <w:p w14:paraId="678A9B1C" w14:textId="77777777" w:rsidR="008A11FC" w:rsidRDefault="008A11FC">
            <w:pPr>
              <w:spacing w:line="375" w:lineRule="atLeast"/>
              <w:rPr>
                <w:rFonts w:ascii="Segoe UI" w:hAnsi="Segoe UI" w:cs="Segoe UI"/>
                <w:sz w:val="23"/>
                <w:szCs w:val="23"/>
              </w:rPr>
            </w:pPr>
            <w:r>
              <w:rPr>
                <w:rFonts w:ascii="Segoe UI" w:hAnsi="Segoe UI" w:cs="Segoe UI"/>
                <w:sz w:val="23"/>
                <w:szCs w:val="23"/>
              </w:rPr>
              <w:t>Integrate utility providers into the Alliance/DPC contract from inception. Mandate a comprehensive subsurface investigation package during the reference design phase.</w:t>
            </w:r>
          </w:p>
        </w:tc>
      </w:tr>
      <w:tr w:rsidR="008A11FC" w14:paraId="58FF0D4F" w14:textId="77777777">
        <w:tc>
          <w:tcPr>
            <w:tcW w:w="0" w:type="auto"/>
            <w:tcMar>
              <w:top w:w="150" w:type="dxa"/>
              <w:left w:w="0" w:type="dxa"/>
              <w:bottom w:w="150" w:type="dxa"/>
              <w:right w:w="240" w:type="dxa"/>
            </w:tcMar>
            <w:vAlign w:val="center"/>
            <w:hideMark/>
          </w:tcPr>
          <w:p w14:paraId="3EE74124" w14:textId="77777777" w:rsidR="008A11FC" w:rsidRDefault="008A11FC">
            <w:pPr>
              <w:spacing w:line="375" w:lineRule="atLeast"/>
              <w:rPr>
                <w:rFonts w:ascii="Segoe UI" w:hAnsi="Segoe UI" w:cs="Segoe UI"/>
                <w:sz w:val="23"/>
                <w:szCs w:val="23"/>
              </w:rPr>
            </w:pPr>
            <w:r>
              <w:rPr>
                <w:rStyle w:val="Strong"/>
                <w:rFonts w:ascii="Segoe UI" w:hAnsi="Segoe UI" w:cs="Segoe UI"/>
                <w:sz w:val="23"/>
                <w:szCs w:val="23"/>
              </w:rPr>
              <w:t>Copenhagen City Ring (Stakeholders)</w:t>
            </w:r>
          </w:p>
        </w:tc>
        <w:tc>
          <w:tcPr>
            <w:tcW w:w="0" w:type="auto"/>
            <w:tcMar>
              <w:top w:w="150" w:type="dxa"/>
              <w:left w:w="240" w:type="dxa"/>
              <w:bottom w:w="150" w:type="dxa"/>
              <w:right w:w="240" w:type="dxa"/>
            </w:tcMar>
            <w:vAlign w:val="center"/>
            <w:hideMark/>
          </w:tcPr>
          <w:p w14:paraId="48BAC97C" w14:textId="77777777" w:rsidR="008A11FC" w:rsidRDefault="008A11FC">
            <w:pPr>
              <w:spacing w:line="375" w:lineRule="atLeast"/>
              <w:rPr>
                <w:rFonts w:ascii="Segoe UI" w:hAnsi="Segoe UI" w:cs="Segoe UI"/>
                <w:sz w:val="23"/>
                <w:szCs w:val="23"/>
              </w:rPr>
            </w:pPr>
            <w:r>
              <w:rPr>
                <w:rFonts w:ascii="Segoe UI" w:hAnsi="Segoe UI" w:cs="Segoe UI"/>
                <w:sz w:val="23"/>
                <w:szCs w:val="23"/>
              </w:rPr>
              <w:t>Immersive Engagement &amp; Business Support</w:t>
            </w:r>
          </w:p>
        </w:tc>
        <w:tc>
          <w:tcPr>
            <w:tcW w:w="0" w:type="auto"/>
            <w:tcMar>
              <w:top w:w="150" w:type="dxa"/>
              <w:left w:w="240" w:type="dxa"/>
              <w:bottom w:w="150" w:type="dxa"/>
              <w:right w:w="240" w:type="dxa"/>
            </w:tcMar>
            <w:vAlign w:val="center"/>
            <w:hideMark/>
          </w:tcPr>
          <w:p w14:paraId="40D077DB" w14:textId="77777777" w:rsidR="008A11FC" w:rsidRDefault="008A11FC">
            <w:pPr>
              <w:spacing w:line="375" w:lineRule="atLeast"/>
              <w:rPr>
                <w:rFonts w:ascii="Segoe UI" w:hAnsi="Segoe UI" w:cs="Segoe UI"/>
                <w:sz w:val="23"/>
                <w:szCs w:val="23"/>
              </w:rPr>
            </w:pPr>
            <w:r>
              <w:rPr>
                <w:rFonts w:ascii="Segoe UI" w:hAnsi="Segoe UI" w:cs="Segoe UI"/>
                <w:sz w:val="23"/>
                <w:szCs w:val="23"/>
              </w:rPr>
              <w:t>- Central, accessible public information centre.</w:t>
            </w:r>
            <w:r>
              <w:rPr>
                <w:rFonts w:ascii="Segoe UI" w:hAnsi="Segoe UI" w:cs="Segoe UI"/>
                <w:sz w:val="23"/>
                <w:szCs w:val="23"/>
              </w:rPr>
              <w:br/>
              <w:t>- Independent, proactive business continuity advisory service.</w:t>
            </w:r>
          </w:p>
        </w:tc>
        <w:tc>
          <w:tcPr>
            <w:tcW w:w="0" w:type="auto"/>
            <w:tcMar>
              <w:top w:w="150" w:type="dxa"/>
              <w:left w:w="240" w:type="dxa"/>
              <w:bottom w:w="150" w:type="dxa"/>
              <w:right w:w="0" w:type="dxa"/>
            </w:tcMar>
            <w:vAlign w:val="center"/>
            <w:hideMark/>
          </w:tcPr>
          <w:p w14:paraId="1892F649" w14:textId="77777777" w:rsidR="008A11FC" w:rsidRDefault="008A11FC">
            <w:pPr>
              <w:spacing w:line="375" w:lineRule="atLeast"/>
              <w:rPr>
                <w:rFonts w:ascii="Segoe UI" w:hAnsi="Segoe UI" w:cs="Segoe UI"/>
                <w:sz w:val="23"/>
                <w:szCs w:val="23"/>
              </w:rPr>
            </w:pPr>
            <w:r>
              <w:rPr>
                <w:rFonts w:ascii="Segoe UI" w:hAnsi="Segoe UI" w:cs="Segoe UI"/>
                <w:sz w:val="23"/>
                <w:szCs w:val="23"/>
              </w:rPr>
              <w:t>Establish a "PLR Community Hub" in the CBD. Create a business adaptation fund and advisory panel, managed independently of the contractor.</w:t>
            </w:r>
          </w:p>
        </w:tc>
      </w:tr>
      <w:tr w:rsidR="008A11FC" w14:paraId="558E68D2" w14:textId="77777777">
        <w:tc>
          <w:tcPr>
            <w:tcW w:w="0" w:type="auto"/>
            <w:tcMar>
              <w:top w:w="150" w:type="dxa"/>
              <w:left w:w="0" w:type="dxa"/>
              <w:bottom w:w="150" w:type="dxa"/>
              <w:right w:w="240" w:type="dxa"/>
            </w:tcMar>
            <w:vAlign w:val="center"/>
            <w:hideMark/>
          </w:tcPr>
          <w:p w14:paraId="4BAE71C8" w14:textId="77777777" w:rsidR="008A11FC" w:rsidRDefault="008A11FC">
            <w:pPr>
              <w:spacing w:line="375" w:lineRule="atLeast"/>
              <w:rPr>
                <w:rFonts w:ascii="Segoe UI" w:hAnsi="Segoe UI" w:cs="Segoe UI"/>
                <w:sz w:val="23"/>
                <w:szCs w:val="23"/>
              </w:rPr>
            </w:pPr>
            <w:proofErr w:type="spellStart"/>
            <w:r>
              <w:rPr>
                <w:rStyle w:val="Strong"/>
                <w:rFonts w:ascii="Segoe UI" w:hAnsi="Segoe UI" w:cs="Segoe UI"/>
                <w:sz w:val="23"/>
                <w:szCs w:val="23"/>
              </w:rPr>
              <w:t>Crossrail</w:t>
            </w:r>
            <w:proofErr w:type="spellEnd"/>
            <w:r>
              <w:rPr>
                <w:rStyle w:val="Strong"/>
                <w:rFonts w:ascii="Segoe UI" w:hAnsi="Segoe UI" w:cs="Segoe UI"/>
                <w:sz w:val="23"/>
                <w:szCs w:val="23"/>
              </w:rPr>
              <w:t>, UK (Digital Delivery)</w:t>
            </w:r>
          </w:p>
        </w:tc>
        <w:tc>
          <w:tcPr>
            <w:tcW w:w="0" w:type="auto"/>
            <w:tcMar>
              <w:top w:w="150" w:type="dxa"/>
              <w:left w:w="240" w:type="dxa"/>
              <w:bottom w:w="150" w:type="dxa"/>
              <w:right w:w="240" w:type="dxa"/>
            </w:tcMar>
            <w:vAlign w:val="center"/>
            <w:hideMark/>
          </w:tcPr>
          <w:p w14:paraId="7E4FD693" w14:textId="77777777" w:rsidR="008A11FC" w:rsidRDefault="008A11FC">
            <w:pPr>
              <w:spacing w:line="375" w:lineRule="atLeast"/>
              <w:rPr>
                <w:rFonts w:ascii="Segoe UI" w:hAnsi="Segoe UI" w:cs="Segoe UI"/>
                <w:sz w:val="23"/>
                <w:szCs w:val="23"/>
              </w:rPr>
            </w:pPr>
            <w:r>
              <w:rPr>
                <w:rFonts w:ascii="Segoe UI" w:hAnsi="Segoe UI" w:cs="Segoe UI"/>
                <w:sz w:val="23"/>
                <w:szCs w:val="23"/>
              </w:rPr>
              <w:t>Project Information Model (PIM) &amp; Digital Twin</w:t>
            </w:r>
          </w:p>
        </w:tc>
        <w:tc>
          <w:tcPr>
            <w:tcW w:w="0" w:type="auto"/>
            <w:tcMar>
              <w:top w:w="150" w:type="dxa"/>
              <w:left w:w="240" w:type="dxa"/>
              <w:bottom w:w="150" w:type="dxa"/>
              <w:right w:w="240" w:type="dxa"/>
            </w:tcMar>
            <w:vAlign w:val="center"/>
            <w:hideMark/>
          </w:tcPr>
          <w:p w14:paraId="57E7CC32" w14:textId="77777777" w:rsidR="008A11FC" w:rsidRDefault="008A11FC">
            <w:pPr>
              <w:spacing w:line="375" w:lineRule="atLeast"/>
              <w:rPr>
                <w:rFonts w:ascii="Segoe UI" w:hAnsi="Segoe UI" w:cs="Segoe UI"/>
                <w:sz w:val="23"/>
                <w:szCs w:val="23"/>
              </w:rPr>
            </w:pPr>
            <w:r>
              <w:rPr>
                <w:rFonts w:ascii="Segoe UI" w:hAnsi="Segoe UI" w:cs="Segoe UI"/>
                <w:sz w:val="23"/>
                <w:szCs w:val="23"/>
              </w:rPr>
              <w:t>- A single source of truth for all project data, from design to handover.</w:t>
            </w:r>
            <w:r>
              <w:rPr>
                <w:rFonts w:ascii="Segoe UI" w:hAnsi="Segoe UI" w:cs="Segoe UI"/>
                <w:sz w:val="23"/>
                <w:szCs w:val="23"/>
              </w:rPr>
              <w:br/>
              <w:t>- Live data integration for performance monitoring.</w:t>
            </w:r>
          </w:p>
        </w:tc>
        <w:tc>
          <w:tcPr>
            <w:tcW w:w="0" w:type="auto"/>
            <w:tcMar>
              <w:top w:w="150" w:type="dxa"/>
              <w:left w:w="240" w:type="dxa"/>
              <w:bottom w:w="150" w:type="dxa"/>
              <w:right w:w="0" w:type="dxa"/>
            </w:tcMar>
            <w:vAlign w:val="center"/>
            <w:hideMark/>
          </w:tcPr>
          <w:p w14:paraId="729191AC" w14:textId="77777777" w:rsidR="008A11FC" w:rsidRDefault="008A11FC">
            <w:pPr>
              <w:spacing w:line="375" w:lineRule="atLeast"/>
              <w:rPr>
                <w:rFonts w:ascii="Segoe UI" w:hAnsi="Segoe UI" w:cs="Segoe UI"/>
                <w:sz w:val="23"/>
                <w:szCs w:val="23"/>
              </w:rPr>
            </w:pPr>
            <w:r>
              <w:rPr>
                <w:rFonts w:ascii="Segoe UI" w:hAnsi="Segoe UI" w:cs="Segoe UI"/>
                <w:sz w:val="23"/>
                <w:szCs w:val="23"/>
              </w:rPr>
              <w:t>Develop a PLR Digital Twin from the outset, integrating design, utility, scheduling, and stakeholder complaint data for predictive analytics.</w:t>
            </w:r>
          </w:p>
        </w:tc>
      </w:tr>
    </w:tbl>
    <w:p w14:paraId="53582B83" w14:textId="77777777" w:rsidR="008A11FC" w:rsidRDefault="008A11FC" w:rsidP="008A11FC">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lastRenderedPageBreak/>
        <w:t>5. Emerging Opportunities and Future Development</w:t>
      </w:r>
    </w:p>
    <w:p w14:paraId="788A17A7" w14:textId="77777777" w:rsidR="008A11FC" w:rsidRDefault="008A11FC" w:rsidP="008A11F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lessons from the PLR are a catalyst for change, highlighting several emerging opportunities that can redefine project delivery.</w:t>
      </w:r>
    </w:p>
    <w:p w14:paraId="64BA646A" w14:textId="77777777" w:rsidR="008A11FC" w:rsidRDefault="008A11FC" w:rsidP="008A11FC">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5.1 Digital Twins and Advanced BIM</w:t>
      </w:r>
      <w:r>
        <w:rPr>
          <w:rFonts w:ascii="Segoe UI" w:hAnsi="Segoe UI" w:cs="Segoe UI"/>
          <w:color w:val="0F1115"/>
        </w:rPr>
        <w:br/>
        <w:t>Moving beyond 3D design models, a </w:t>
      </w:r>
      <w:r>
        <w:rPr>
          <w:rStyle w:val="Strong"/>
          <w:rFonts w:ascii="Segoe UI" w:eastAsiaTheme="majorEastAsia" w:hAnsi="Segoe UI" w:cs="Segoe UI"/>
          <w:color w:val="0F1115"/>
        </w:rPr>
        <w:t>Digital Twin</w:t>
      </w:r>
      <w:r>
        <w:rPr>
          <w:rFonts w:ascii="Segoe UI" w:hAnsi="Segoe UI" w:cs="Segoe UI"/>
          <w:color w:val="0F1115"/>
        </w:rPr>
        <w:t>—a dynamic, data-rich virtual replica of the physical asset—is the paramount opportunity. For a project like PLR, a twin integrating GIS, utility data, real-time construction progress, and even traffic and pedestrian flow models would have allowed planners to:</w:t>
      </w:r>
    </w:p>
    <w:p w14:paraId="5DAB355C" w14:textId="77777777" w:rsidR="008A11FC" w:rsidRDefault="008A11FC" w:rsidP="008A11FC">
      <w:pPr>
        <w:pStyle w:val="ds-markdown-paragraph"/>
        <w:numPr>
          <w:ilvl w:val="0"/>
          <w:numId w:val="12"/>
        </w:numPr>
        <w:shd w:val="clear" w:color="auto" w:fill="FFFFFF"/>
        <w:spacing w:before="0" w:beforeAutospacing="0" w:after="0" w:afterAutospacing="0"/>
        <w:rPr>
          <w:rFonts w:ascii="Segoe UI" w:hAnsi="Segoe UI" w:cs="Segoe UI"/>
          <w:color w:val="0F1115"/>
        </w:rPr>
      </w:pPr>
      <w:r>
        <w:rPr>
          <w:rFonts w:ascii="Segoe UI" w:hAnsi="Segoe UI" w:cs="Segoe UI"/>
          <w:color w:val="0F1115"/>
        </w:rPr>
        <w:t>Simulate and optimise construction sequencing to minimise disruption.</w:t>
      </w:r>
    </w:p>
    <w:p w14:paraId="0C2AF81F" w14:textId="77777777" w:rsidR="008A11FC" w:rsidRDefault="008A11FC" w:rsidP="008A11FC">
      <w:pPr>
        <w:pStyle w:val="ds-markdown-paragraph"/>
        <w:numPr>
          <w:ilvl w:val="0"/>
          <w:numId w:val="12"/>
        </w:numPr>
        <w:shd w:val="clear" w:color="auto" w:fill="FFFFFF"/>
        <w:spacing w:before="0" w:beforeAutospacing="0" w:after="0" w:afterAutospacing="0"/>
        <w:rPr>
          <w:rFonts w:ascii="Segoe UI" w:hAnsi="Segoe UI" w:cs="Segoe UI"/>
          <w:color w:val="0F1115"/>
        </w:rPr>
      </w:pPr>
      <w:r>
        <w:rPr>
          <w:rFonts w:ascii="Segoe UI" w:hAnsi="Segoe UI" w:cs="Segoe UI"/>
          <w:color w:val="0F1115"/>
        </w:rPr>
        <w:t>Visually communicate the project's phases and impacts to stakeholders in an intuitive manner.</w:t>
      </w:r>
    </w:p>
    <w:p w14:paraId="677D6DBD" w14:textId="77777777" w:rsidR="008A11FC" w:rsidRDefault="008A11FC" w:rsidP="008A11FC">
      <w:pPr>
        <w:pStyle w:val="ds-markdown-paragraph"/>
        <w:numPr>
          <w:ilvl w:val="0"/>
          <w:numId w:val="12"/>
        </w:numPr>
        <w:shd w:val="clear" w:color="auto" w:fill="FFFFFF"/>
        <w:spacing w:before="0" w:beforeAutospacing="0" w:after="0" w:afterAutospacing="0"/>
        <w:rPr>
          <w:rFonts w:ascii="Segoe UI" w:hAnsi="Segoe UI" w:cs="Segoe UI"/>
          <w:color w:val="0F1115"/>
        </w:rPr>
      </w:pPr>
      <w:r>
        <w:rPr>
          <w:rFonts w:ascii="Segoe UI" w:hAnsi="Segoe UI" w:cs="Segoe UI"/>
          <w:color w:val="0F1115"/>
        </w:rPr>
        <w:t>Predict utility conflict hotspots by overlaying design models with probabilistic subsurface data.</w:t>
      </w:r>
    </w:p>
    <w:p w14:paraId="51E7D981" w14:textId="77777777" w:rsidR="008A11FC" w:rsidRDefault="008A11FC" w:rsidP="008A11FC">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5.2 Lean Construction and Last Planner System®</w:t>
      </w:r>
      <w:r>
        <w:rPr>
          <w:rFonts w:ascii="Segoe UI" w:hAnsi="Segoe UI" w:cs="Segoe UI"/>
          <w:color w:val="0F1115"/>
        </w:rPr>
        <w:br/>
        <w:t>The adversarial relationships and delays point to a need for more collaborative project delivery models. Embracing </w:t>
      </w:r>
      <w:r>
        <w:rPr>
          <w:rStyle w:val="Strong"/>
          <w:rFonts w:ascii="Segoe UI" w:eastAsiaTheme="majorEastAsia" w:hAnsi="Segoe UI" w:cs="Segoe UI"/>
          <w:color w:val="0F1115"/>
        </w:rPr>
        <w:t>Lean Construction</w:t>
      </w:r>
      <w:r>
        <w:rPr>
          <w:rFonts w:ascii="Segoe UI" w:hAnsi="Segoe UI" w:cs="Segoe UI"/>
          <w:color w:val="0F1115"/>
        </w:rPr>
        <w:t> principles and the </w:t>
      </w:r>
      <w:r>
        <w:rPr>
          <w:rStyle w:val="Strong"/>
          <w:rFonts w:ascii="Segoe UI" w:eastAsiaTheme="majorEastAsia" w:hAnsi="Segoe UI" w:cs="Segoe UI"/>
          <w:color w:val="0F1115"/>
        </w:rPr>
        <w:t>Last Planner System® (LPS)</w:t>
      </w:r>
      <w:r>
        <w:rPr>
          <w:rFonts w:ascii="Segoe UI" w:hAnsi="Segoe UI" w:cs="Segoe UI"/>
          <w:color w:val="0F1115"/>
        </w:rPr>
        <w:t> can create a more reliable workflow.</w:t>
      </w:r>
    </w:p>
    <w:p w14:paraId="46900EA4" w14:textId="77777777" w:rsidR="008A11FC" w:rsidRDefault="008A11FC" w:rsidP="008A11FC">
      <w:pPr>
        <w:pStyle w:val="ds-markdown-paragraph"/>
        <w:numPr>
          <w:ilvl w:val="0"/>
          <w:numId w:val="13"/>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Opportunity:</w:t>
      </w:r>
      <w:r>
        <w:rPr>
          <w:rFonts w:ascii="Segoe UI" w:hAnsi="Segoe UI" w:cs="Segoe UI"/>
          <w:color w:val="0F1115"/>
        </w:rPr>
        <w:t xml:space="preserve"> LPS involves all stakeholders (including subcontractors and utility reps) in weekly "make-ready" planning to identify and remove constraints, ensuring work can actually be executed as planned. This directly attacks the root cause of utility and coordination delays by fostering shared responsibility and transparency (Forgues &amp; </w:t>
      </w:r>
      <w:proofErr w:type="spellStart"/>
      <w:r>
        <w:rPr>
          <w:rFonts w:ascii="Segoe UI" w:hAnsi="Segoe UI" w:cs="Segoe UI"/>
          <w:color w:val="0F1115"/>
        </w:rPr>
        <w:t>Boton</w:t>
      </w:r>
      <w:proofErr w:type="spellEnd"/>
      <w:r>
        <w:rPr>
          <w:rFonts w:ascii="Segoe UI" w:hAnsi="Segoe UI" w:cs="Segoe UI"/>
          <w:color w:val="0F1115"/>
        </w:rPr>
        <w:t>, 2023).</w:t>
      </w:r>
    </w:p>
    <w:p w14:paraId="1F8E8F2F" w14:textId="77777777" w:rsidR="008A11FC" w:rsidRDefault="008A11FC" w:rsidP="008A11FC">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5.3 Modular Integrated Construction (</w:t>
      </w:r>
      <w:proofErr w:type="spellStart"/>
      <w:r>
        <w:rPr>
          <w:rStyle w:val="Strong"/>
          <w:rFonts w:ascii="Segoe UI" w:eastAsiaTheme="majorEastAsia" w:hAnsi="Segoe UI" w:cs="Segoe UI"/>
          <w:color w:val="0F1115"/>
        </w:rPr>
        <w:t>MiC</w:t>
      </w:r>
      <w:proofErr w:type="spellEnd"/>
      <w:r>
        <w:rPr>
          <w:rStyle w:val="Strong"/>
          <w:rFonts w:ascii="Segoe UI" w:eastAsiaTheme="majorEastAsia" w:hAnsi="Segoe UI" w:cs="Segoe UI"/>
          <w:color w:val="0F1115"/>
        </w:rPr>
        <w:t>) for Station Fit-out</w:t>
      </w:r>
      <w:r>
        <w:rPr>
          <w:rFonts w:ascii="Segoe UI" w:hAnsi="Segoe UI" w:cs="Segoe UI"/>
          <w:color w:val="0F1115"/>
        </w:rPr>
        <w:br/>
        <w:t>While the track alignment is site-intensive, opportunities for off-site manufacturing exist. Using </w:t>
      </w:r>
      <w:proofErr w:type="spellStart"/>
      <w:r>
        <w:rPr>
          <w:rStyle w:val="Strong"/>
          <w:rFonts w:ascii="Segoe UI" w:eastAsiaTheme="majorEastAsia" w:hAnsi="Segoe UI" w:cs="Segoe UI"/>
          <w:color w:val="0F1115"/>
        </w:rPr>
        <w:t>MiC</w:t>
      </w:r>
      <w:proofErr w:type="spellEnd"/>
      <w:r>
        <w:rPr>
          <w:rFonts w:ascii="Segoe UI" w:hAnsi="Segoe UI" w:cs="Segoe UI"/>
          <w:color w:val="0F1115"/>
        </w:rPr>
        <w:t> for station enclosures, amenities, and even fit-outs could have dramatically reduced on-site construction time and disruption in the sensitive CBD area.</w:t>
      </w:r>
    </w:p>
    <w:p w14:paraId="3B17BD3D" w14:textId="77777777" w:rsidR="008A11FC" w:rsidRDefault="008A11FC" w:rsidP="008A11FC">
      <w:pPr>
        <w:pStyle w:val="ds-markdown-paragraph"/>
        <w:numPr>
          <w:ilvl w:val="0"/>
          <w:numId w:val="14"/>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Opportunity:</w:t>
      </w:r>
      <w:r>
        <w:rPr>
          <w:rFonts w:ascii="Segoe UI" w:hAnsi="Segoe UI" w:cs="Segoe UI"/>
          <w:color w:val="0F1115"/>
        </w:rPr>
        <w:t> Pre-fabricated station modules, fitted with interiors, cladding, and MEP services, can be lifted into place in a matter of days, rather than the months required for traditional construction. This compresses schedules and significantly reduces the footprint and duration of on-site activity.</w:t>
      </w:r>
    </w:p>
    <w:p w14:paraId="18C3ABB9" w14:textId="77777777" w:rsidR="008A11FC" w:rsidRDefault="008A11FC" w:rsidP="008A11FC">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6. Conclusion</w:t>
      </w:r>
    </w:p>
    <w:p w14:paraId="259F9487" w14:textId="77777777" w:rsidR="008A11FC" w:rsidRDefault="008A11FC" w:rsidP="008A11F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The Parramatta Light Rail project is a microcosm of the Australian construction industry's struggle with urban complexity. Its grand challenges—utility diversion, stakeholder management, and delivery performance—were not independent failures </w:t>
      </w:r>
      <w:r>
        <w:rPr>
          <w:rFonts w:ascii="Segoe UI" w:hAnsi="Segoe UI" w:cs="Segoe UI"/>
          <w:color w:val="0F1115"/>
        </w:rPr>
        <w:lastRenderedPageBreak/>
        <w:t>but symptoms of a deeply interconnected system lacking in proactive digital management, collaborative culture, and innovative construction techniques. The analysis demonstrates that technical problems inevitably trigger managerial and commercial crises in such environments.</w:t>
      </w:r>
    </w:p>
    <w:p w14:paraId="7611BAFC" w14:textId="77777777" w:rsidR="008A11FC" w:rsidRDefault="008A11FC" w:rsidP="008A11F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However, this case study is not a story of defeat, but one of imperative. It provides a clear mandate for the industry to evolve. By systematically adopting the emerging opportunities of Digital Twins, Lean collaborative practices, and Modular Construction, future projects can break the vicious cycles witnessed in Parramatta. The PLR's legacy, therefore, should not only be a new transit line but a fundamental shift in how Australia plans, delivers, and integrates its future urban infrastructure.</w:t>
      </w:r>
    </w:p>
    <w:p w14:paraId="213F3B60" w14:textId="77777777" w:rsidR="008A11FC" w:rsidRDefault="00000000" w:rsidP="008A11FC">
      <w:pPr>
        <w:spacing w:before="480" w:after="480"/>
        <w:rPr>
          <w:rFonts w:ascii="Segoe UI" w:hAnsi="Segoe UI" w:cs="Segoe UI"/>
        </w:rPr>
      </w:pPr>
      <w:r>
        <w:pict w14:anchorId="6F908759">
          <v:rect id="_x0000_i1027" style="width:0;height:.75pt" o:hralign="center" o:hrstd="t" o:hr="t" fillcolor="#a0a0a0" stroked="f"/>
        </w:pict>
      </w:r>
    </w:p>
    <w:p w14:paraId="11D5A606" w14:textId="77777777" w:rsidR="008A11FC" w:rsidRDefault="008A11FC" w:rsidP="008A11FC">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References</w:t>
      </w:r>
    </w:p>
    <w:p w14:paraId="4C4EE6FB" w14:textId="77777777" w:rsidR="008A11FC" w:rsidRDefault="008A11FC" w:rsidP="008A11F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Bendixen, M., &amp; Thygesen, K. (2020). </w:t>
      </w:r>
      <w:r>
        <w:rPr>
          <w:rStyle w:val="Emphasis"/>
          <w:rFonts w:ascii="Segoe UI" w:eastAsiaTheme="majorEastAsia" w:hAnsi="Segoe UI" w:cs="Segoe UI"/>
          <w:color w:val="0F1115"/>
        </w:rPr>
        <w:t>Stakeholder Management in Mega Projects: The Copenhagen City Ring Case</w:t>
      </w:r>
      <w:r>
        <w:rPr>
          <w:rFonts w:ascii="Segoe UI" w:hAnsi="Segoe UI" w:cs="Segoe UI"/>
          <w:color w:val="0F1115"/>
        </w:rPr>
        <w:t>. Routledge.</w:t>
      </w:r>
    </w:p>
    <w:p w14:paraId="0A000ADF" w14:textId="77777777" w:rsidR="008A11FC" w:rsidRDefault="008A11FC" w:rsidP="008A11F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Forgues, D., &amp; </w:t>
      </w:r>
      <w:proofErr w:type="spellStart"/>
      <w:r>
        <w:rPr>
          <w:rFonts w:ascii="Segoe UI" w:hAnsi="Segoe UI" w:cs="Segoe UI"/>
          <w:color w:val="0F1115"/>
        </w:rPr>
        <w:t>Boton</w:t>
      </w:r>
      <w:proofErr w:type="spellEnd"/>
      <w:r>
        <w:rPr>
          <w:rFonts w:ascii="Segoe UI" w:hAnsi="Segoe UI" w:cs="Segoe UI"/>
          <w:color w:val="0F1115"/>
        </w:rPr>
        <w:t>, C. (2023). 'Integrating Lean and BIM for improved constraint management in complex projects'. </w:t>
      </w:r>
      <w:r>
        <w:rPr>
          <w:rStyle w:val="Emphasis"/>
          <w:rFonts w:ascii="Segoe UI" w:eastAsiaTheme="majorEastAsia" w:hAnsi="Segoe UI" w:cs="Segoe UI"/>
          <w:color w:val="0F1115"/>
        </w:rPr>
        <w:t>Automation in Construction</w:t>
      </w:r>
      <w:r>
        <w:rPr>
          <w:rFonts w:ascii="Segoe UI" w:hAnsi="Segoe UI" w:cs="Segoe UI"/>
          <w:color w:val="0F1115"/>
        </w:rPr>
        <w:t>, *147*, 104697.</w:t>
      </w:r>
    </w:p>
    <w:p w14:paraId="3EADBEC4" w14:textId="77777777" w:rsidR="008A11FC" w:rsidRDefault="008A11FC" w:rsidP="008A11F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Infrastructure NSW. (2024). *Annual Report on Major Projects 2023-24*. NSW Government.</w:t>
      </w:r>
    </w:p>
    <w:p w14:paraId="2A7C300F" w14:textId="77777777" w:rsidR="008A11FC" w:rsidRDefault="008A11FC" w:rsidP="008A11F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NSW Government. (2023). </w:t>
      </w:r>
      <w:r>
        <w:rPr>
          <w:rStyle w:val="Emphasis"/>
          <w:rFonts w:ascii="Segoe UI" w:eastAsiaTheme="majorEastAsia" w:hAnsi="Segoe UI" w:cs="Segoe UI"/>
          <w:color w:val="0F1115"/>
        </w:rPr>
        <w:t>Parramatta Light Rail Stage 1: Project Overview</w:t>
      </w:r>
      <w:r>
        <w:rPr>
          <w:rFonts w:ascii="Segoe UI" w:hAnsi="Segoe UI" w:cs="Segoe UI"/>
          <w:color w:val="0F1115"/>
        </w:rPr>
        <w:t>. Transport for NSW. Retrieved from </w:t>
      </w:r>
      <w:hyperlink r:id="rId7" w:tgtFrame="_blank" w:history="1">
        <w:r>
          <w:rPr>
            <w:rStyle w:val="Hyperlink"/>
            <w:rFonts w:ascii="Segoe UI" w:eastAsiaTheme="majorEastAsia" w:hAnsi="Segoe UI" w:cs="Segoe UI"/>
            <w:color w:val="3964FE"/>
            <w:bdr w:val="single" w:sz="12" w:space="0" w:color="auto" w:frame="1"/>
          </w:rPr>
          <w:t>https://www.parramattalightrail.nsw.gov.au</w:t>
        </w:r>
      </w:hyperlink>
    </w:p>
    <w:p w14:paraId="794C7488" w14:textId="77777777" w:rsidR="008A11FC" w:rsidRDefault="008A11FC" w:rsidP="008A11F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Pearson, A., &amp; Lim, J. (2024, February 10). 'Parramatta's pain: How the light rail tore up the city'. </w:t>
      </w:r>
      <w:r>
        <w:rPr>
          <w:rStyle w:val="Emphasis"/>
          <w:rFonts w:ascii="Segoe UI" w:eastAsiaTheme="majorEastAsia" w:hAnsi="Segoe UI" w:cs="Segoe UI"/>
          <w:color w:val="0F1115"/>
        </w:rPr>
        <w:t>The Sydney Morning Herald</w:t>
      </w:r>
      <w:r>
        <w:rPr>
          <w:rFonts w:ascii="Segoe UI" w:hAnsi="Segoe UI" w:cs="Segoe UI"/>
          <w:color w:val="0F1115"/>
        </w:rPr>
        <w:t>. Retrieved from </w:t>
      </w:r>
      <w:hyperlink r:id="rId8" w:tgtFrame="_blank" w:history="1">
        <w:r>
          <w:rPr>
            <w:rStyle w:val="Hyperlink"/>
            <w:rFonts w:ascii="Segoe UI" w:eastAsiaTheme="majorEastAsia" w:hAnsi="Segoe UI" w:cs="Segoe UI"/>
            <w:color w:val="3964FE"/>
            <w:bdr w:val="single" w:sz="12" w:space="0" w:color="auto" w:frame="1"/>
          </w:rPr>
          <w:t>https://www.smh.com.au</w:t>
        </w:r>
      </w:hyperlink>
    </w:p>
    <w:p w14:paraId="051F7162" w14:textId="77777777" w:rsidR="008A11FC" w:rsidRDefault="008A11FC" w:rsidP="008A11F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Rail Projects Victoria. (2022). </w:t>
      </w:r>
      <w:r>
        <w:rPr>
          <w:rStyle w:val="Emphasis"/>
          <w:rFonts w:ascii="Segoe UI" w:eastAsiaTheme="majorEastAsia" w:hAnsi="Segoe UI" w:cs="Segoe UI"/>
          <w:color w:val="0F1115"/>
        </w:rPr>
        <w:t>Melbourne Metro Tunnel Project: Lessons Learnt on Utility Management</w:t>
      </w:r>
      <w:r>
        <w:rPr>
          <w:rFonts w:ascii="Segoe UI" w:hAnsi="Segoe UI" w:cs="Segoe UI"/>
          <w:color w:val="0F1115"/>
        </w:rPr>
        <w:t>. State of Victoria.</w:t>
      </w:r>
    </w:p>
    <w:p w14:paraId="054AB280" w14:textId="79ECCD67" w:rsidR="00C13BF4" w:rsidRPr="00E04C82" w:rsidRDefault="00C13BF4" w:rsidP="00BD0E9E"/>
    <w:sectPr w:rsidR="00C13BF4" w:rsidRPr="00E04C82">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20164" w14:textId="77777777" w:rsidR="00610CA2" w:rsidRDefault="00610CA2" w:rsidP="00A67186">
      <w:pPr>
        <w:spacing w:after="0" w:line="240" w:lineRule="auto"/>
      </w:pPr>
      <w:r>
        <w:separator/>
      </w:r>
    </w:p>
  </w:endnote>
  <w:endnote w:type="continuationSeparator" w:id="0">
    <w:p w14:paraId="1EA7268B" w14:textId="77777777" w:rsidR="00610CA2" w:rsidRDefault="00610CA2" w:rsidP="00A67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013672"/>
      <w:docPartObj>
        <w:docPartGallery w:val="Page Numbers (Bottom of Page)"/>
        <w:docPartUnique/>
      </w:docPartObj>
    </w:sdtPr>
    <w:sdtEndPr>
      <w:rPr>
        <w:noProof/>
      </w:rPr>
    </w:sdtEndPr>
    <w:sdtContent>
      <w:p w14:paraId="3308C6E6" w14:textId="30D378DE" w:rsidR="00A67186" w:rsidRDefault="00A671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AEB2E8" w14:textId="77777777" w:rsidR="00A67186" w:rsidRDefault="00A671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A76EE" w14:textId="77777777" w:rsidR="00610CA2" w:rsidRDefault="00610CA2" w:rsidP="00A67186">
      <w:pPr>
        <w:spacing w:after="0" w:line="240" w:lineRule="auto"/>
      </w:pPr>
      <w:r>
        <w:separator/>
      </w:r>
    </w:p>
  </w:footnote>
  <w:footnote w:type="continuationSeparator" w:id="0">
    <w:p w14:paraId="7CC17E6F" w14:textId="77777777" w:rsidR="00610CA2" w:rsidRDefault="00610CA2" w:rsidP="00A67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0AD6"/>
    <w:multiLevelType w:val="multilevel"/>
    <w:tmpl w:val="AB0A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1C13AA"/>
    <w:multiLevelType w:val="multilevel"/>
    <w:tmpl w:val="3B2E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502A0"/>
    <w:multiLevelType w:val="multilevel"/>
    <w:tmpl w:val="D2AE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51E19"/>
    <w:multiLevelType w:val="multilevel"/>
    <w:tmpl w:val="C9D6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503711"/>
    <w:multiLevelType w:val="multilevel"/>
    <w:tmpl w:val="CB981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01461F"/>
    <w:multiLevelType w:val="multilevel"/>
    <w:tmpl w:val="BCD0F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CD1127"/>
    <w:multiLevelType w:val="multilevel"/>
    <w:tmpl w:val="7B8E6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337F00"/>
    <w:multiLevelType w:val="multilevel"/>
    <w:tmpl w:val="D8AC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914FB4"/>
    <w:multiLevelType w:val="multilevel"/>
    <w:tmpl w:val="0474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AC7454"/>
    <w:multiLevelType w:val="multilevel"/>
    <w:tmpl w:val="1F92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3A60C1"/>
    <w:multiLevelType w:val="multilevel"/>
    <w:tmpl w:val="0A80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A572CD"/>
    <w:multiLevelType w:val="multilevel"/>
    <w:tmpl w:val="C312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7B5877"/>
    <w:multiLevelType w:val="multilevel"/>
    <w:tmpl w:val="28D4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A521C2"/>
    <w:multiLevelType w:val="multilevel"/>
    <w:tmpl w:val="6CF0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506195">
    <w:abstractNumId w:val="4"/>
  </w:num>
  <w:num w:numId="2" w16cid:durableId="821698845">
    <w:abstractNumId w:val="6"/>
  </w:num>
  <w:num w:numId="3" w16cid:durableId="1500922540">
    <w:abstractNumId w:val="3"/>
  </w:num>
  <w:num w:numId="4" w16cid:durableId="207767914">
    <w:abstractNumId w:val="0"/>
  </w:num>
  <w:num w:numId="5" w16cid:durableId="1618871916">
    <w:abstractNumId w:val="5"/>
  </w:num>
  <w:num w:numId="6" w16cid:durableId="831600699">
    <w:abstractNumId w:val="7"/>
  </w:num>
  <w:num w:numId="7" w16cid:durableId="819927118">
    <w:abstractNumId w:val="11"/>
  </w:num>
  <w:num w:numId="8" w16cid:durableId="1836339821">
    <w:abstractNumId w:val="1"/>
  </w:num>
  <w:num w:numId="9" w16cid:durableId="877275635">
    <w:abstractNumId w:val="12"/>
  </w:num>
  <w:num w:numId="10" w16cid:durableId="163475279">
    <w:abstractNumId w:val="10"/>
  </w:num>
  <w:num w:numId="11" w16cid:durableId="660743435">
    <w:abstractNumId w:val="9"/>
  </w:num>
  <w:num w:numId="12" w16cid:durableId="1334062966">
    <w:abstractNumId w:val="13"/>
  </w:num>
  <w:num w:numId="13" w16cid:durableId="1416509605">
    <w:abstractNumId w:val="2"/>
  </w:num>
  <w:num w:numId="14" w16cid:durableId="6846755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3tLAwMzCxNDG1MDRV0lEKTi0uzszPAykwqwUAiSd0tiwAAAA="/>
  </w:docVars>
  <w:rsids>
    <w:rsidRoot w:val="00AE4A1F"/>
    <w:rsid w:val="000333AF"/>
    <w:rsid w:val="000772F3"/>
    <w:rsid w:val="000A09D0"/>
    <w:rsid w:val="0018356D"/>
    <w:rsid w:val="00233DAC"/>
    <w:rsid w:val="00281372"/>
    <w:rsid w:val="00310F89"/>
    <w:rsid w:val="00381A3D"/>
    <w:rsid w:val="00390A91"/>
    <w:rsid w:val="00414F14"/>
    <w:rsid w:val="00435D88"/>
    <w:rsid w:val="00441EBF"/>
    <w:rsid w:val="004455D4"/>
    <w:rsid w:val="0046371B"/>
    <w:rsid w:val="00494234"/>
    <w:rsid w:val="005D722F"/>
    <w:rsid w:val="00610CA2"/>
    <w:rsid w:val="00801B2A"/>
    <w:rsid w:val="00846E8A"/>
    <w:rsid w:val="008A11FC"/>
    <w:rsid w:val="008F2E42"/>
    <w:rsid w:val="00934A3F"/>
    <w:rsid w:val="00960508"/>
    <w:rsid w:val="009E501F"/>
    <w:rsid w:val="00A67186"/>
    <w:rsid w:val="00AE4A1F"/>
    <w:rsid w:val="00B12850"/>
    <w:rsid w:val="00B54D89"/>
    <w:rsid w:val="00BC7ACE"/>
    <w:rsid w:val="00BD0E9E"/>
    <w:rsid w:val="00C00B0B"/>
    <w:rsid w:val="00C13BF4"/>
    <w:rsid w:val="00C76BEF"/>
    <w:rsid w:val="00DF6186"/>
    <w:rsid w:val="00E04C82"/>
    <w:rsid w:val="00E4299C"/>
    <w:rsid w:val="00EE674A"/>
    <w:rsid w:val="00F01CAB"/>
    <w:rsid w:val="00F14A52"/>
    <w:rsid w:val="00F877F1"/>
    <w:rsid w:val="00FA279E"/>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026E"/>
  <w15:chartTrackingRefBased/>
  <w15:docId w15:val="{6BB7E37E-4310-4629-BD2D-BDD76DA51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4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4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4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4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A1F"/>
    <w:rPr>
      <w:rFonts w:eastAsiaTheme="majorEastAsia" w:cstheme="majorBidi"/>
      <w:color w:val="272727" w:themeColor="text1" w:themeTint="D8"/>
    </w:rPr>
  </w:style>
  <w:style w:type="paragraph" w:styleId="Title">
    <w:name w:val="Title"/>
    <w:basedOn w:val="Normal"/>
    <w:next w:val="Normal"/>
    <w:link w:val="TitleChar"/>
    <w:uiPriority w:val="10"/>
    <w:qFormat/>
    <w:rsid w:val="00AE4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A1F"/>
    <w:pPr>
      <w:spacing w:before="160"/>
      <w:jc w:val="center"/>
    </w:pPr>
    <w:rPr>
      <w:i/>
      <w:iCs/>
      <w:color w:val="404040" w:themeColor="text1" w:themeTint="BF"/>
    </w:rPr>
  </w:style>
  <w:style w:type="character" w:customStyle="1" w:styleId="QuoteChar">
    <w:name w:val="Quote Char"/>
    <w:basedOn w:val="DefaultParagraphFont"/>
    <w:link w:val="Quote"/>
    <w:uiPriority w:val="29"/>
    <w:rsid w:val="00AE4A1F"/>
    <w:rPr>
      <w:i/>
      <w:iCs/>
      <w:color w:val="404040" w:themeColor="text1" w:themeTint="BF"/>
    </w:rPr>
  </w:style>
  <w:style w:type="paragraph" w:styleId="ListParagraph">
    <w:name w:val="List Paragraph"/>
    <w:basedOn w:val="Normal"/>
    <w:uiPriority w:val="34"/>
    <w:qFormat/>
    <w:rsid w:val="00AE4A1F"/>
    <w:pPr>
      <w:ind w:left="720"/>
      <w:contextualSpacing/>
    </w:pPr>
  </w:style>
  <w:style w:type="character" w:styleId="IntenseEmphasis">
    <w:name w:val="Intense Emphasis"/>
    <w:basedOn w:val="DefaultParagraphFont"/>
    <w:uiPriority w:val="21"/>
    <w:qFormat/>
    <w:rsid w:val="00AE4A1F"/>
    <w:rPr>
      <w:i/>
      <w:iCs/>
      <w:color w:val="0F4761" w:themeColor="accent1" w:themeShade="BF"/>
    </w:rPr>
  </w:style>
  <w:style w:type="paragraph" w:styleId="IntenseQuote">
    <w:name w:val="Intense Quote"/>
    <w:basedOn w:val="Normal"/>
    <w:next w:val="Normal"/>
    <w:link w:val="IntenseQuoteChar"/>
    <w:uiPriority w:val="30"/>
    <w:qFormat/>
    <w:rsid w:val="00AE4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A1F"/>
    <w:rPr>
      <w:i/>
      <w:iCs/>
      <w:color w:val="0F4761" w:themeColor="accent1" w:themeShade="BF"/>
    </w:rPr>
  </w:style>
  <w:style w:type="character" w:styleId="IntenseReference">
    <w:name w:val="Intense Reference"/>
    <w:basedOn w:val="DefaultParagraphFont"/>
    <w:uiPriority w:val="32"/>
    <w:qFormat/>
    <w:rsid w:val="00AE4A1F"/>
    <w:rPr>
      <w:b/>
      <w:bCs/>
      <w:smallCaps/>
      <w:color w:val="0F4761" w:themeColor="accent1" w:themeShade="BF"/>
      <w:spacing w:val="5"/>
    </w:rPr>
  </w:style>
  <w:style w:type="paragraph" w:styleId="NormalWeb">
    <w:name w:val="Normal (Web)"/>
    <w:basedOn w:val="Normal"/>
    <w:uiPriority w:val="99"/>
    <w:semiHidden/>
    <w:unhideWhenUsed/>
    <w:rsid w:val="000772F3"/>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styleId="Header">
    <w:name w:val="header"/>
    <w:basedOn w:val="Normal"/>
    <w:link w:val="HeaderChar"/>
    <w:uiPriority w:val="99"/>
    <w:unhideWhenUsed/>
    <w:rsid w:val="00A671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186"/>
  </w:style>
  <w:style w:type="paragraph" w:styleId="Footer">
    <w:name w:val="footer"/>
    <w:basedOn w:val="Normal"/>
    <w:link w:val="FooterChar"/>
    <w:uiPriority w:val="99"/>
    <w:unhideWhenUsed/>
    <w:rsid w:val="00A671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186"/>
  </w:style>
  <w:style w:type="character" w:styleId="Strong">
    <w:name w:val="Strong"/>
    <w:basedOn w:val="DefaultParagraphFont"/>
    <w:uiPriority w:val="22"/>
    <w:qFormat/>
    <w:rsid w:val="005D722F"/>
    <w:rPr>
      <w:b/>
      <w:bCs/>
    </w:rPr>
  </w:style>
  <w:style w:type="character" w:styleId="Hyperlink">
    <w:name w:val="Hyperlink"/>
    <w:basedOn w:val="DefaultParagraphFont"/>
    <w:uiPriority w:val="99"/>
    <w:semiHidden/>
    <w:unhideWhenUsed/>
    <w:rsid w:val="005D722F"/>
    <w:rPr>
      <w:color w:val="0000FF"/>
      <w:u w:val="single"/>
    </w:rPr>
  </w:style>
  <w:style w:type="paragraph" w:customStyle="1" w:styleId="ds-markdown-paragraph">
    <w:name w:val="ds-markdown-paragraph"/>
    <w:basedOn w:val="Normal"/>
    <w:rsid w:val="008A11FC"/>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Emphasis">
    <w:name w:val="Emphasis"/>
    <w:basedOn w:val="DefaultParagraphFont"/>
    <w:uiPriority w:val="20"/>
    <w:qFormat/>
    <w:rsid w:val="008A11F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mh.com.au/" TargetMode="External"/><Relationship Id="rId3" Type="http://schemas.openxmlformats.org/officeDocument/2006/relationships/settings" Target="settings.xml"/><Relationship Id="rId7" Type="http://schemas.openxmlformats.org/officeDocument/2006/relationships/hyperlink" Target="https://www.parramattalightrail.nsw.gov.a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8</Pages>
  <Words>2059</Words>
  <Characters>12922</Characters>
  <Application>Microsoft Office Word</Application>
  <DocSecurity>0</DocSecurity>
  <Lines>362</Lines>
  <Paragraphs>84</Paragraphs>
  <ScaleCrop>false</ScaleCrop>
  <Company/>
  <LinksUpToDate>false</LinksUpToDate>
  <CharactersWithSpaces>14906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Milad Mousavi</dc:creator>
  <cp:keywords/>
  <dc:description/>
  <cp:lastModifiedBy>Milad Mousavi</cp:lastModifiedBy>
  <cp:revision>14</cp:revision>
  <dcterms:created xsi:type="dcterms:W3CDTF">2025-10-12T05:00:00Z</dcterms:created>
  <dcterms:modified xsi:type="dcterms:W3CDTF">2025-10-26T04:13:00Z</dcterms:modified>
</cp:coreProperties>
</file>