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1272"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Navigating Complexity: A Critical Analysis of the Snowy 2.0 Project and the Path to Industry Resilience</w:t>
      </w:r>
    </w:p>
    <w:p w14:paraId="5B398098"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6</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27 November 2025</w:t>
      </w:r>
    </w:p>
    <w:p w14:paraId="57ED4731"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44D115BE"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Snowy 2.0 Pumped Hydro Project represents a cornerstone of Australia's transition to a renewable energy future. However, its delivery has been plagued by a confluence of grand challenges that offer critical lessons for the construction industry. This report provides a comprehensive analysis of these challenges, identifying three core domains: profound geological uncertainties, crippling logistical constraints within a sensitive alpine environment, and severe project cost and schedule performance issues. A systems-based analysis reveals these are not isolated but are intrinsically linked through reinforcing feedback loops, where geotechnical surprises trigger logistical and financial crises. A comparative review of best practices from the Gotthard Base Tunnel (Switzerland) and the Qingdao </w:t>
      </w:r>
      <w:proofErr w:type="spellStart"/>
      <w:r>
        <w:rPr>
          <w:rFonts w:ascii="Segoe UI" w:hAnsi="Segoe UI" w:cs="Segoe UI"/>
          <w:color w:val="0F1115"/>
        </w:rPr>
        <w:t>Jiaozhou</w:t>
      </w:r>
      <w:proofErr w:type="spellEnd"/>
      <w:r>
        <w:rPr>
          <w:rFonts w:ascii="Segoe UI" w:hAnsi="Segoe UI" w:cs="Segoe UI"/>
          <w:color w:val="0F1115"/>
        </w:rPr>
        <w:t xml:space="preserve"> Bay Tunnel (China) highlights the imperative of proactive geological risk management and real-time data integration. The report concludes by articulating a strategic framework for future resilience, advocating for the adoption of Project Digital Twins, the implementation of collaborative contractual models like Alliancing, and the targeted use of emerging tunnelling technologies. The experience of Snowy 2.0 is positioned not as a failure, but as a necessary catalyst for the industry to evolve towards more adaptive, digital, and collaborative delivery paradigms.</w:t>
      </w:r>
    </w:p>
    <w:p w14:paraId="28F08F03"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 Introduction</w:t>
      </w:r>
    </w:p>
    <w:p w14:paraId="2FAB3EBB"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global imperative for decarbonisation has thrust large-scale energy infrastructure projects into the spotlight. In Australia, the </w:t>
      </w:r>
      <w:r>
        <w:rPr>
          <w:rStyle w:val="Strong"/>
          <w:rFonts w:ascii="Segoe UI" w:eastAsiaTheme="majorEastAsia" w:hAnsi="Segoe UI" w:cs="Segoe UI"/>
          <w:color w:val="0F1115"/>
        </w:rPr>
        <w:t>Snowy 2.0 Pumped Hydro Project</w:t>
      </w:r>
      <w:r>
        <w:rPr>
          <w:rFonts w:ascii="Segoe UI" w:hAnsi="Segoe UI" w:cs="Segoe UI"/>
          <w:color w:val="0F1115"/>
        </w:rPr>
        <w:t> stands as a nation-building initiative of unprecedented ambition, designed to provide 2,000 MW of dispatchable generation and 350,000 MWh of storage to stabilise the national grid (Snowy Hydro, 2023). Yet, the project has become synonymous with the systemic challenges that bedevil the delivery of complex megaprojects. Its journey, marked by substantial cost escalations and protracted delays, provides a critical case study for examining the grand challenges facing the Australian construction industry.</w:t>
      </w:r>
    </w:p>
    <w:p w14:paraId="57926133"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This report conducts a forensic examination of the Snowy 2.0 project. It moves beyond a superficial catalogue of problems to deliver a critical analysis of the root causes and, more importantly, the dynamic interconnections between its technical, managerial, and environmental challenges. The investigation is grounded in a review of international best practices, providing a comparative lens to identify strategic shortcomings and proven alternative approaches. Ultimately, this report synthesises these lessons into a forward-looking discussion on emerging opportunities. It argues that the future competitiveness and capability of the Australian construction industry depend on its ability to institutionalise the lessons from Snowy 2.0, embracing digitalisation, collaborative procurement, and technological innovation to navigate the inherent complexities of tomorrow's infrastructure landscape.</w:t>
      </w:r>
    </w:p>
    <w:p w14:paraId="25A7D67E"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Identification of Main Challenges</w:t>
      </w:r>
    </w:p>
    <w:p w14:paraId="32DC6801"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Snowy 2.0 has been a masterclass in managing extreme complexity across multiple fronts. The primary challenges can be categorised into three deeply interconnected domains.</w:t>
      </w:r>
    </w:p>
    <w:p w14:paraId="4C8ECC19"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Geological and Geotechnical Uncertainties</w:t>
      </w:r>
      <w:r>
        <w:rPr>
          <w:rFonts w:ascii="Segoe UI" w:hAnsi="Segoe UI" w:cs="Segoe UI"/>
          <w:color w:val="0F1115"/>
        </w:rPr>
        <w:br/>
        <w:t>The project's extensive underground works, including 27 kilometres of tunnels and a massive underground power station, have been severely impacted by adverse and unpredictable ground conditions. The geological model, developed during feasibility, has been consistently challenged by reality.</w:t>
      </w:r>
    </w:p>
    <w:p w14:paraId="1D38BDD7" w14:textId="77777777" w:rsidR="009D036D" w:rsidRDefault="009D036D" w:rsidP="009D036D">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The Tunnel Boring Machine (TBM), "Florence," has encountered extensive zones of soft, friable rock and major fault zones, leading to multiple protracted stoppages. A significant incident involved a cave-in ahead of the TBM face, trapping the machine for months and requiring a complex and dangerous recovery operation involving ground freezing and manual excavation (Harley, 2024). These conditions have led to dramatically reduced advance rates, sometimes falling to less than 10% of optimal performance.</w:t>
      </w:r>
    </w:p>
    <w:p w14:paraId="24D7A405" w14:textId="77777777" w:rsidR="009D036D" w:rsidRDefault="009D036D" w:rsidP="009D036D">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inherent difficulty of accurately characterising a complex geological formation from limited borehole data. The variable nature of the rock mass, interspersed with fault gouge (crushed rock) and zones of low strength, presented conditions for which the TBM was not optimally configured, leading to over-excavation and face instability.</w:t>
      </w:r>
    </w:p>
    <w:p w14:paraId="7FBC0F28"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2.2 Logistical and Environmental Constraints</w:t>
      </w:r>
      <w:r>
        <w:rPr>
          <w:rFonts w:ascii="Segoe UI" w:hAnsi="Segoe UI" w:cs="Segoe UI"/>
          <w:color w:val="0F1115"/>
        </w:rPr>
        <w:br/>
        <w:t>The project's location within the sensitive alpine ecosystem of Kosciuszko National Park imposes a unique set of constraints that amplify other challenges.</w:t>
      </w:r>
    </w:p>
    <w:p w14:paraId="6C9E6C56" w14:textId="77777777" w:rsidR="009D036D" w:rsidRDefault="009D036D" w:rsidP="009D036D">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xml:space="preserve"> Transporting massive TBM components and turbine parts required extensive road upgrades and complex convoy operations. The </w:t>
      </w:r>
      <w:r>
        <w:rPr>
          <w:rFonts w:ascii="Segoe UI" w:hAnsi="Segoe UI" w:cs="Segoe UI"/>
          <w:color w:val="0F1115"/>
        </w:rPr>
        <w:lastRenderedPageBreak/>
        <w:t>short construction season is further truncated by harsh winter conditions, including heavy snowfall that halts all transportation and outdoor work. Environmental protections mandate strict controls on water discharge, waste management, and the preservation of native flora and fauna, adding layers of regulatory compliance and limiting worksite footprints (Department of Planning and Environment, 2023).</w:t>
      </w:r>
    </w:p>
    <w:p w14:paraId="14AF145C" w14:textId="77777777" w:rsidR="009D036D" w:rsidRDefault="009D036D" w:rsidP="009D036D">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remote and topographically challenging location, combined with the highest level of environmental regulation applicable to a National Park. This creates a scenario where the logistics of responding to a problem, such as delivering extra grouting material for a geological fault, are exponentially more complex and costly than on an urban project.</w:t>
      </w:r>
    </w:p>
    <w:p w14:paraId="1BACBD4E"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Project Management and Commercial Performance</w:t>
      </w:r>
      <w:r>
        <w:rPr>
          <w:rFonts w:ascii="Segoe UI" w:hAnsi="Segoe UI" w:cs="Segoe UI"/>
          <w:color w:val="0F1115"/>
        </w:rPr>
        <w:br/>
        <w:t>The interplay of the above challenges has manifested in severe impacts on the project's budget and schedule, threatening its public value proposition.</w:t>
      </w:r>
    </w:p>
    <w:p w14:paraId="4CE70F6F" w14:textId="77777777" w:rsidR="009D036D" w:rsidRDefault="009D036D" w:rsidP="009D036D">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The project's capital cost estimate has ballooned from approximately $2 billion to over $12 billion (Snowy Hydro, 2024). The completion timeline has been extended by several years, delaying the realisation of critical energy security benefits. These overruns have attracted significant political and public scrutiny.</w:t>
      </w:r>
    </w:p>
    <w:p w14:paraId="5747F4B5" w14:textId="77777777" w:rsidR="009D036D" w:rsidRDefault="009D036D" w:rsidP="009D036D">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primary drivers are the cumulative critical path delays from TBM stoppages, the enormous cost of unplanned recovery works and ground support, and the general inefficiency of operating in a high-risk, stop-start environment. The remote location further inflates all costs, from labour to materials.</w:t>
      </w:r>
    </w:p>
    <w:p w14:paraId="7E83A65B"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1: Taxonomy of Grand Challenges in the Snowy 2.0 Project</w:t>
      </w:r>
    </w:p>
    <w:tbl>
      <w:tblPr>
        <w:tblW w:w="0" w:type="auto"/>
        <w:tblCellMar>
          <w:top w:w="15" w:type="dxa"/>
          <w:left w:w="15" w:type="dxa"/>
          <w:bottom w:w="15" w:type="dxa"/>
          <w:right w:w="15" w:type="dxa"/>
        </w:tblCellMar>
        <w:tblLook w:val="04A0" w:firstRow="1" w:lastRow="0" w:firstColumn="1" w:lastColumn="0" w:noHBand="0" w:noVBand="1"/>
      </w:tblPr>
      <w:tblGrid>
        <w:gridCol w:w="1987"/>
        <w:gridCol w:w="2371"/>
        <w:gridCol w:w="2522"/>
        <w:gridCol w:w="2146"/>
      </w:tblGrid>
      <w:tr w:rsidR="009D036D" w14:paraId="74495EFA" w14:textId="77777777">
        <w:trPr>
          <w:tblHeader/>
        </w:trPr>
        <w:tc>
          <w:tcPr>
            <w:tcW w:w="0" w:type="auto"/>
            <w:tcBorders>
              <w:top w:val="nil"/>
            </w:tcBorders>
            <w:tcMar>
              <w:top w:w="150" w:type="dxa"/>
              <w:left w:w="0" w:type="dxa"/>
              <w:bottom w:w="150" w:type="dxa"/>
              <w:right w:w="240" w:type="dxa"/>
            </w:tcMar>
            <w:vAlign w:val="center"/>
            <w:hideMark/>
          </w:tcPr>
          <w:p w14:paraId="1B91F2C3" w14:textId="77777777" w:rsidR="009D036D" w:rsidRDefault="009D036D">
            <w:pPr>
              <w:spacing w:line="375" w:lineRule="atLeast"/>
              <w:rPr>
                <w:rFonts w:ascii="Segoe UI" w:hAnsi="Segoe UI" w:cs="Segoe UI"/>
                <w:sz w:val="23"/>
                <w:szCs w:val="23"/>
              </w:rPr>
            </w:pPr>
            <w:r>
              <w:rPr>
                <w:rFonts w:ascii="Segoe UI" w:hAnsi="Segoe UI" w:cs="Segoe UI"/>
                <w:sz w:val="23"/>
                <w:szCs w:val="23"/>
              </w:rPr>
              <w:t>Challenge Domain</w:t>
            </w:r>
          </w:p>
        </w:tc>
        <w:tc>
          <w:tcPr>
            <w:tcW w:w="0" w:type="auto"/>
            <w:tcBorders>
              <w:top w:val="nil"/>
            </w:tcBorders>
            <w:tcMar>
              <w:top w:w="150" w:type="dxa"/>
              <w:left w:w="240" w:type="dxa"/>
              <w:bottom w:w="150" w:type="dxa"/>
              <w:right w:w="240" w:type="dxa"/>
            </w:tcMar>
            <w:vAlign w:val="center"/>
            <w:hideMark/>
          </w:tcPr>
          <w:p w14:paraId="491AE680" w14:textId="77777777" w:rsidR="009D036D" w:rsidRDefault="009D036D">
            <w:pPr>
              <w:spacing w:line="375" w:lineRule="atLeast"/>
              <w:rPr>
                <w:rFonts w:ascii="Segoe UI" w:hAnsi="Segoe UI" w:cs="Segoe UI"/>
                <w:sz w:val="23"/>
                <w:szCs w:val="23"/>
              </w:rPr>
            </w:pPr>
            <w:r>
              <w:rPr>
                <w:rFonts w:ascii="Segoe UI" w:hAnsi="Segoe UI" w:cs="Segoe UI"/>
                <w:sz w:val="23"/>
                <w:szCs w:val="23"/>
              </w:rPr>
              <w:t>Specific Manifestations</w:t>
            </w:r>
          </w:p>
        </w:tc>
        <w:tc>
          <w:tcPr>
            <w:tcW w:w="0" w:type="auto"/>
            <w:tcBorders>
              <w:top w:val="nil"/>
            </w:tcBorders>
            <w:tcMar>
              <w:top w:w="150" w:type="dxa"/>
              <w:left w:w="240" w:type="dxa"/>
              <w:bottom w:w="150" w:type="dxa"/>
              <w:right w:w="240" w:type="dxa"/>
            </w:tcMar>
            <w:vAlign w:val="center"/>
            <w:hideMark/>
          </w:tcPr>
          <w:p w14:paraId="2809972A" w14:textId="77777777" w:rsidR="009D036D" w:rsidRDefault="009D036D">
            <w:pPr>
              <w:spacing w:line="375" w:lineRule="atLeast"/>
              <w:rPr>
                <w:rFonts w:ascii="Segoe UI" w:hAnsi="Segoe UI" w:cs="Segoe UI"/>
                <w:sz w:val="23"/>
                <w:szCs w:val="23"/>
              </w:rPr>
            </w:pPr>
            <w:r>
              <w:rPr>
                <w:rFonts w:ascii="Segoe UI" w:hAnsi="Segoe UI" w:cs="Segoe UI"/>
                <w:sz w:val="23"/>
                <w:szCs w:val="23"/>
              </w:rPr>
              <w:t>Underlying Root Causes</w:t>
            </w:r>
          </w:p>
        </w:tc>
        <w:tc>
          <w:tcPr>
            <w:tcW w:w="0" w:type="auto"/>
            <w:tcBorders>
              <w:top w:val="nil"/>
            </w:tcBorders>
            <w:tcMar>
              <w:top w:w="150" w:type="dxa"/>
              <w:left w:w="240" w:type="dxa"/>
              <w:bottom w:w="150" w:type="dxa"/>
              <w:right w:w="240" w:type="dxa"/>
            </w:tcMar>
            <w:vAlign w:val="center"/>
            <w:hideMark/>
          </w:tcPr>
          <w:p w14:paraId="12F8F7DC" w14:textId="77777777" w:rsidR="009D036D" w:rsidRDefault="009D036D">
            <w:pPr>
              <w:spacing w:line="375" w:lineRule="atLeast"/>
              <w:rPr>
                <w:rFonts w:ascii="Segoe UI" w:hAnsi="Segoe UI" w:cs="Segoe UI"/>
                <w:sz w:val="23"/>
                <w:szCs w:val="23"/>
              </w:rPr>
            </w:pPr>
            <w:r>
              <w:rPr>
                <w:rFonts w:ascii="Segoe UI" w:hAnsi="Segoe UI" w:cs="Segoe UI"/>
                <w:sz w:val="23"/>
                <w:szCs w:val="23"/>
              </w:rPr>
              <w:t>Direct Project Impact</w:t>
            </w:r>
          </w:p>
        </w:tc>
      </w:tr>
      <w:tr w:rsidR="009D036D" w14:paraId="6F9719E6" w14:textId="77777777">
        <w:tc>
          <w:tcPr>
            <w:tcW w:w="0" w:type="auto"/>
            <w:tcMar>
              <w:top w:w="150" w:type="dxa"/>
              <w:left w:w="0" w:type="dxa"/>
              <w:bottom w:w="150" w:type="dxa"/>
              <w:right w:w="240" w:type="dxa"/>
            </w:tcMar>
            <w:vAlign w:val="center"/>
            <w:hideMark/>
          </w:tcPr>
          <w:p w14:paraId="3DCD9588"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t>Geological Uncertainty</w:t>
            </w:r>
          </w:p>
        </w:tc>
        <w:tc>
          <w:tcPr>
            <w:tcW w:w="0" w:type="auto"/>
            <w:tcMar>
              <w:top w:w="150" w:type="dxa"/>
              <w:left w:w="240" w:type="dxa"/>
              <w:bottom w:w="150" w:type="dxa"/>
              <w:right w:w="240" w:type="dxa"/>
            </w:tcMar>
            <w:vAlign w:val="center"/>
            <w:hideMark/>
          </w:tcPr>
          <w:p w14:paraId="12EE4DDD" w14:textId="77777777" w:rsidR="009D036D" w:rsidRDefault="009D036D">
            <w:pPr>
              <w:spacing w:line="375" w:lineRule="atLeast"/>
              <w:rPr>
                <w:rFonts w:ascii="Segoe UI" w:hAnsi="Segoe UI" w:cs="Segoe UI"/>
                <w:sz w:val="23"/>
                <w:szCs w:val="23"/>
              </w:rPr>
            </w:pPr>
            <w:r>
              <w:rPr>
                <w:rFonts w:ascii="Segoe UI" w:hAnsi="Segoe UI" w:cs="Segoe UI"/>
                <w:sz w:val="23"/>
                <w:szCs w:val="23"/>
              </w:rPr>
              <w:t>- TBM entrapment in soft ground.</w:t>
            </w:r>
            <w:r>
              <w:rPr>
                <w:rFonts w:ascii="Segoe UI" w:hAnsi="Segoe UI" w:cs="Segoe UI"/>
                <w:sz w:val="23"/>
                <w:szCs w:val="23"/>
              </w:rPr>
              <w:br/>
              <w:t>- Reduced advance rates in fault zones.</w:t>
            </w:r>
            <w:r>
              <w:rPr>
                <w:rFonts w:ascii="Segoe UI" w:hAnsi="Segoe UI" w:cs="Segoe UI"/>
                <w:sz w:val="23"/>
                <w:szCs w:val="23"/>
              </w:rPr>
              <w:br/>
              <w:t>- Significant water ingress.</w:t>
            </w:r>
          </w:p>
        </w:tc>
        <w:tc>
          <w:tcPr>
            <w:tcW w:w="0" w:type="auto"/>
            <w:tcMar>
              <w:top w:w="150" w:type="dxa"/>
              <w:left w:w="240" w:type="dxa"/>
              <w:bottom w:w="150" w:type="dxa"/>
              <w:right w:w="240" w:type="dxa"/>
            </w:tcMar>
            <w:vAlign w:val="center"/>
            <w:hideMark/>
          </w:tcPr>
          <w:p w14:paraId="5B2DC763" w14:textId="77777777" w:rsidR="009D036D" w:rsidRDefault="009D036D">
            <w:pPr>
              <w:spacing w:line="375" w:lineRule="atLeast"/>
              <w:rPr>
                <w:rFonts w:ascii="Segoe UI" w:hAnsi="Segoe UI" w:cs="Segoe UI"/>
                <w:sz w:val="23"/>
                <w:szCs w:val="23"/>
              </w:rPr>
            </w:pPr>
            <w:r>
              <w:rPr>
                <w:rFonts w:ascii="Segoe UI" w:hAnsi="Segoe UI" w:cs="Segoe UI"/>
                <w:sz w:val="23"/>
                <w:szCs w:val="23"/>
              </w:rPr>
              <w:t>- Limitations of pre-construction site investigation.</w:t>
            </w:r>
            <w:r>
              <w:rPr>
                <w:rFonts w:ascii="Segoe UI" w:hAnsi="Segoe UI" w:cs="Segoe UI"/>
                <w:sz w:val="23"/>
                <w:szCs w:val="23"/>
              </w:rPr>
              <w:br/>
              <w:t>- Complex, variable geology.</w:t>
            </w:r>
            <w:r>
              <w:rPr>
                <w:rFonts w:ascii="Segoe UI" w:hAnsi="Segoe UI" w:cs="Segoe UI"/>
                <w:sz w:val="23"/>
                <w:szCs w:val="23"/>
              </w:rPr>
              <w:br/>
              <w:t xml:space="preserve">- TBM not optimised for </w:t>
            </w:r>
            <w:r>
              <w:rPr>
                <w:rFonts w:ascii="Segoe UI" w:hAnsi="Segoe UI" w:cs="Segoe UI"/>
                <w:sz w:val="23"/>
                <w:szCs w:val="23"/>
              </w:rPr>
              <w:lastRenderedPageBreak/>
              <w:t>worst-case conditions.</w:t>
            </w:r>
          </w:p>
        </w:tc>
        <w:tc>
          <w:tcPr>
            <w:tcW w:w="0" w:type="auto"/>
            <w:tcMar>
              <w:top w:w="150" w:type="dxa"/>
              <w:left w:w="240" w:type="dxa"/>
              <w:bottom w:w="150" w:type="dxa"/>
              <w:right w:w="0" w:type="dxa"/>
            </w:tcMar>
            <w:vAlign w:val="center"/>
            <w:hideMark/>
          </w:tcPr>
          <w:p w14:paraId="06471256" w14:textId="77777777" w:rsidR="009D036D" w:rsidRDefault="009D036D">
            <w:pPr>
              <w:spacing w:line="375" w:lineRule="atLeast"/>
              <w:rPr>
                <w:rFonts w:ascii="Segoe UI" w:hAnsi="Segoe UI" w:cs="Segoe UI"/>
                <w:sz w:val="23"/>
                <w:szCs w:val="23"/>
              </w:rPr>
            </w:pPr>
            <w:r>
              <w:rPr>
                <w:rFonts w:ascii="Segoe UI" w:hAnsi="Segoe UI" w:cs="Segoe UI"/>
                <w:sz w:val="23"/>
                <w:szCs w:val="23"/>
              </w:rPr>
              <w:lastRenderedPageBreak/>
              <w:t>- Critical path schedule delays.</w:t>
            </w:r>
            <w:r>
              <w:rPr>
                <w:rFonts w:ascii="Segoe UI" w:hAnsi="Segoe UI" w:cs="Segoe UI"/>
                <w:sz w:val="23"/>
                <w:szCs w:val="23"/>
              </w:rPr>
              <w:br/>
              <w:t>- Major unplanned recovery costs.</w:t>
            </w:r>
            <w:r>
              <w:rPr>
                <w:rFonts w:ascii="Segoe UI" w:hAnsi="Segoe UI" w:cs="Segoe UI"/>
                <w:sz w:val="23"/>
                <w:szCs w:val="23"/>
              </w:rPr>
              <w:br/>
              <w:t>- Safety risks and redesign requirements.</w:t>
            </w:r>
          </w:p>
        </w:tc>
      </w:tr>
      <w:tr w:rsidR="009D036D" w14:paraId="644EE710" w14:textId="77777777">
        <w:tc>
          <w:tcPr>
            <w:tcW w:w="0" w:type="auto"/>
            <w:tcMar>
              <w:top w:w="150" w:type="dxa"/>
              <w:left w:w="0" w:type="dxa"/>
              <w:bottom w:w="150" w:type="dxa"/>
              <w:right w:w="240" w:type="dxa"/>
            </w:tcMar>
            <w:vAlign w:val="center"/>
            <w:hideMark/>
          </w:tcPr>
          <w:p w14:paraId="12C9704A"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t>Logistical &amp; Environmental</w:t>
            </w:r>
          </w:p>
        </w:tc>
        <w:tc>
          <w:tcPr>
            <w:tcW w:w="0" w:type="auto"/>
            <w:tcMar>
              <w:top w:w="150" w:type="dxa"/>
              <w:left w:w="240" w:type="dxa"/>
              <w:bottom w:w="150" w:type="dxa"/>
              <w:right w:w="240" w:type="dxa"/>
            </w:tcMar>
            <w:vAlign w:val="center"/>
            <w:hideMark/>
          </w:tcPr>
          <w:p w14:paraId="54E5715E" w14:textId="77777777" w:rsidR="009D036D" w:rsidRDefault="009D036D">
            <w:pPr>
              <w:spacing w:line="375" w:lineRule="atLeast"/>
              <w:rPr>
                <w:rFonts w:ascii="Segoe UI" w:hAnsi="Segoe UI" w:cs="Segoe UI"/>
                <w:sz w:val="23"/>
                <w:szCs w:val="23"/>
              </w:rPr>
            </w:pPr>
            <w:r>
              <w:rPr>
                <w:rFonts w:ascii="Segoe UI" w:hAnsi="Segoe UI" w:cs="Segoe UI"/>
                <w:sz w:val="23"/>
                <w:szCs w:val="23"/>
              </w:rPr>
              <w:t>- Difficult transport of oversized components.</w:t>
            </w:r>
            <w:r>
              <w:rPr>
                <w:rFonts w:ascii="Segoe UI" w:hAnsi="Segoe UI" w:cs="Segoe UI"/>
                <w:sz w:val="23"/>
                <w:szCs w:val="23"/>
              </w:rPr>
              <w:br/>
              <w:t>- Seasonal work stoppages due to snow.</w:t>
            </w:r>
            <w:r>
              <w:rPr>
                <w:rFonts w:ascii="Segoe UI" w:hAnsi="Segoe UI" w:cs="Segoe UI"/>
                <w:sz w:val="23"/>
                <w:szCs w:val="23"/>
              </w:rPr>
              <w:br/>
              <w:t>- Stringent environmental compliance.</w:t>
            </w:r>
          </w:p>
        </w:tc>
        <w:tc>
          <w:tcPr>
            <w:tcW w:w="0" w:type="auto"/>
            <w:tcMar>
              <w:top w:w="150" w:type="dxa"/>
              <w:left w:w="240" w:type="dxa"/>
              <w:bottom w:w="150" w:type="dxa"/>
              <w:right w:w="240" w:type="dxa"/>
            </w:tcMar>
            <w:vAlign w:val="center"/>
            <w:hideMark/>
          </w:tcPr>
          <w:p w14:paraId="013AFC9E" w14:textId="77777777" w:rsidR="009D036D" w:rsidRDefault="009D036D">
            <w:pPr>
              <w:spacing w:line="375" w:lineRule="atLeast"/>
              <w:rPr>
                <w:rFonts w:ascii="Segoe UI" w:hAnsi="Segoe UI" w:cs="Segoe UI"/>
                <w:sz w:val="23"/>
                <w:szCs w:val="23"/>
              </w:rPr>
            </w:pPr>
            <w:r>
              <w:rPr>
                <w:rFonts w:ascii="Segoe UI" w:hAnsi="Segoe UI" w:cs="Segoe UI"/>
                <w:sz w:val="23"/>
                <w:szCs w:val="23"/>
              </w:rPr>
              <w:t>- Remote location in sensitive alpine National Park.</w:t>
            </w:r>
            <w:r>
              <w:rPr>
                <w:rFonts w:ascii="Segoe UI" w:hAnsi="Segoe UI" w:cs="Segoe UI"/>
                <w:sz w:val="23"/>
                <w:szCs w:val="23"/>
              </w:rPr>
              <w:br/>
              <w:t>- Limited access routes and short working seasons.</w:t>
            </w:r>
            <w:r>
              <w:rPr>
                <w:rFonts w:ascii="Segoe UI" w:hAnsi="Segoe UI" w:cs="Segoe UI"/>
                <w:sz w:val="23"/>
                <w:szCs w:val="23"/>
              </w:rPr>
              <w:br/>
              <w:t>- High regulatory burden for environmental protection.</w:t>
            </w:r>
          </w:p>
        </w:tc>
        <w:tc>
          <w:tcPr>
            <w:tcW w:w="0" w:type="auto"/>
            <w:tcMar>
              <w:top w:w="150" w:type="dxa"/>
              <w:left w:w="240" w:type="dxa"/>
              <w:bottom w:w="150" w:type="dxa"/>
              <w:right w:w="0" w:type="dxa"/>
            </w:tcMar>
            <w:vAlign w:val="center"/>
            <w:hideMark/>
          </w:tcPr>
          <w:p w14:paraId="4EF9E83A" w14:textId="77777777" w:rsidR="009D036D" w:rsidRDefault="009D036D">
            <w:pPr>
              <w:spacing w:line="375" w:lineRule="atLeast"/>
              <w:rPr>
                <w:rFonts w:ascii="Segoe UI" w:hAnsi="Segoe UI" w:cs="Segoe UI"/>
                <w:sz w:val="23"/>
                <w:szCs w:val="23"/>
              </w:rPr>
            </w:pPr>
            <w:r>
              <w:rPr>
                <w:rFonts w:ascii="Segoe UI" w:hAnsi="Segoe UI" w:cs="Segoe UI"/>
                <w:sz w:val="23"/>
                <w:szCs w:val="23"/>
              </w:rPr>
              <w:t>- Amplified cost and time impacts of other problems.</w:t>
            </w:r>
            <w:r>
              <w:rPr>
                <w:rFonts w:ascii="Segoe UI" w:hAnsi="Segoe UI" w:cs="Segoe UI"/>
                <w:sz w:val="23"/>
                <w:szCs w:val="23"/>
              </w:rPr>
              <w:br/>
              <w:t>- Limited flexibility in execution planning.</w:t>
            </w:r>
            <w:r>
              <w:rPr>
                <w:rFonts w:ascii="Segoe UI" w:hAnsi="Segoe UI" w:cs="Segoe UI"/>
                <w:sz w:val="23"/>
                <w:szCs w:val="23"/>
              </w:rPr>
              <w:br/>
              <w:t>- Increased overhead and compliance costs.</w:t>
            </w:r>
          </w:p>
        </w:tc>
      </w:tr>
      <w:tr w:rsidR="009D036D" w14:paraId="2A2B5801" w14:textId="77777777">
        <w:tc>
          <w:tcPr>
            <w:tcW w:w="0" w:type="auto"/>
            <w:tcMar>
              <w:top w:w="150" w:type="dxa"/>
              <w:left w:w="0" w:type="dxa"/>
              <w:bottom w:w="150" w:type="dxa"/>
              <w:right w:w="240" w:type="dxa"/>
            </w:tcMar>
            <w:vAlign w:val="center"/>
            <w:hideMark/>
          </w:tcPr>
          <w:p w14:paraId="42034EFE"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t>Commercial Performance</w:t>
            </w:r>
          </w:p>
        </w:tc>
        <w:tc>
          <w:tcPr>
            <w:tcW w:w="0" w:type="auto"/>
            <w:tcMar>
              <w:top w:w="150" w:type="dxa"/>
              <w:left w:w="240" w:type="dxa"/>
              <w:bottom w:w="150" w:type="dxa"/>
              <w:right w:w="240" w:type="dxa"/>
            </w:tcMar>
            <w:vAlign w:val="center"/>
            <w:hideMark/>
          </w:tcPr>
          <w:p w14:paraId="13FA3B9F" w14:textId="77777777" w:rsidR="009D036D" w:rsidRDefault="009D036D">
            <w:pPr>
              <w:spacing w:line="375" w:lineRule="atLeast"/>
              <w:rPr>
                <w:rFonts w:ascii="Segoe UI" w:hAnsi="Segoe UI" w:cs="Segoe UI"/>
                <w:sz w:val="23"/>
                <w:szCs w:val="23"/>
              </w:rPr>
            </w:pPr>
            <w:r>
              <w:rPr>
                <w:rFonts w:ascii="Segoe UI" w:hAnsi="Segoe UI" w:cs="Segoe UI"/>
                <w:sz w:val="23"/>
                <w:szCs w:val="23"/>
              </w:rPr>
              <w:t>- Cost escalation from $2bn to $12bn+.</w:t>
            </w:r>
            <w:r>
              <w:rPr>
                <w:rFonts w:ascii="Segoe UI" w:hAnsi="Segoe UI" w:cs="Segoe UI"/>
                <w:sz w:val="23"/>
                <w:szCs w:val="23"/>
              </w:rPr>
              <w:br/>
              <w:t>- Schedule delays exceeding 3 years.</w:t>
            </w:r>
          </w:p>
        </w:tc>
        <w:tc>
          <w:tcPr>
            <w:tcW w:w="0" w:type="auto"/>
            <w:tcMar>
              <w:top w:w="150" w:type="dxa"/>
              <w:left w:w="240" w:type="dxa"/>
              <w:bottom w:w="150" w:type="dxa"/>
              <w:right w:w="240" w:type="dxa"/>
            </w:tcMar>
            <w:vAlign w:val="center"/>
            <w:hideMark/>
          </w:tcPr>
          <w:p w14:paraId="01CDF1F8" w14:textId="77777777" w:rsidR="009D036D" w:rsidRDefault="009D036D">
            <w:pPr>
              <w:spacing w:line="375" w:lineRule="atLeast"/>
              <w:rPr>
                <w:rFonts w:ascii="Segoe UI" w:hAnsi="Segoe UI" w:cs="Segoe UI"/>
                <w:sz w:val="23"/>
                <w:szCs w:val="23"/>
              </w:rPr>
            </w:pPr>
            <w:r>
              <w:rPr>
                <w:rFonts w:ascii="Segoe UI" w:hAnsi="Segoe UI" w:cs="Segoe UI"/>
                <w:sz w:val="23"/>
                <w:szCs w:val="23"/>
              </w:rPr>
              <w:t>- Compound effects of geological and logistical challenges.</w:t>
            </w:r>
            <w:r>
              <w:rPr>
                <w:rFonts w:ascii="Segoe UI" w:hAnsi="Segoe UI" w:cs="Segoe UI"/>
                <w:sz w:val="23"/>
                <w:szCs w:val="23"/>
              </w:rPr>
              <w:br/>
              <w:t>- High-risk contingency provisions proved inadequate.</w:t>
            </w:r>
            <w:r>
              <w:rPr>
                <w:rFonts w:ascii="Segoe UI" w:hAnsi="Segoe UI" w:cs="Segoe UI"/>
                <w:sz w:val="23"/>
                <w:szCs w:val="23"/>
              </w:rPr>
              <w:br/>
              <w:t>- Inflationary pressures on extended timeline.</w:t>
            </w:r>
          </w:p>
        </w:tc>
        <w:tc>
          <w:tcPr>
            <w:tcW w:w="0" w:type="auto"/>
            <w:tcMar>
              <w:top w:w="150" w:type="dxa"/>
              <w:left w:w="240" w:type="dxa"/>
              <w:bottom w:w="150" w:type="dxa"/>
              <w:right w:w="0" w:type="dxa"/>
            </w:tcMar>
            <w:vAlign w:val="center"/>
            <w:hideMark/>
          </w:tcPr>
          <w:p w14:paraId="54C87B34" w14:textId="77777777" w:rsidR="009D036D" w:rsidRDefault="009D036D">
            <w:pPr>
              <w:spacing w:line="375" w:lineRule="atLeast"/>
              <w:rPr>
                <w:rFonts w:ascii="Segoe UI" w:hAnsi="Segoe UI" w:cs="Segoe UI"/>
                <w:sz w:val="23"/>
                <w:szCs w:val="23"/>
              </w:rPr>
            </w:pPr>
            <w:r>
              <w:rPr>
                <w:rFonts w:ascii="Segoe UI" w:hAnsi="Segoe UI" w:cs="Segoe UI"/>
                <w:sz w:val="23"/>
                <w:szCs w:val="23"/>
              </w:rPr>
              <w:t>- Erosion of public and political support.</w:t>
            </w:r>
            <w:r>
              <w:rPr>
                <w:rFonts w:ascii="Segoe UI" w:hAnsi="Segoe UI" w:cs="Segoe UI"/>
                <w:sz w:val="23"/>
                <w:szCs w:val="23"/>
              </w:rPr>
              <w:br/>
              <w:t>- Reduced financial viability and ROI.</w:t>
            </w:r>
            <w:r>
              <w:rPr>
                <w:rFonts w:ascii="Segoe UI" w:hAnsi="Segoe UI" w:cs="Segoe UI"/>
                <w:sz w:val="23"/>
                <w:szCs w:val="23"/>
              </w:rPr>
              <w:br/>
              <w:t>- Damaged industry reputation for mega-projects.</w:t>
            </w:r>
          </w:p>
        </w:tc>
      </w:tr>
    </w:tbl>
    <w:p w14:paraId="5BDBEE3C"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Critical Analysis of Problem Causes and Intrinsic Connections</w:t>
      </w:r>
    </w:p>
    <w:p w14:paraId="1F4F65C4"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challenges detailed in Table 1 are not a simple list of independent issues; they form a complex, dynamic system where each problem exacerbates the others. This can be understood through the lens of systems thinking, which reveals the </w:t>
      </w:r>
      <w:r>
        <w:rPr>
          <w:rFonts w:ascii="Segoe UI" w:hAnsi="Segoe UI" w:cs="Segoe UI"/>
          <w:color w:val="0F1115"/>
        </w:rPr>
        <w:lastRenderedPageBreak/>
        <w:t>reinforcing feedback loops that trapped the project in a cycle of escalating risk and cost.</w:t>
      </w:r>
    </w:p>
    <w:p w14:paraId="43FFCE3E"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primary trigger is the </w:t>
      </w:r>
      <w:r>
        <w:rPr>
          <w:rStyle w:val="Strong"/>
          <w:rFonts w:ascii="Segoe UI" w:eastAsiaTheme="majorEastAsia" w:hAnsi="Segoe UI" w:cs="Segoe UI"/>
          <w:color w:val="0F1115"/>
        </w:rPr>
        <w:t>geological uncertainty</w:t>
      </w:r>
      <w:r>
        <w:rPr>
          <w:rFonts w:ascii="Segoe UI" w:hAnsi="Segoe UI" w:cs="Segoe UI"/>
          <w:color w:val="0F1115"/>
        </w:rPr>
        <w:t>. When a TBM encounters a zone of soft ground or a fault (a common occurrence in alpine geology), its progress halts. This is not a simple pause; it initiates a cascade of consequences. The immediate effect is a </w:t>
      </w:r>
      <w:r>
        <w:rPr>
          <w:rStyle w:val="Strong"/>
          <w:rFonts w:ascii="Segoe UI" w:eastAsiaTheme="majorEastAsia" w:hAnsi="Segoe UI" w:cs="Segoe UI"/>
          <w:color w:val="0F1115"/>
        </w:rPr>
        <w:t>direct schedule delay</w:t>
      </w:r>
      <w:r>
        <w:rPr>
          <w:rFonts w:ascii="Segoe UI" w:hAnsi="Segoe UI" w:cs="Segoe UI"/>
          <w:color w:val="0F1115"/>
        </w:rPr>
        <w:t> on the project's critical path. To remediate the situation, a complex engineering response is required: ground stabilisation, potentially including grouting or ground freezing, and then a careful excavation to free the machine. This response demands specialised equipment, materials, and expertise.</w:t>
      </w:r>
    </w:p>
    <w:p w14:paraId="479809A6"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where the second challenge, </w:t>
      </w:r>
      <w:r>
        <w:rPr>
          <w:rStyle w:val="Strong"/>
          <w:rFonts w:ascii="Segoe UI" w:eastAsiaTheme="majorEastAsia" w:hAnsi="Segoe UI" w:cs="Segoe UI"/>
          <w:color w:val="0F1115"/>
        </w:rPr>
        <w:t>logistical constraints</w:t>
      </w:r>
      <w:r>
        <w:rPr>
          <w:rFonts w:ascii="Segoe UI" w:hAnsi="Segoe UI" w:cs="Segoe UI"/>
          <w:color w:val="0F1115"/>
        </w:rPr>
        <w:t>, acts as a severe risk multiplier. Procuring and transporting the necessary resources to a remote, alpine location is a monumental task. The limited access roads, weather restrictions, and environmental protocols mean that what might be a week-long fix in an urban environment becomes a month-long, exorbitantly expensive operation at Snowy 2.0. The logistical difficulty directly </w:t>
      </w:r>
      <w:r>
        <w:rPr>
          <w:rStyle w:val="Strong"/>
          <w:rFonts w:ascii="Segoe UI" w:eastAsiaTheme="majorEastAsia" w:hAnsi="Segoe UI" w:cs="Segoe UI"/>
          <w:color w:val="0F1115"/>
        </w:rPr>
        <w:t>amplifies the cost and duration</w:t>
      </w:r>
      <w:r>
        <w:rPr>
          <w:rFonts w:ascii="Segoe UI" w:hAnsi="Segoe UI" w:cs="Segoe UI"/>
          <w:color w:val="0F1115"/>
        </w:rPr>
        <w:t> of the geological recovery.</w:t>
      </w:r>
    </w:p>
    <w:p w14:paraId="2EB6F913"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combination of delay and expensive recovery efforts leads directly to the third challenge: </w:t>
      </w:r>
      <w:r>
        <w:rPr>
          <w:rStyle w:val="Strong"/>
          <w:rFonts w:ascii="Segoe UI" w:eastAsiaTheme="majorEastAsia" w:hAnsi="Segoe UI" w:cs="Segoe UI"/>
          <w:color w:val="0F1115"/>
        </w:rPr>
        <w:t>cost escalation and schedule overruns</w:t>
      </w:r>
      <w:r>
        <w:rPr>
          <w:rFonts w:ascii="Segoe UI" w:hAnsi="Segoe UI" w:cs="Segoe UI"/>
          <w:color w:val="0F1115"/>
        </w:rPr>
        <w:t>. As the project timeline extends, overhead costs accumulate, and the project becomes exposed to market inflation for materials and labour. Furthermore, the financial and political pressure to recover the schedule can lead to accelerated decision-making and parallel work, which often carries its own risks of error and rework, potentially introducing new geological or logistical problems.</w:t>
      </w:r>
    </w:p>
    <w:p w14:paraId="3C7E2A97"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This creates a vicious </w:t>
      </w:r>
      <w:proofErr w:type="gramStart"/>
      <w:r>
        <w:rPr>
          <w:rFonts w:ascii="Segoe UI" w:hAnsi="Segoe UI" w:cs="Segoe UI"/>
          <w:color w:val="0F1115"/>
        </w:rPr>
        <w:t>cycle, or</w:t>
      </w:r>
      <w:proofErr w:type="gramEnd"/>
      <w:r>
        <w:rPr>
          <w:rFonts w:ascii="Segoe UI" w:hAnsi="Segoe UI" w:cs="Segoe UI"/>
          <w:color w:val="0F1115"/>
        </w:rPr>
        <w:t xml:space="preserve"> reinforcing feedback loop (R1): </w:t>
      </w:r>
      <w:r>
        <w:rPr>
          <w:rStyle w:val="Emphasis"/>
          <w:rFonts w:ascii="Segoe UI" w:eastAsiaTheme="majorEastAsia" w:hAnsi="Segoe UI" w:cs="Segoe UI"/>
          <w:color w:val="0F1115"/>
        </w:rPr>
        <w:t xml:space="preserve">Geological Problem → Schedule Delay &amp; Complex Response → Logistical Amplification → Cost/Schedule </w:t>
      </w:r>
      <w:proofErr w:type="spellStart"/>
      <w:r>
        <w:rPr>
          <w:rStyle w:val="Emphasis"/>
          <w:rFonts w:ascii="Segoe UI" w:eastAsiaTheme="majorEastAsia" w:hAnsi="Segoe UI" w:cs="Segoe UI"/>
          <w:color w:val="0F1115"/>
        </w:rPr>
        <w:t>Overtun</w:t>
      </w:r>
      <w:proofErr w:type="spellEnd"/>
      <w:r>
        <w:rPr>
          <w:rStyle w:val="Emphasis"/>
          <w:rFonts w:ascii="Segoe UI" w:eastAsiaTheme="majorEastAsia" w:hAnsi="Segoe UI" w:cs="Segoe UI"/>
          <w:color w:val="0F1115"/>
        </w:rPr>
        <w:t xml:space="preserve"> → Pressure to Accelerate → Increased Risk of Further Geological Problem</w:t>
      </w:r>
      <w:r>
        <w:rPr>
          <w:rFonts w:ascii="Segoe UI" w:hAnsi="Segoe UI" w:cs="Segoe UI"/>
          <w:color w:val="0F1115"/>
        </w:rPr>
        <w:t>. The project system was configured in a way that made it inherently vulnerable to this cycle, with insufficient buffers or adaptive capacity to break the chain.</w:t>
      </w:r>
    </w:p>
    <w:p w14:paraId="4F34B0C8"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Review of Best Practices</w:t>
      </w:r>
    </w:p>
    <w:p w14:paraId="336EBEE6"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Internationally, other megaprojects have faced similar extremes of geology and environment, yet achieved success through strategic approaches that directly address the vulnerabilities exposed at Snowy 2.0.</w:t>
      </w:r>
    </w:p>
    <w:p w14:paraId="3A9E5A04"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Gotthard Base Tunnel, Switzerland</w:t>
      </w:r>
      <w:r>
        <w:rPr>
          <w:rFonts w:ascii="Segoe UI" w:hAnsi="Segoe UI" w:cs="Segoe UI"/>
          <w:color w:val="0F1115"/>
        </w:rPr>
        <w:br/>
        <w:t>As the world's longest railway tunnel, traversing the Swiss Alps, the Gotthard project faced extreme geological variability. Its success is fundamentally attributed to a culture of </w:t>
      </w:r>
      <w:r>
        <w:rPr>
          <w:rStyle w:val="Strong"/>
          <w:rFonts w:ascii="Segoe UI" w:eastAsiaTheme="majorEastAsia" w:hAnsi="Segoe UI" w:cs="Segoe UI"/>
          <w:color w:val="0F1115"/>
        </w:rPr>
        <w:t>proactive investigation and adaptability</w:t>
      </w:r>
      <w:r>
        <w:rPr>
          <w:rFonts w:ascii="Segoe UI" w:hAnsi="Segoe UI" w:cs="Segoe UI"/>
          <w:color w:val="0F1115"/>
        </w:rPr>
        <w:t>.</w:t>
      </w:r>
    </w:p>
    <w:p w14:paraId="67F02AD6" w14:textId="77777777" w:rsidR="009D036D" w:rsidRDefault="009D036D" w:rsidP="009D036D">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lastRenderedPageBreak/>
        <w:t>Approach:</w:t>
      </w:r>
      <w:r>
        <w:rPr>
          <w:rFonts w:ascii="Segoe UI" w:hAnsi="Segoe UI" w:cs="Segoe UI"/>
          <w:color w:val="0F1115"/>
        </w:rPr>
        <w:t> The project implemented an extensive programme of probe drilling ahead of the advancing TBMs. This provided real-time data on ground conditions up to several hundred metres forward, allowing engineers to adapt the TBM's operational parameters and pre-emptively deploy appropriate ground support measures (Rehbock-Sutter, 2018). This transformed the project from a reactive to a predictive posture.</w:t>
      </w:r>
    </w:p>
    <w:p w14:paraId="03A8365A" w14:textId="77777777" w:rsidR="009D036D" w:rsidRDefault="009D036D" w:rsidP="009D036D">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Critical Analysis &amp; Relevance to Snowy 2.0:</w:t>
      </w:r>
      <w:r>
        <w:rPr>
          <w:rFonts w:ascii="Segoe UI" w:hAnsi="Segoe UI" w:cs="Segoe UI"/>
          <w:color w:val="0F1115"/>
        </w:rPr>
        <w:t> While probe drilling was likely used at Snowy 2.0, the Swiss approach was more systematic and integrated into decision-making. For Snowy 2.0, a more aggressive and continuous probe drilling campaign, coupled with the contractual flexibility to act on its findings, could have provided earlier warning of the fault zones that trapped the TBM, allowing for pre-emptive ground improvement and avoiding full-scale entrapment.</w:t>
      </w:r>
    </w:p>
    <w:p w14:paraId="6739CFAB"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 xml:space="preserve">4.2 Qingdao </w:t>
      </w:r>
      <w:proofErr w:type="spellStart"/>
      <w:r>
        <w:rPr>
          <w:rStyle w:val="Strong"/>
          <w:rFonts w:ascii="Segoe UI" w:eastAsiaTheme="majorEastAsia" w:hAnsi="Segoe UI" w:cs="Segoe UI"/>
          <w:color w:val="0F1115"/>
        </w:rPr>
        <w:t>Jiaozhou</w:t>
      </w:r>
      <w:proofErr w:type="spellEnd"/>
      <w:r>
        <w:rPr>
          <w:rStyle w:val="Strong"/>
          <w:rFonts w:ascii="Segoe UI" w:eastAsiaTheme="majorEastAsia" w:hAnsi="Segoe UI" w:cs="Segoe UI"/>
          <w:color w:val="0F1115"/>
        </w:rPr>
        <w:t xml:space="preserve"> Bay Tunnel, China</w:t>
      </w:r>
      <w:r>
        <w:rPr>
          <w:rFonts w:ascii="Segoe UI" w:hAnsi="Segoe UI" w:cs="Segoe UI"/>
          <w:color w:val="0F1115"/>
        </w:rPr>
        <w:br/>
        <w:t>This subsea tunnel project presented a high risk of catastrophic water ingress. The Chinese project team leveraged </w:t>
      </w:r>
      <w:r>
        <w:rPr>
          <w:rStyle w:val="Strong"/>
          <w:rFonts w:ascii="Segoe UI" w:eastAsiaTheme="majorEastAsia" w:hAnsi="Segoe UI" w:cs="Segoe UI"/>
          <w:color w:val="0F1115"/>
        </w:rPr>
        <w:t>integrated real-time monitoring and data analytics</w:t>
      </w:r>
      <w:r>
        <w:rPr>
          <w:rFonts w:ascii="Segoe UI" w:hAnsi="Segoe UI" w:cs="Segoe UI"/>
          <w:color w:val="0F1115"/>
        </w:rPr>
        <w:t> to manage this risk.</w:t>
      </w:r>
    </w:p>
    <w:p w14:paraId="2FE0BD12" w14:textId="77777777" w:rsidR="009D036D" w:rsidRDefault="009D036D" w:rsidP="009D036D">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A comprehensive network of sensors was installed on the TBMs and within the tunnel lining, monitoring parameters such as water pressure, ground movement, and structural stress. This data was fed into a centralised platform that provided early warnings of adverse trends, enabling pre-emptive intervention before a minor issue escalated into a major stoppage (Huang et al., 2021).</w:t>
      </w:r>
    </w:p>
    <w:p w14:paraId="5BC22F3C" w14:textId="77777777" w:rsidR="009D036D" w:rsidRDefault="009D036D" w:rsidP="009D036D">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Critical Analysis &amp; Relevance to Snowy 2.0:</w:t>
      </w:r>
      <w:r>
        <w:rPr>
          <w:rFonts w:ascii="Segoe UI" w:hAnsi="Segoe UI" w:cs="Segoe UI"/>
          <w:color w:val="0F1115"/>
        </w:rPr>
        <w:t> Snowy 2.0's monitoring was likely compliance-focused. The Qingdao model demonstrates the value of a </w:t>
      </w:r>
      <w:r>
        <w:rPr>
          <w:rStyle w:val="Emphasis"/>
          <w:rFonts w:ascii="Segoe UI" w:eastAsiaTheme="majorEastAsia" w:hAnsi="Segoe UI" w:cs="Segoe UI"/>
          <w:color w:val="0F1115"/>
        </w:rPr>
        <w:t>predictive</w:t>
      </w:r>
      <w:r>
        <w:rPr>
          <w:rFonts w:ascii="Segoe UI" w:hAnsi="Segoe UI" w:cs="Segoe UI"/>
          <w:color w:val="0F1115"/>
        </w:rPr>
        <w:t> monitoring system. For Snowy 2.0, a system analysing TBM operational data (thrust, torque, cutterhead power) in real-time could have identified the signature of entering a soft ground zone earlier, allowing the crew to adjust operations and potentially avoid the face collapse.</w:t>
      </w:r>
    </w:p>
    <w:p w14:paraId="439AE684"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2: Best Practice Analysis and Application</w:t>
      </w:r>
    </w:p>
    <w:tbl>
      <w:tblPr>
        <w:tblW w:w="0" w:type="auto"/>
        <w:tblCellMar>
          <w:top w:w="15" w:type="dxa"/>
          <w:left w:w="15" w:type="dxa"/>
          <w:bottom w:w="15" w:type="dxa"/>
          <w:right w:w="15" w:type="dxa"/>
        </w:tblCellMar>
        <w:tblLook w:val="04A0" w:firstRow="1" w:lastRow="0" w:firstColumn="1" w:lastColumn="0" w:noHBand="0" w:noVBand="1"/>
      </w:tblPr>
      <w:tblGrid>
        <w:gridCol w:w="1594"/>
        <w:gridCol w:w="1975"/>
        <w:gridCol w:w="2477"/>
        <w:gridCol w:w="2980"/>
      </w:tblGrid>
      <w:tr w:rsidR="009D036D" w14:paraId="07E8820F" w14:textId="77777777">
        <w:trPr>
          <w:tblHeader/>
        </w:trPr>
        <w:tc>
          <w:tcPr>
            <w:tcW w:w="0" w:type="auto"/>
            <w:tcBorders>
              <w:top w:val="nil"/>
            </w:tcBorders>
            <w:tcMar>
              <w:top w:w="150" w:type="dxa"/>
              <w:left w:w="0" w:type="dxa"/>
              <w:bottom w:w="150" w:type="dxa"/>
              <w:right w:w="240" w:type="dxa"/>
            </w:tcMar>
            <w:vAlign w:val="center"/>
            <w:hideMark/>
          </w:tcPr>
          <w:p w14:paraId="288A2800" w14:textId="77777777" w:rsidR="009D036D" w:rsidRDefault="009D036D">
            <w:pPr>
              <w:spacing w:line="375" w:lineRule="atLeast"/>
              <w:rPr>
                <w:rFonts w:ascii="Segoe UI" w:hAnsi="Segoe UI" w:cs="Segoe UI"/>
                <w:sz w:val="23"/>
                <w:szCs w:val="23"/>
              </w:rPr>
            </w:pPr>
            <w:r>
              <w:rPr>
                <w:rFonts w:ascii="Segoe UI" w:hAnsi="Segoe UI" w:cs="Segoe UI"/>
                <w:sz w:val="23"/>
                <w:szCs w:val="23"/>
              </w:rPr>
              <w:t>Best Practice Project</w:t>
            </w:r>
          </w:p>
        </w:tc>
        <w:tc>
          <w:tcPr>
            <w:tcW w:w="0" w:type="auto"/>
            <w:tcBorders>
              <w:top w:val="nil"/>
            </w:tcBorders>
            <w:tcMar>
              <w:top w:w="150" w:type="dxa"/>
              <w:left w:w="240" w:type="dxa"/>
              <w:bottom w:w="150" w:type="dxa"/>
              <w:right w:w="240" w:type="dxa"/>
            </w:tcMar>
            <w:vAlign w:val="center"/>
            <w:hideMark/>
          </w:tcPr>
          <w:p w14:paraId="572D5DDE" w14:textId="77777777" w:rsidR="009D036D" w:rsidRDefault="009D036D">
            <w:pPr>
              <w:spacing w:line="375" w:lineRule="atLeast"/>
              <w:rPr>
                <w:rFonts w:ascii="Segoe UI" w:hAnsi="Segoe UI" w:cs="Segoe UI"/>
                <w:sz w:val="23"/>
                <w:szCs w:val="23"/>
              </w:rPr>
            </w:pPr>
            <w:r>
              <w:rPr>
                <w:rFonts w:ascii="Segoe UI" w:hAnsi="Segoe UI" w:cs="Segoe UI"/>
                <w:sz w:val="23"/>
                <w:szCs w:val="23"/>
              </w:rPr>
              <w:t>Core Philosophy</w:t>
            </w:r>
          </w:p>
        </w:tc>
        <w:tc>
          <w:tcPr>
            <w:tcW w:w="0" w:type="auto"/>
            <w:tcBorders>
              <w:top w:val="nil"/>
            </w:tcBorders>
            <w:tcMar>
              <w:top w:w="150" w:type="dxa"/>
              <w:left w:w="240" w:type="dxa"/>
              <w:bottom w:w="150" w:type="dxa"/>
              <w:right w:w="240" w:type="dxa"/>
            </w:tcMar>
            <w:vAlign w:val="center"/>
            <w:hideMark/>
          </w:tcPr>
          <w:p w14:paraId="0276EDA3" w14:textId="77777777" w:rsidR="009D036D" w:rsidRDefault="009D036D">
            <w:pPr>
              <w:spacing w:line="375" w:lineRule="atLeast"/>
              <w:rPr>
                <w:rFonts w:ascii="Segoe UI" w:hAnsi="Segoe UI" w:cs="Segoe UI"/>
                <w:sz w:val="23"/>
                <w:szCs w:val="23"/>
              </w:rPr>
            </w:pPr>
            <w:r>
              <w:rPr>
                <w:rFonts w:ascii="Segoe UI" w:hAnsi="Segoe UI" w:cs="Segoe UI"/>
                <w:sz w:val="23"/>
                <w:szCs w:val="23"/>
              </w:rPr>
              <w:t>Strategic Mechanism</w:t>
            </w:r>
          </w:p>
        </w:tc>
        <w:tc>
          <w:tcPr>
            <w:tcW w:w="0" w:type="auto"/>
            <w:tcBorders>
              <w:top w:val="nil"/>
            </w:tcBorders>
            <w:tcMar>
              <w:top w:w="150" w:type="dxa"/>
              <w:left w:w="240" w:type="dxa"/>
              <w:bottom w:w="150" w:type="dxa"/>
              <w:right w:w="240" w:type="dxa"/>
            </w:tcMar>
            <w:vAlign w:val="center"/>
            <w:hideMark/>
          </w:tcPr>
          <w:p w14:paraId="27872D7B" w14:textId="77777777" w:rsidR="009D036D" w:rsidRDefault="009D036D">
            <w:pPr>
              <w:spacing w:line="375" w:lineRule="atLeast"/>
              <w:rPr>
                <w:rFonts w:ascii="Segoe UI" w:hAnsi="Segoe UI" w:cs="Segoe UI"/>
                <w:sz w:val="23"/>
                <w:szCs w:val="23"/>
              </w:rPr>
            </w:pPr>
            <w:r>
              <w:rPr>
                <w:rFonts w:ascii="Segoe UI" w:hAnsi="Segoe UI" w:cs="Segoe UI"/>
                <w:sz w:val="23"/>
                <w:szCs w:val="23"/>
              </w:rPr>
              <w:t>Application to Snowy 2.0 Context</w:t>
            </w:r>
          </w:p>
        </w:tc>
      </w:tr>
      <w:tr w:rsidR="009D036D" w14:paraId="008867CA" w14:textId="77777777">
        <w:tc>
          <w:tcPr>
            <w:tcW w:w="0" w:type="auto"/>
            <w:tcMar>
              <w:top w:w="150" w:type="dxa"/>
              <w:left w:w="0" w:type="dxa"/>
              <w:bottom w:w="150" w:type="dxa"/>
              <w:right w:w="240" w:type="dxa"/>
            </w:tcMar>
            <w:vAlign w:val="center"/>
            <w:hideMark/>
          </w:tcPr>
          <w:p w14:paraId="7DD230AB"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t>Gotthard Base Tunnel</w:t>
            </w:r>
          </w:p>
        </w:tc>
        <w:tc>
          <w:tcPr>
            <w:tcW w:w="0" w:type="auto"/>
            <w:tcMar>
              <w:top w:w="150" w:type="dxa"/>
              <w:left w:w="240" w:type="dxa"/>
              <w:bottom w:w="150" w:type="dxa"/>
              <w:right w:w="240" w:type="dxa"/>
            </w:tcMar>
            <w:vAlign w:val="center"/>
            <w:hideMark/>
          </w:tcPr>
          <w:p w14:paraId="03A20B4F" w14:textId="77777777" w:rsidR="009D036D" w:rsidRDefault="009D036D">
            <w:pPr>
              <w:spacing w:line="375" w:lineRule="atLeast"/>
              <w:rPr>
                <w:rFonts w:ascii="Segoe UI" w:hAnsi="Segoe UI" w:cs="Segoe UI"/>
                <w:sz w:val="23"/>
                <w:szCs w:val="23"/>
              </w:rPr>
            </w:pPr>
            <w:r>
              <w:rPr>
                <w:rFonts w:ascii="Segoe UI" w:hAnsi="Segoe UI" w:cs="Segoe UI"/>
                <w:sz w:val="23"/>
                <w:szCs w:val="23"/>
              </w:rPr>
              <w:t>Proactive Adaptation</w:t>
            </w:r>
          </w:p>
        </w:tc>
        <w:tc>
          <w:tcPr>
            <w:tcW w:w="0" w:type="auto"/>
            <w:tcMar>
              <w:top w:w="150" w:type="dxa"/>
              <w:left w:w="240" w:type="dxa"/>
              <w:bottom w:w="150" w:type="dxa"/>
              <w:right w:w="240" w:type="dxa"/>
            </w:tcMar>
            <w:vAlign w:val="center"/>
            <w:hideMark/>
          </w:tcPr>
          <w:p w14:paraId="7A987A7C" w14:textId="77777777" w:rsidR="009D036D" w:rsidRDefault="009D036D">
            <w:pPr>
              <w:spacing w:line="375" w:lineRule="atLeast"/>
              <w:rPr>
                <w:rFonts w:ascii="Segoe UI" w:hAnsi="Segoe UI" w:cs="Segoe UI"/>
                <w:sz w:val="23"/>
                <w:szCs w:val="23"/>
              </w:rPr>
            </w:pPr>
            <w:r>
              <w:rPr>
                <w:rFonts w:ascii="Segoe UI" w:hAnsi="Segoe UI" w:cs="Segoe UI"/>
                <w:sz w:val="23"/>
                <w:szCs w:val="23"/>
              </w:rPr>
              <w:t>Continuous probe drilling and flexible TBM operational strategies.</w:t>
            </w:r>
          </w:p>
        </w:tc>
        <w:tc>
          <w:tcPr>
            <w:tcW w:w="0" w:type="auto"/>
            <w:tcMar>
              <w:top w:w="150" w:type="dxa"/>
              <w:left w:w="240" w:type="dxa"/>
              <w:bottom w:w="150" w:type="dxa"/>
              <w:right w:w="0" w:type="dxa"/>
            </w:tcMar>
            <w:vAlign w:val="center"/>
            <w:hideMark/>
          </w:tcPr>
          <w:p w14:paraId="469FEE5E" w14:textId="77777777" w:rsidR="009D036D" w:rsidRDefault="009D036D">
            <w:pPr>
              <w:spacing w:line="375" w:lineRule="atLeast"/>
              <w:rPr>
                <w:rFonts w:ascii="Segoe UI" w:hAnsi="Segoe UI" w:cs="Segoe UI"/>
                <w:sz w:val="23"/>
                <w:szCs w:val="23"/>
              </w:rPr>
            </w:pPr>
            <w:r>
              <w:rPr>
                <w:rFonts w:ascii="Segoe UI" w:hAnsi="Segoe UI" w:cs="Segoe UI"/>
                <w:sz w:val="23"/>
                <w:szCs w:val="23"/>
              </w:rPr>
              <w:t xml:space="preserve">Implement a mandatory, generously scoped probe drilling programme ahead of all TBMs, with pre-defined trigger-action </w:t>
            </w:r>
            <w:r>
              <w:rPr>
                <w:rFonts w:ascii="Segoe UI" w:hAnsi="Segoe UI" w:cs="Segoe UI"/>
                <w:sz w:val="23"/>
                <w:szCs w:val="23"/>
              </w:rPr>
              <w:lastRenderedPageBreak/>
              <w:t>responses for various ground conditions identified.</w:t>
            </w:r>
          </w:p>
        </w:tc>
      </w:tr>
      <w:tr w:rsidR="009D036D" w14:paraId="7E4B8043" w14:textId="77777777">
        <w:tc>
          <w:tcPr>
            <w:tcW w:w="0" w:type="auto"/>
            <w:tcMar>
              <w:top w:w="150" w:type="dxa"/>
              <w:left w:w="0" w:type="dxa"/>
              <w:bottom w:w="150" w:type="dxa"/>
              <w:right w:w="240" w:type="dxa"/>
            </w:tcMar>
            <w:vAlign w:val="center"/>
            <w:hideMark/>
          </w:tcPr>
          <w:p w14:paraId="0C02697B"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lastRenderedPageBreak/>
              <w:t xml:space="preserve">Qingdao </w:t>
            </w:r>
            <w:proofErr w:type="spellStart"/>
            <w:r>
              <w:rPr>
                <w:rStyle w:val="Strong"/>
                <w:rFonts w:ascii="Segoe UI" w:hAnsi="Segoe UI" w:cs="Segoe UI"/>
                <w:sz w:val="23"/>
                <w:szCs w:val="23"/>
              </w:rPr>
              <w:t>Jiaozhou</w:t>
            </w:r>
            <w:proofErr w:type="spellEnd"/>
            <w:r>
              <w:rPr>
                <w:rStyle w:val="Strong"/>
                <w:rFonts w:ascii="Segoe UI" w:hAnsi="Segoe UI" w:cs="Segoe UI"/>
                <w:sz w:val="23"/>
                <w:szCs w:val="23"/>
              </w:rPr>
              <w:t xml:space="preserve"> Bay Tunnel</w:t>
            </w:r>
          </w:p>
        </w:tc>
        <w:tc>
          <w:tcPr>
            <w:tcW w:w="0" w:type="auto"/>
            <w:tcMar>
              <w:top w:w="150" w:type="dxa"/>
              <w:left w:w="240" w:type="dxa"/>
              <w:bottom w:w="150" w:type="dxa"/>
              <w:right w:w="240" w:type="dxa"/>
            </w:tcMar>
            <w:vAlign w:val="center"/>
            <w:hideMark/>
          </w:tcPr>
          <w:p w14:paraId="539556E5" w14:textId="77777777" w:rsidR="009D036D" w:rsidRDefault="009D036D">
            <w:pPr>
              <w:spacing w:line="375" w:lineRule="atLeast"/>
              <w:rPr>
                <w:rFonts w:ascii="Segoe UI" w:hAnsi="Segoe UI" w:cs="Segoe UI"/>
                <w:sz w:val="23"/>
                <w:szCs w:val="23"/>
              </w:rPr>
            </w:pPr>
            <w:r>
              <w:rPr>
                <w:rFonts w:ascii="Segoe UI" w:hAnsi="Segoe UI" w:cs="Segoe UI"/>
                <w:sz w:val="23"/>
                <w:szCs w:val="23"/>
              </w:rPr>
              <w:t>Predictive Risk Mitigation</w:t>
            </w:r>
          </w:p>
        </w:tc>
        <w:tc>
          <w:tcPr>
            <w:tcW w:w="0" w:type="auto"/>
            <w:tcMar>
              <w:top w:w="150" w:type="dxa"/>
              <w:left w:w="240" w:type="dxa"/>
              <w:bottom w:w="150" w:type="dxa"/>
              <w:right w:w="240" w:type="dxa"/>
            </w:tcMar>
            <w:vAlign w:val="center"/>
            <w:hideMark/>
          </w:tcPr>
          <w:p w14:paraId="233371E9" w14:textId="77777777" w:rsidR="009D036D" w:rsidRDefault="009D036D">
            <w:pPr>
              <w:spacing w:line="375" w:lineRule="atLeast"/>
              <w:rPr>
                <w:rFonts w:ascii="Segoe UI" w:hAnsi="Segoe UI" w:cs="Segoe UI"/>
                <w:sz w:val="23"/>
                <w:szCs w:val="23"/>
              </w:rPr>
            </w:pPr>
            <w:r>
              <w:rPr>
                <w:rFonts w:ascii="Segoe UI" w:hAnsi="Segoe UI" w:cs="Segoe UI"/>
                <w:sz w:val="23"/>
                <w:szCs w:val="23"/>
              </w:rPr>
              <w:t>Real-time sensor networks and data analytics for early warning.</w:t>
            </w:r>
          </w:p>
        </w:tc>
        <w:tc>
          <w:tcPr>
            <w:tcW w:w="0" w:type="auto"/>
            <w:tcMar>
              <w:top w:w="150" w:type="dxa"/>
              <w:left w:w="240" w:type="dxa"/>
              <w:bottom w:w="150" w:type="dxa"/>
              <w:right w:w="0" w:type="dxa"/>
            </w:tcMar>
            <w:vAlign w:val="center"/>
            <w:hideMark/>
          </w:tcPr>
          <w:p w14:paraId="07A5CA38" w14:textId="77777777" w:rsidR="009D036D" w:rsidRDefault="009D036D">
            <w:pPr>
              <w:spacing w:line="375" w:lineRule="atLeast"/>
              <w:rPr>
                <w:rFonts w:ascii="Segoe UI" w:hAnsi="Segoe UI" w:cs="Segoe UI"/>
                <w:sz w:val="23"/>
                <w:szCs w:val="23"/>
              </w:rPr>
            </w:pPr>
            <w:r>
              <w:rPr>
                <w:rFonts w:ascii="Segoe UI" w:hAnsi="Segoe UI" w:cs="Segoe UI"/>
                <w:sz w:val="23"/>
                <w:szCs w:val="23"/>
              </w:rPr>
              <w:t>Develop a TBM "digital twin" that uses machine data and geological models to predict ground conditions and provide operational guidance, moving from reactive to predictive tunnelling.</w:t>
            </w:r>
          </w:p>
        </w:tc>
      </w:tr>
      <w:tr w:rsidR="009D036D" w14:paraId="27C86E60" w14:textId="77777777">
        <w:tc>
          <w:tcPr>
            <w:tcW w:w="0" w:type="auto"/>
            <w:tcMar>
              <w:top w:w="150" w:type="dxa"/>
              <w:left w:w="0" w:type="dxa"/>
              <w:bottom w:w="150" w:type="dxa"/>
              <w:right w:w="240" w:type="dxa"/>
            </w:tcMar>
            <w:vAlign w:val="center"/>
            <w:hideMark/>
          </w:tcPr>
          <w:p w14:paraId="318473D7" w14:textId="77777777" w:rsidR="009D036D" w:rsidRDefault="009D036D">
            <w:pPr>
              <w:spacing w:line="375" w:lineRule="atLeast"/>
              <w:rPr>
                <w:rFonts w:ascii="Segoe UI" w:hAnsi="Segoe UI" w:cs="Segoe UI"/>
                <w:sz w:val="23"/>
                <w:szCs w:val="23"/>
              </w:rPr>
            </w:pPr>
            <w:r>
              <w:rPr>
                <w:rStyle w:val="Strong"/>
                <w:rFonts w:ascii="Segoe UI" w:hAnsi="Segoe UI" w:cs="Segoe UI"/>
                <w:sz w:val="23"/>
                <w:szCs w:val="23"/>
              </w:rPr>
              <w:t>Norwegian Tunnelling</w:t>
            </w:r>
          </w:p>
        </w:tc>
        <w:tc>
          <w:tcPr>
            <w:tcW w:w="0" w:type="auto"/>
            <w:tcMar>
              <w:top w:w="150" w:type="dxa"/>
              <w:left w:w="240" w:type="dxa"/>
              <w:bottom w:w="150" w:type="dxa"/>
              <w:right w:w="240" w:type="dxa"/>
            </w:tcMar>
            <w:vAlign w:val="center"/>
            <w:hideMark/>
          </w:tcPr>
          <w:p w14:paraId="415CCF5B" w14:textId="77777777" w:rsidR="009D036D" w:rsidRDefault="009D036D">
            <w:pPr>
              <w:spacing w:line="375" w:lineRule="atLeast"/>
              <w:rPr>
                <w:rFonts w:ascii="Segoe UI" w:hAnsi="Segoe UI" w:cs="Segoe UI"/>
                <w:sz w:val="23"/>
                <w:szCs w:val="23"/>
              </w:rPr>
            </w:pPr>
            <w:r>
              <w:rPr>
                <w:rFonts w:ascii="Segoe UI" w:hAnsi="Segoe UI" w:cs="Segoe UI"/>
                <w:sz w:val="23"/>
                <w:szCs w:val="23"/>
              </w:rPr>
              <w:t>Standardised Risk Management</w:t>
            </w:r>
          </w:p>
        </w:tc>
        <w:tc>
          <w:tcPr>
            <w:tcW w:w="0" w:type="auto"/>
            <w:tcMar>
              <w:top w:w="150" w:type="dxa"/>
              <w:left w:w="240" w:type="dxa"/>
              <w:bottom w:w="150" w:type="dxa"/>
              <w:right w:w="240" w:type="dxa"/>
            </w:tcMar>
            <w:vAlign w:val="center"/>
            <w:hideMark/>
          </w:tcPr>
          <w:p w14:paraId="208B9E24" w14:textId="77777777" w:rsidR="009D036D" w:rsidRDefault="009D036D">
            <w:pPr>
              <w:spacing w:line="375" w:lineRule="atLeast"/>
              <w:rPr>
                <w:rFonts w:ascii="Segoe UI" w:hAnsi="Segoe UI" w:cs="Segoe UI"/>
                <w:sz w:val="23"/>
                <w:szCs w:val="23"/>
              </w:rPr>
            </w:pPr>
            <w:r>
              <w:rPr>
                <w:rFonts w:ascii="Segoe UI" w:hAnsi="Segoe UI" w:cs="Segoe UI"/>
                <w:sz w:val="23"/>
                <w:szCs w:val="23"/>
              </w:rPr>
              <w:t>"Q-system" for rock mass classification and support design, and a strong risk-sharing contractual culture.</w:t>
            </w:r>
          </w:p>
        </w:tc>
        <w:tc>
          <w:tcPr>
            <w:tcW w:w="0" w:type="auto"/>
            <w:tcMar>
              <w:top w:w="150" w:type="dxa"/>
              <w:left w:w="240" w:type="dxa"/>
              <w:bottom w:w="150" w:type="dxa"/>
              <w:right w:w="0" w:type="dxa"/>
            </w:tcMar>
            <w:vAlign w:val="center"/>
            <w:hideMark/>
          </w:tcPr>
          <w:p w14:paraId="273E9AE1" w14:textId="77777777" w:rsidR="009D036D" w:rsidRDefault="009D036D">
            <w:pPr>
              <w:spacing w:line="375" w:lineRule="atLeast"/>
              <w:rPr>
                <w:rFonts w:ascii="Segoe UI" w:hAnsi="Segoe UI" w:cs="Segoe UI"/>
                <w:sz w:val="23"/>
                <w:szCs w:val="23"/>
              </w:rPr>
            </w:pPr>
            <w:r>
              <w:rPr>
                <w:rFonts w:ascii="Segoe UI" w:hAnsi="Segoe UI" w:cs="Segoe UI"/>
                <w:sz w:val="23"/>
                <w:szCs w:val="23"/>
              </w:rPr>
              <w:t>Adopt a standardised, transparent geotechnical baseline report and a contractual model that shares the risk of "differing site conditions" fairly between client and contractor.</w:t>
            </w:r>
          </w:p>
        </w:tc>
      </w:tr>
    </w:tbl>
    <w:p w14:paraId="4F3F1B09"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5. Emerging Opportunities and Future Development</w:t>
      </w:r>
    </w:p>
    <w:p w14:paraId="42FD1105"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of Snowy 2.0, while stark, illuminate a clear path forward. The industry must embrace a suite of emerging opportunities to build systemic resilience.</w:t>
      </w:r>
    </w:p>
    <w:p w14:paraId="0182C41D"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The Digital Twin: From Reactive to Predictive Project Delivery</w:t>
      </w:r>
      <w:r>
        <w:rPr>
          <w:rFonts w:ascii="Segoe UI" w:hAnsi="Segoe UI" w:cs="Segoe UI"/>
          <w:color w:val="0F1115"/>
        </w:rPr>
        <w:br/>
        <w:t>The concept of a </w:t>
      </w:r>
      <w:r>
        <w:rPr>
          <w:rStyle w:val="Strong"/>
          <w:rFonts w:ascii="Segoe UI" w:eastAsiaTheme="majorEastAsia" w:hAnsi="Segoe UI" w:cs="Segoe UI"/>
          <w:color w:val="0F1115"/>
        </w:rPr>
        <w:t>Project Digital Twin</w:t>
      </w:r>
      <w:r>
        <w:rPr>
          <w:rFonts w:ascii="Segoe UI" w:hAnsi="Segoe UI" w:cs="Segoe UI"/>
          <w:color w:val="0F1115"/>
        </w:rPr>
        <w:t> represents a paradigm shift. It is a dynamic, virtual model of the physical project that is continuously updated with real-time data from the construction site.</w:t>
      </w:r>
    </w:p>
    <w:p w14:paraId="10AA311A" w14:textId="77777777" w:rsidR="009D036D" w:rsidRDefault="009D036D" w:rsidP="009D036D">
      <w:pPr>
        <w:pStyle w:val="ds-markdown-paragraph"/>
        <w:numPr>
          <w:ilvl w:val="0"/>
          <w:numId w:val="54"/>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xml:space="preserve"> For a tunnelling project, the Digital Twin would integrate the 3D geological model, TBM telemetry (advance rate, torque, thrust), probe </w:t>
      </w:r>
      <w:r>
        <w:rPr>
          <w:rFonts w:ascii="Segoe UI" w:hAnsi="Segoe UI" w:cs="Segoe UI"/>
          <w:color w:val="0F1115"/>
        </w:rPr>
        <w:lastRenderedPageBreak/>
        <w:t>drilling data, and monitoring sensor readings. Using machine learning, the twin could identify patterns and predict ground conditions ahead of the TBM, optimise TBM steering and performance, and simulate the impact of different recovery strategies for incidents.</w:t>
      </w:r>
    </w:p>
    <w:p w14:paraId="6C2A7E7F" w14:textId="77777777" w:rsidR="009D036D" w:rsidRDefault="009D036D" w:rsidP="009D036D">
      <w:pPr>
        <w:pStyle w:val="ds-markdown-paragraph"/>
        <w:numPr>
          <w:ilvl w:val="0"/>
          <w:numId w:val="54"/>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would directly address the geological and logistical challenges. By predicting ground conditions, it reduces the frequency and severity of surprises. By simulating logistics, it allows for the optimisation of material and equipment flows in the constrained environment, breaking the vicious cycle at its source.</w:t>
      </w:r>
    </w:p>
    <w:p w14:paraId="3543C17D"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Collaborative Contracting: Fostering a Culture of Shared Problem-Solving</w:t>
      </w:r>
      <w:r>
        <w:rPr>
          <w:rFonts w:ascii="Segoe UI" w:hAnsi="Segoe UI" w:cs="Segoe UI"/>
          <w:color w:val="0F1115"/>
        </w:rPr>
        <w:br/>
        <w:t>Traditional lump-sum contracts often create adversarial relationships when unforeseen conditions arise, as seen at Snowy 2.0. </w:t>
      </w:r>
      <w:r>
        <w:rPr>
          <w:rStyle w:val="Strong"/>
          <w:rFonts w:ascii="Segoe UI" w:eastAsiaTheme="majorEastAsia" w:hAnsi="Segoe UI" w:cs="Segoe UI"/>
          <w:color w:val="0F1115"/>
        </w:rPr>
        <w:t>Alliancing</w:t>
      </w:r>
      <w:r>
        <w:rPr>
          <w:rFonts w:ascii="Segoe UI" w:hAnsi="Segoe UI" w:cs="Segoe UI"/>
          <w:color w:val="0F1115"/>
        </w:rPr>
        <w:t> or other collaborative models offer a superior alternative.</w:t>
      </w:r>
    </w:p>
    <w:p w14:paraId="0362B780" w14:textId="77777777" w:rsidR="009D036D" w:rsidRDefault="009D036D" w:rsidP="009D036D">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In an Alliance, the client and contractor form a single integrated team with shared financial pain/gain incentives based on the overall project outcome, not individual activities. An independent board oversees project performance.</w:t>
      </w:r>
    </w:p>
    <w:p w14:paraId="7D2649DE" w14:textId="77777777" w:rsidR="009D036D" w:rsidRDefault="009D036D" w:rsidP="009D036D">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xml:space="preserve"> In this model, a geological surprise is a shared problem to be solved in the most efficient way for the project, not a source of claims and disputes. </w:t>
      </w:r>
      <w:proofErr w:type="gramStart"/>
      <w:r>
        <w:rPr>
          <w:rFonts w:ascii="Segoe UI" w:hAnsi="Segoe UI" w:cs="Segoe UI"/>
          <w:color w:val="0F1115"/>
        </w:rPr>
        <w:t>This fosters</w:t>
      </w:r>
      <w:proofErr w:type="gramEnd"/>
      <w:r>
        <w:rPr>
          <w:rFonts w:ascii="Segoe UI" w:hAnsi="Segoe UI" w:cs="Segoe UI"/>
          <w:color w:val="0F1115"/>
        </w:rPr>
        <w:t xml:space="preserve"> open communication, encourages the early adoption of innovative solutions (like more probe drilling), and aligns everyone towards the common goal of on-time, on-budget delivery.</w:t>
      </w:r>
    </w:p>
    <w:p w14:paraId="40ECB578"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Technological Evolution in Tunnelling</w:t>
      </w:r>
      <w:r>
        <w:rPr>
          <w:rFonts w:ascii="Segoe UI" w:hAnsi="Segoe UI" w:cs="Segoe UI"/>
          <w:color w:val="0F1115"/>
        </w:rPr>
        <w:br/>
        <w:t>The industry must learn from Snowy 2.0 and invest in more adaptable tunnelling technologies.</w:t>
      </w:r>
    </w:p>
    <w:p w14:paraId="53FAA51E" w14:textId="77777777" w:rsidR="009D036D" w:rsidRDefault="009D036D" w:rsidP="009D036D">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The development and deployment of </w:t>
      </w:r>
      <w:r>
        <w:rPr>
          <w:rStyle w:val="Strong"/>
          <w:rFonts w:ascii="Segoe UI" w:eastAsiaTheme="majorEastAsia" w:hAnsi="Segoe UI" w:cs="Segoe UI"/>
          <w:color w:val="0F1115"/>
        </w:rPr>
        <w:t>Variable Density TBMs</w:t>
      </w:r>
      <w:r>
        <w:rPr>
          <w:rFonts w:ascii="Segoe UI" w:hAnsi="Segoe UI" w:cs="Segoe UI"/>
          <w:color w:val="0F1115"/>
        </w:rPr>
        <w:t> or </w:t>
      </w:r>
      <w:r>
        <w:rPr>
          <w:rStyle w:val="Strong"/>
          <w:rFonts w:ascii="Segoe UI" w:eastAsiaTheme="majorEastAsia" w:hAnsi="Segoe UI" w:cs="Segoe UI"/>
          <w:color w:val="0F1115"/>
        </w:rPr>
        <w:t>Multi-Mode TBMs</w:t>
      </w:r>
      <w:r>
        <w:rPr>
          <w:rFonts w:ascii="Segoe UI" w:hAnsi="Segoe UI" w:cs="Segoe UI"/>
          <w:color w:val="0F1115"/>
        </w:rPr>
        <w:t> that can seamlessly switch between hard rock and soft ground/EPB (Earth Pressure Balance) modes. Furthermore, the use of </w:t>
      </w:r>
      <w:r>
        <w:rPr>
          <w:rStyle w:val="Strong"/>
          <w:rFonts w:ascii="Segoe UI" w:eastAsiaTheme="majorEastAsia" w:hAnsi="Segoe UI" w:cs="Segoe UI"/>
          <w:color w:val="0F1115"/>
        </w:rPr>
        <w:t>automated robotic systems</w:t>
      </w:r>
      <w:r>
        <w:rPr>
          <w:rFonts w:ascii="Segoe UI" w:hAnsi="Segoe UI" w:cs="Segoe UI"/>
          <w:color w:val="0F1115"/>
        </w:rPr>
        <w:t> for ground support installation in high-risk areas can enhance safety and speed.</w:t>
      </w:r>
    </w:p>
    <w:p w14:paraId="519D58A6" w14:textId="77777777" w:rsidR="009D036D" w:rsidRDefault="009D036D" w:rsidP="009D036D">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Such technology would have provided the operational flexibility to handle the variable ground conditions at Snowy 2.0 more effectively, reducing stoppages and improving advance rates, thereby directly mitigating the primary technical challenge.</w:t>
      </w:r>
    </w:p>
    <w:p w14:paraId="1C5EAF99"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Conclusion</w:t>
      </w:r>
    </w:p>
    <w:p w14:paraId="77834B82"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Snowy 2.0 project stands as a poignant and powerful case study in the grand challenges of modern construction. Its trials—the geological uncertainties, the amplified logistical nightmares, and the severe commercial consequences—were not </w:t>
      </w:r>
      <w:r>
        <w:rPr>
          <w:rFonts w:ascii="Segoe UI" w:hAnsi="Segoe UI" w:cs="Segoe UI"/>
          <w:color w:val="0F1115"/>
        </w:rPr>
        <w:lastRenderedPageBreak/>
        <w:t>a result of a single point of failure but of a system that was vulnerable to reinforcing cycles of risk. The analysis confirms that in complex megaprojects, technical challenges are inextricably linked to managerial, logistical, and commercial outcomes.</w:t>
      </w:r>
    </w:p>
    <w:p w14:paraId="02F4ACA5"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However, within this analysis lies the blueprint for future success. The lessons from international best practices are clear: a proactive, data-driven approach to risk management is non-negotiable. The emerging opportunities of Digital Twins, collaborative contracting, and advanced tunnelling technologies provide the practical tools to implement this philosophy. The Australian construction industry must therefore view the experience of Snowy 2.0 not with recrimination, but as a costly yet invaluable investment in learning. By courageously embracing the necessary digital, cultural, and technological shifts, the industry can transform its capability, ensuring that the nation's next critical infrastructure project is delivered with the resilience, efficiency, and certainty that the future demands.</w:t>
      </w:r>
    </w:p>
    <w:p w14:paraId="5116E73B" w14:textId="77777777" w:rsidR="009D036D" w:rsidRDefault="009D036D" w:rsidP="009D036D">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References</w:t>
      </w:r>
    </w:p>
    <w:p w14:paraId="76B1AB68"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Department of Planning and Environment. (2023). </w:t>
      </w:r>
      <w:r>
        <w:rPr>
          <w:rStyle w:val="Emphasis"/>
          <w:rFonts w:ascii="Segoe UI" w:eastAsiaTheme="majorEastAsia" w:hAnsi="Segoe UI" w:cs="Segoe UI"/>
          <w:color w:val="0F1115"/>
        </w:rPr>
        <w:t>Snowy 2.0 Major Project Modification Report</w:t>
      </w:r>
      <w:r>
        <w:rPr>
          <w:rFonts w:ascii="Segoe UI" w:hAnsi="Segoe UI" w:cs="Segoe UI"/>
          <w:color w:val="0F1115"/>
        </w:rPr>
        <w:t>. NSW Government.</w:t>
      </w:r>
    </w:p>
    <w:p w14:paraId="1909A0FB"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Harley, R. (2024). 'Worse than expected': Snowy 2.0 battles geology, delays. </w:t>
      </w:r>
      <w:r>
        <w:rPr>
          <w:rStyle w:val="Emphasis"/>
          <w:rFonts w:ascii="Segoe UI" w:eastAsiaTheme="majorEastAsia" w:hAnsi="Segoe UI" w:cs="Segoe UI"/>
          <w:color w:val="0F1115"/>
        </w:rPr>
        <w:t>Australian Financial Review</w:t>
      </w:r>
      <w:r>
        <w:rPr>
          <w:rFonts w:ascii="Segoe UI" w:hAnsi="Segoe UI" w:cs="Segoe UI"/>
          <w:color w:val="0F1115"/>
        </w:rPr>
        <w:t>. [Online] Available at: </w:t>
      </w:r>
      <w:hyperlink r:id="rId7" w:tgtFrame="_blank" w:history="1">
        <w:r>
          <w:rPr>
            <w:rStyle w:val="Hyperlink"/>
            <w:rFonts w:ascii="Segoe UI" w:eastAsiaTheme="majorEastAsia" w:hAnsi="Segoe UI" w:cs="Segoe UI"/>
            <w:color w:val="3964FE"/>
            <w:bdr w:val="single" w:sz="8" w:space="0" w:color="auto" w:frame="1"/>
          </w:rPr>
          <w:t>https://www.afr.com</w:t>
        </w:r>
      </w:hyperlink>
      <w:r>
        <w:rPr>
          <w:rFonts w:ascii="Segoe UI" w:hAnsi="Segoe UI" w:cs="Segoe UI"/>
          <w:color w:val="0F1115"/>
        </w:rPr>
        <w:t> (Accessed: 20 November 2025).</w:t>
      </w:r>
    </w:p>
    <w:p w14:paraId="21717BC0"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Huang, X., Li, S., &amp; Zhang, Q. (2021). 'Real-time risk management in subsea tunnelling: A case study of Qingdao </w:t>
      </w:r>
      <w:proofErr w:type="spellStart"/>
      <w:r>
        <w:rPr>
          <w:rFonts w:ascii="Segoe UI" w:hAnsi="Segoe UI" w:cs="Segoe UI"/>
          <w:color w:val="0F1115"/>
        </w:rPr>
        <w:t>Jiaozhou</w:t>
      </w:r>
      <w:proofErr w:type="spellEnd"/>
      <w:r>
        <w:rPr>
          <w:rFonts w:ascii="Segoe UI" w:hAnsi="Segoe UI" w:cs="Segoe UI"/>
          <w:color w:val="0F1115"/>
        </w:rPr>
        <w:t xml:space="preserve"> Bay Tunnel'. </w:t>
      </w:r>
      <w:r>
        <w:rPr>
          <w:rStyle w:val="Emphasis"/>
          <w:rFonts w:ascii="Segoe UI" w:eastAsiaTheme="majorEastAsia" w:hAnsi="Segoe UI" w:cs="Segoe UI"/>
          <w:color w:val="0F1115"/>
        </w:rPr>
        <w:t>Tunnelling and Underground Space Technology</w:t>
      </w:r>
      <w:r>
        <w:rPr>
          <w:rFonts w:ascii="Segoe UI" w:hAnsi="Segoe UI" w:cs="Segoe UI"/>
          <w:color w:val="0F1115"/>
        </w:rPr>
        <w:t>, *115*, 104055.</w:t>
      </w:r>
    </w:p>
    <w:p w14:paraId="19A541EE"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Rehbock-Sutter, M. (2018). </w:t>
      </w:r>
      <w:r>
        <w:rPr>
          <w:rStyle w:val="Emphasis"/>
          <w:rFonts w:ascii="Segoe UI" w:eastAsiaTheme="majorEastAsia" w:hAnsi="Segoe UI" w:cs="Segoe UI"/>
          <w:color w:val="0F1115"/>
        </w:rPr>
        <w:t>The Gotthard Base Tunnel: Lessons Learned from a Masterpiece of Engineering</w:t>
      </w:r>
      <w:r>
        <w:rPr>
          <w:rFonts w:ascii="Segoe UI" w:hAnsi="Segoe UI" w:cs="Segoe UI"/>
          <w:color w:val="0F1115"/>
        </w:rPr>
        <w:t>. ETH Zurich.</w:t>
      </w:r>
    </w:p>
    <w:p w14:paraId="73DEFE61"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Snowy Hydro. (2023). </w:t>
      </w:r>
      <w:r>
        <w:rPr>
          <w:rStyle w:val="Emphasis"/>
          <w:rFonts w:ascii="Segoe UI" w:eastAsiaTheme="majorEastAsia" w:hAnsi="Segoe UI" w:cs="Segoe UI"/>
          <w:color w:val="0F1115"/>
        </w:rPr>
        <w:t>Snowy 2.0 Project Overview</w:t>
      </w:r>
      <w:r>
        <w:rPr>
          <w:rFonts w:ascii="Segoe UI" w:hAnsi="Segoe UI" w:cs="Segoe UI"/>
          <w:color w:val="0F1115"/>
        </w:rPr>
        <w:t>. [Online] Available at: </w:t>
      </w:r>
      <w:hyperlink r:id="rId8" w:tgtFrame="_blank" w:history="1">
        <w:r>
          <w:rPr>
            <w:rStyle w:val="Hyperlink"/>
            <w:rFonts w:ascii="Segoe UI" w:eastAsiaTheme="majorEastAsia" w:hAnsi="Segoe UI" w:cs="Segoe UI"/>
            <w:color w:val="3964FE"/>
            <w:bdr w:val="single" w:sz="8" w:space="0" w:color="auto" w:frame="1"/>
          </w:rPr>
          <w:t>https://www.snowyhydro.com.au/snowy-20/</w:t>
        </w:r>
      </w:hyperlink>
      <w:r>
        <w:rPr>
          <w:rFonts w:ascii="Segoe UI" w:hAnsi="Segoe UI" w:cs="Segoe UI"/>
          <w:color w:val="0F1115"/>
        </w:rPr>
        <w:t> (Accessed: 15 November 2025).</w:t>
      </w:r>
    </w:p>
    <w:p w14:paraId="4CD1D4E9" w14:textId="77777777" w:rsidR="009D036D" w:rsidRDefault="009D036D" w:rsidP="009D036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Snowy Hydro. (2024). </w:t>
      </w:r>
      <w:r>
        <w:rPr>
          <w:rStyle w:val="Emphasis"/>
          <w:rFonts w:ascii="Segoe UI" w:eastAsiaTheme="majorEastAsia" w:hAnsi="Segoe UI" w:cs="Segoe UI"/>
          <w:color w:val="0F1115"/>
        </w:rPr>
        <w:t>Snowy 2.0 Project Update and Financial Review</w:t>
      </w:r>
      <w:r>
        <w:rPr>
          <w:rFonts w:ascii="Segoe UI" w:hAnsi="Segoe UI" w:cs="Segoe UI"/>
          <w:color w:val="0F1115"/>
        </w:rPr>
        <w:t>. [Online] Available at: </w:t>
      </w:r>
      <w:hyperlink r:id="rId9" w:tgtFrame="_blank" w:history="1">
        <w:r>
          <w:rPr>
            <w:rStyle w:val="Hyperlink"/>
            <w:rFonts w:ascii="Segoe UI" w:eastAsiaTheme="majorEastAsia" w:hAnsi="Segoe UI" w:cs="Segoe UI"/>
            <w:color w:val="3964FE"/>
            <w:bdr w:val="single" w:sz="8" w:space="0" w:color="auto" w:frame="1"/>
          </w:rPr>
          <w:t>https://www.snowyhydro.com.au/snowy-20/</w:t>
        </w:r>
      </w:hyperlink>
      <w:r>
        <w:rPr>
          <w:rFonts w:ascii="Segoe UI" w:hAnsi="Segoe UI" w:cs="Segoe UI"/>
          <w:color w:val="0F1115"/>
        </w:rPr>
        <w:t> (Accessed: 22 November 2025).</w:t>
      </w:r>
    </w:p>
    <w:p w14:paraId="063D6A46" w14:textId="2686043B" w:rsidR="005763A1" w:rsidRPr="009D036D" w:rsidRDefault="005763A1" w:rsidP="009D036D"/>
    <w:sectPr w:rsidR="005763A1" w:rsidRPr="009D036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1DAE"/>
    <w:multiLevelType w:val="multilevel"/>
    <w:tmpl w:val="B8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95DB8"/>
    <w:multiLevelType w:val="multilevel"/>
    <w:tmpl w:val="580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F7E70"/>
    <w:multiLevelType w:val="multilevel"/>
    <w:tmpl w:val="ABC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6617E"/>
    <w:multiLevelType w:val="multilevel"/>
    <w:tmpl w:val="DD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32A77"/>
    <w:multiLevelType w:val="multilevel"/>
    <w:tmpl w:val="A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096A6E"/>
    <w:multiLevelType w:val="multilevel"/>
    <w:tmpl w:val="942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17D94"/>
    <w:multiLevelType w:val="multilevel"/>
    <w:tmpl w:val="DA6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266FC"/>
    <w:multiLevelType w:val="multilevel"/>
    <w:tmpl w:val="50C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3"/>
  </w:num>
  <w:num w:numId="2" w16cid:durableId="821698845">
    <w:abstractNumId w:val="35"/>
  </w:num>
  <w:num w:numId="3" w16cid:durableId="1500922540">
    <w:abstractNumId w:val="5"/>
  </w:num>
  <w:num w:numId="4" w16cid:durableId="207767914">
    <w:abstractNumId w:val="2"/>
  </w:num>
  <w:num w:numId="5" w16cid:durableId="1618871916">
    <w:abstractNumId w:val="26"/>
  </w:num>
  <w:num w:numId="6" w16cid:durableId="831600699">
    <w:abstractNumId w:val="39"/>
  </w:num>
  <w:num w:numId="7" w16cid:durableId="819927118">
    <w:abstractNumId w:val="52"/>
  </w:num>
  <w:num w:numId="8" w16cid:durableId="1836339821">
    <w:abstractNumId w:val="3"/>
  </w:num>
  <w:num w:numId="9" w16cid:durableId="877275635">
    <w:abstractNumId w:val="54"/>
  </w:num>
  <w:num w:numId="10" w16cid:durableId="163475279">
    <w:abstractNumId w:val="51"/>
  </w:num>
  <w:num w:numId="11" w16cid:durableId="660743435">
    <w:abstractNumId w:val="49"/>
  </w:num>
  <w:num w:numId="12" w16cid:durableId="1334062966">
    <w:abstractNumId w:val="55"/>
  </w:num>
  <w:num w:numId="13" w16cid:durableId="1416509605">
    <w:abstractNumId w:val="4"/>
  </w:num>
  <w:num w:numId="14" w16cid:durableId="684675586">
    <w:abstractNumId w:val="40"/>
  </w:num>
  <w:num w:numId="15" w16cid:durableId="1084490379">
    <w:abstractNumId w:val="21"/>
  </w:num>
  <w:num w:numId="16" w16cid:durableId="1177233249">
    <w:abstractNumId w:val="45"/>
  </w:num>
  <w:num w:numId="17" w16cid:durableId="1332492463">
    <w:abstractNumId w:val="44"/>
  </w:num>
  <w:num w:numId="18" w16cid:durableId="1750301735">
    <w:abstractNumId w:val="37"/>
  </w:num>
  <w:num w:numId="19" w16cid:durableId="1384524300">
    <w:abstractNumId w:val="23"/>
  </w:num>
  <w:num w:numId="20" w16cid:durableId="675889748">
    <w:abstractNumId w:val="25"/>
  </w:num>
  <w:num w:numId="21" w16cid:durableId="1140463376">
    <w:abstractNumId w:val="41"/>
  </w:num>
  <w:num w:numId="22" w16cid:durableId="2060670041">
    <w:abstractNumId w:val="12"/>
  </w:num>
  <w:num w:numId="23" w16cid:durableId="1986078983">
    <w:abstractNumId w:val="17"/>
  </w:num>
  <w:num w:numId="24" w16cid:durableId="954676395">
    <w:abstractNumId w:val="15"/>
  </w:num>
  <w:num w:numId="25" w16cid:durableId="224025661">
    <w:abstractNumId w:val="34"/>
  </w:num>
  <w:num w:numId="26" w16cid:durableId="1399131629">
    <w:abstractNumId w:val="48"/>
  </w:num>
  <w:num w:numId="27" w16cid:durableId="1784642234">
    <w:abstractNumId w:val="9"/>
  </w:num>
  <w:num w:numId="28" w16cid:durableId="924189728">
    <w:abstractNumId w:val="0"/>
  </w:num>
  <w:num w:numId="29" w16cid:durableId="1320427781">
    <w:abstractNumId w:val="11"/>
  </w:num>
  <w:num w:numId="30" w16cid:durableId="851796786">
    <w:abstractNumId w:val="47"/>
  </w:num>
  <w:num w:numId="31" w16cid:durableId="1752772098">
    <w:abstractNumId w:val="10"/>
  </w:num>
  <w:num w:numId="32" w16cid:durableId="1970890577">
    <w:abstractNumId w:val="30"/>
  </w:num>
  <w:num w:numId="33" w16cid:durableId="592933262">
    <w:abstractNumId w:val="43"/>
  </w:num>
  <w:num w:numId="34" w16cid:durableId="1440567086">
    <w:abstractNumId w:val="1"/>
  </w:num>
  <w:num w:numId="35" w16cid:durableId="1913655594">
    <w:abstractNumId w:val="38"/>
  </w:num>
  <w:num w:numId="36" w16cid:durableId="119151285">
    <w:abstractNumId w:val="16"/>
  </w:num>
  <w:num w:numId="37" w16cid:durableId="1884242915">
    <w:abstractNumId w:val="22"/>
  </w:num>
  <w:num w:numId="38" w16cid:durableId="1501575521">
    <w:abstractNumId w:val="20"/>
  </w:num>
  <w:num w:numId="39" w16cid:durableId="334188135">
    <w:abstractNumId w:val="6"/>
  </w:num>
  <w:num w:numId="40" w16cid:durableId="1371766576">
    <w:abstractNumId w:val="50"/>
  </w:num>
  <w:num w:numId="41" w16cid:durableId="1846821847">
    <w:abstractNumId w:val="14"/>
  </w:num>
  <w:num w:numId="42" w16cid:durableId="343746640">
    <w:abstractNumId w:val="31"/>
  </w:num>
  <w:num w:numId="43" w16cid:durableId="1371296642">
    <w:abstractNumId w:val="27"/>
  </w:num>
  <w:num w:numId="44" w16cid:durableId="2133859188">
    <w:abstractNumId w:val="46"/>
  </w:num>
  <w:num w:numId="45" w16cid:durableId="1187909936">
    <w:abstractNumId w:val="7"/>
  </w:num>
  <w:num w:numId="46" w16cid:durableId="702286342">
    <w:abstractNumId w:val="24"/>
  </w:num>
  <w:num w:numId="47" w16cid:durableId="1702824320">
    <w:abstractNumId w:val="29"/>
  </w:num>
  <w:num w:numId="48" w16cid:durableId="786388559">
    <w:abstractNumId w:val="19"/>
  </w:num>
  <w:num w:numId="49" w16cid:durableId="223180517">
    <w:abstractNumId w:val="28"/>
  </w:num>
  <w:num w:numId="50" w16cid:durableId="962618900">
    <w:abstractNumId w:val="8"/>
  </w:num>
  <w:num w:numId="51" w16cid:durableId="44989041">
    <w:abstractNumId w:val="42"/>
  </w:num>
  <w:num w:numId="52" w16cid:durableId="2137674371">
    <w:abstractNumId w:val="53"/>
  </w:num>
  <w:num w:numId="53" w16cid:durableId="1529299712">
    <w:abstractNumId w:val="18"/>
  </w:num>
  <w:num w:numId="54" w16cid:durableId="969096027">
    <w:abstractNumId w:val="36"/>
  </w:num>
  <w:num w:numId="55" w16cid:durableId="1155100120">
    <w:abstractNumId w:val="33"/>
  </w:num>
  <w:num w:numId="56" w16cid:durableId="4232608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0FACd+i1UtAAAA"/>
  </w:docVars>
  <w:rsids>
    <w:rsidRoot w:val="00AE4A1F"/>
    <w:rsid w:val="000333AF"/>
    <w:rsid w:val="000772F3"/>
    <w:rsid w:val="000A09D0"/>
    <w:rsid w:val="000B33EE"/>
    <w:rsid w:val="0018356D"/>
    <w:rsid w:val="001B3635"/>
    <w:rsid w:val="001D59BF"/>
    <w:rsid w:val="00233DAC"/>
    <w:rsid w:val="00281372"/>
    <w:rsid w:val="00304A8F"/>
    <w:rsid w:val="00304D0F"/>
    <w:rsid w:val="00310F89"/>
    <w:rsid w:val="00325E18"/>
    <w:rsid w:val="00381A3D"/>
    <w:rsid w:val="00390A91"/>
    <w:rsid w:val="00414F14"/>
    <w:rsid w:val="00423A0B"/>
    <w:rsid w:val="00435D88"/>
    <w:rsid w:val="00441EBF"/>
    <w:rsid w:val="004455D4"/>
    <w:rsid w:val="00463EE7"/>
    <w:rsid w:val="00494234"/>
    <w:rsid w:val="004C167C"/>
    <w:rsid w:val="004E4021"/>
    <w:rsid w:val="0055002F"/>
    <w:rsid w:val="00552D52"/>
    <w:rsid w:val="005763A1"/>
    <w:rsid w:val="0059533D"/>
    <w:rsid w:val="005C1E8C"/>
    <w:rsid w:val="005D722F"/>
    <w:rsid w:val="00604552"/>
    <w:rsid w:val="00627981"/>
    <w:rsid w:val="0065544E"/>
    <w:rsid w:val="006833B7"/>
    <w:rsid w:val="0068640E"/>
    <w:rsid w:val="006A5E07"/>
    <w:rsid w:val="006E0B82"/>
    <w:rsid w:val="00732B38"/>
    <w:rsid w:val="007D7459"/>
    <w:rsid w:val="00801B2A"/>
    <w:rsid w:val="00846818"/>
    <w:rsid w:val="00846E8A"/>
    <w:rsid w:val="008A11FC"/>
    <w:rsid w:val="008E568C"/>
    <w:rsid w:val="008F2E42"/>
    <w:rsid w:val="00934A3F"/>
    <w:rsid w:val="00960508"/>
    <w:rsid w:val="009B2473"/>
    <w:rsid w:val="009D036D"/>
    <w:rsid w:val="009E4FE0"/>
    <w:rsid w:val="009E501F"/>
    <w:rsid w:val="00A67186"/>
    <w:rsid w:val="00AA52CD"/>
    <w:rsid w:val="00AE4A1F"/>
    <w:rsid w:val="00B12850"/>
    <w:rsid w:val="00B44718"/>
    <w:rsid w:val="00B54D89"/>
    <w:rsid w:val="00B63465"/>
    <w:rsid w:val="00B826A4"/>
    <w:rsid w:val="00BC7ACE"/>
    <w:rsid w:val="00BD0E9E"/>
    <w:rsid w:val="00C00B0B"/>
    <w:rsid w:val="00C13BF4"/>
    <w:rsid w:val="00C76BEF"/>
    <w:rsid w:val="00CB37C3"/>
    <w:rsid w:val="00D669B7"/>
    <w:rsid w:val="00D757CB"/>
    <w:rsid w:val="00DB3FF9"/>
    <w:rsid w:val="00DF1E3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owyhydro.com.au/snowy-20/" TargetMode="External"/><Relationship Id="rId3" Type="http://schemas.openxmlformats.org/officeDocument/2006/relationships/settings" Target="settings.xml"/><Relationship Id="rId7" Type="http://schemas.openxmlformats.org/officeDocument/2006/relationships/hyperlink" Target="https://www.af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nowyhydro.com.au/snowy-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2632</Words>
  <Characters>16253</Characters>
  <Application>Microsoft Office Word</Application>
  <DocSecurity>0</DocSecurity>
  <Lines>398</Lines>
  <Paragraphs>87</Paragraphs>
  <ScaleCrop>false</ScaleCrop>
  <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43</cp:revision>
  <dcterms:created xsi:type="dcterms:W3CDTF">2025-10-12T05:00:00Z</dcterms:created>
  <dcterms:modified xsi:type="dcterms:W3CDTF">2025-10-26T04:28:00Z</dcterms:modified>
</cp:coreProperties>
</file>