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0B29"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Analysis of Construction Challenges and Opportunities: The New Sydney Fish Market Project</w:t>
      </w:r>
    </w:p>
    <w:p w14:paraId="23252154"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8</w:t>
      </w:r>
      <w:r>
        <w:rPr>
          <w:rFonts w:ascii="Segoe UI" w:hAnsi="Segoe UI" w:cs="Segoe UI"/>
          <w:color w:val="0F1115"/>
        </w:rPr>
        <w:br/>
        <w:t>CVEN9723 - Design of Construction Operations</w:t>
      </w:r>
      <w:r>
        <w:rPr>
          <w:rFonts w:ascii="Segoe UI" w:hAnsi="Segoe UI" w:cs="Segoe UI"/>
          <w:color w:val="0F1115"/>
        </w:rPr>
        <w:br/>
        <w:t>Term 3, 2025</w:t>
      </w:r>
      <w:r>
        <w:rPr>
          <w:rFonts w:ascii="Segoe UI" w:hAnsi="Segoe UI" w:cs="Segoe UI"/>
          <w:color w:val="0F1115"/>
        </w:rPr>
        <w:br/>
        <w:t>UNSW Sydney</w:t>
      </w:r>
      <w:r>
        <w:rPr>
          <w:rFonts w:ascii="Segoe UI" w:hAnsi="Segoe UI" w:cs="Segoe UI"/>
          <w:color w:val="0F1115"/>
        </w:rPr>
        <w:br/>
        <w:t>Date: 26 November 2025</w:t>
      </w:r>
    </w:p>
    <w:p w14:paraId="551E0B8C"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Executive Summary</w:t>
      </w:r>
    </w:p>
    <w:p w14:paraId="7CADE095"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examines the New Sydney Fish Market project, a significant waterfront redevelopment that encapsulates key challenges within the Australian construction industry. The analysis identifies three primary challenges: complex marine construction and foundation works, intricate logistics and traffic management in a constrained urban site, and the imperative of maintaining continuous operational functionality of the existing market. These issues are critically interconnected, where marine constraints directly complicate logistics, collectively threatening project timelines and budgets. The report reviews best practices from the Barangaroo Headland Park project and international marine construction, highlighting the effectiveness of prefabrication and proactive stakeholder communication. Finally, the discussion explores emerging opportunities such as the application of Building Information Modelling for digital prototyping, the adoption of Modular Integrated Construction (</w:t>
      </w:r>
      <w:proofErr w:type="spellStart"/>
      <w:r>
        <w:rPr>
          <w:rFonts w:ascii="Segoe UI" w:hAnsi="Segoe UI" w:cs="Segoe UI"/>
          <w:color w:val="0F1115"/>
        </w:rPr>
        <w:t>MiC</w:t>
      </w:r>
      <w:proofErr w:type="spellEnd"/>
      <w:r>
        <w:rPr>
          <w:rFonts w:ascii="Segoe UI" w:hAnsi="Segoe UI" w:cs="Segoe UI"/>
          <w:color w:val="0F1115"/>
        </w:rPr>
        <w:t>), and the use of low-impact marine piling techniques. This case study concludes that such urban regeneration projects necessitate an integrated approach, blending innovative engineering with sophisticated stakeholder and programme management.</w:t>
      </w:r>
    </w:p>
    <w:p w14:paraId="358DB575"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 Introduction</w:t>
      </w:r>
    </w:p>
    <w:p w14:paraId="187710C3"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Urban waterfront redevelopment projects are critical for enhancing city liveability and economic vitality, yet they present a unique set of construction challenges. The </w:t>
      </w:r>
      <w:r>
        <w:rPr>
          <w:rStyle w:val="Strong"/>
          <w:rFonts w:ascii="Segoe UI" w:eastAsiaTheme="majorEastAsia" w:hAnsi="Segoe UI" w:cs="Segoe UI"/>
          <w:color w:val="0F1115"/>
        </w:rPr>
        <w:t>New Sydney Fish Market</w:t>
      </w:r>
      <w:r>
        <w:rPr>
          <w:rFonts w:ascii="Segoe UI" w:hAnsi="Segoe UI" w:cs="Segoe UI"/>
          <w:color w:val="0F1115"/>
        </w:rPr>
        <w:t xml:space="preserve"> project at Blackwattle Bay is a flagship infrastructure initiative for NSW, designed to create a world-class culinary and tourism destination while modernising essential food market infrastructure. The project involves constructing new wharves, a large-span building over water, and significant public domain works, all adjacent to a sensitive marine environment and dense urban fabric (Infrastructure NSW, 2023). While its strategic value is clear, the project's delivery has been a complex undertaking, illustrating broader industry challenges related to building in constrained, live environments. This report analyses the main challenges </w:t>
      </w:r>
      <w:r>
        <w:rPr>
          <w:rFonts w:ascii="Segoe UI" w:hAnsi="Segoe UI" w:cs="Segoe UI"/>
          <w:color w:val="0F1115"/>
        </w:rPr>
        <w:lastRenderedPageBreak/>
        <w:t>faced, investigates their intrinsic connections, reviews relevant best practices, and discusses the emerging opportunities these challenges reveal for the future of the construction industry.</w:t>
      </w:r>
    </w:p>
    <w:p w14:paraId="2ACAD8B7"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Identification of Main Challenges</w:t>
      </w:r>
    </w:p>
    <w:p w14:paraId="42E8B015"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delivery of the New Sydney Fish Market has been characterised by several interconnected grand challenges.</w:t>
      </w:r>
    </w:p>
    <w:p w14:paraId="73B7FA08"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2.1 Marine Construction and Foundation Complexity</w:t>
      </w:r>
      <w:r>
        <w:rPr>
          <w:rFonts w:ascii="Segoe UI" w:hAnsi="Segoe UI" w:cs="Segoe UI"/>
          <w:color w:val="0F1115"/>
        </w:rPr>
        <w:br/>
        <w:t>A foundational challenge was the construction of a major permanent structure over water. This required extensive marine piling to support the building foundations and new wharf structures. Working in a marine environment introduces complexities such as tidal variations, potential for sediment disturbance, and the corrosive effects of saltwater on materials. The engineering required for stable foundations in the soft seabed sediments of Blackwattle Bay, while ensuring long-term durability, was a significant technical hurdle (NSW Government, 2024).</w:t>
      </w:r>
    </w:p>
    <w:p w14:paraId="73FFEE07"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2.2 Logistics and Traffic Management in a Constrained Site</w:t>
      </w:r>
      <w:r>
        <w:rPr>
          <w:rFonts w:ascii="Segoe UI" w:hAnsi="Segoe UI" w:cs="Segoe UI"/>
          <w:color w:val="0F1115"/>
        </w:rPr>
        <w:br/>
        <w:t>The project site is tightly bound by the bay, the Glebe-Annandale light rail corridor, and major roadways. This created a severe logistical constraint for the delivery of materials, machinery, and the management of construction workforce traffic. The need to coordinate with existing transport networks and minimise disruption to the surrounding residential and business precinct required a highly sophisticated traffic management plan. Any delay or inefficiency in the supply chain was immediately amplified by the lack of on-site storage and laydown areas.</w:t>
      </w:r>
    </w:p>
    <w:p w14:paraId="3C5B7CC0"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2.3 Maintaining Operational Continuity</w:t>
      </w:r>
      <w:r>
        <w:rPr>
          <w:rFonts w:ascii="Segoe UI" w:hAnsi="Segoe UI" w:cs="Segoe UI"/>
          <w:color w:val="0F1115"/>
        </w:rPr>
        <w:br/>
        <w:t>A critical non-negotiable project parameter was the continuous operation of the existing fish market throughout the construction period. This required the phased construction of a temporary market facility, the seamless relocation of all tenants and operations, and then the eventual move into the new permanent facility. This "decanting" process effectively doubled the project's stakeholder management and fit-out tasks, introducing significant programme and sequencing complexity and requiring meticulous planning to avoid disrupting the supply of seafood to the Sydney metropolitan area.</w:t>
      </w:r>
    </w:p>
    <w:p w14:paraId="1CCDB57B"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 Critical Analysis of Problem Causes and Intrinsic Connections</w:t>
      </w:r>
    </w:p>
    <w:p w14:paraId="1AB80075"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identified are not isolated; they form a web of dependencies where a problem in one area cascades into others. The </w:t>
      </w:r>
      <w:r>
        <w:rPr>
          <w:rStyle w:val="Strong"/>
          <w:rFonts w:ascii="Segoe UI" w:eastAsiaTheme="majorEastAsia" w:hAnsi="Segoe UI" w:cs="Segoe UI"/>
          <w:color w:val="0F1115"/>
        </w:rPr>
        <w:t>marine construction challenge</w:t>
      </w:r>
      <w:r>
        <w:rPr>
          <w:rFonts w:ascii="Segoe UI" w:hAnsi="Segoe UI" w:cs="Segoe UI"/>
          <w:color w:val="0F1115"/>
        </w:rPr>
        <w:t> is the primary technical driver. The complexity and slow pace of marine piling directly influenced the </w:t>
      </w:r>
      <w:r>
        <w:rPr>
          <w:rStyle w:val="Strong"/>
          <w:rFonts w:ascii="Segoe UI" w:eastAsiaTheme="majorEastAsia" w:hAnsi="Segoe UI" w:cs="Segoe UI"/>
          <w:color w:val="0F1115"/>
        </w:rPr>
        <w:t>logistical challenge</w:t>
      </w:r>
      <w:r>
        <w:rPr>
          <w:rFonts w:ascii="Segoe UI" w:hAnsi="Segoe UI" w:cs="Segoe UI"/>
          <w:color w:val="0F1115"/>
        </w:rPr>
        <w:t xml:space="preserve">. For instance, the delivery of long pile sections </w:t>
      </w:r>
      <w:r>
        <w:rPr>
          <w:rFonts w:ascii="Segoe UI" w:hAnsi="Segoe UI" w:cs="Segoe UI"/>
          <w:color w:val="0F1115"/>
        </w:rPr>
        <w:lastRenderedPageBreak/>
        <w:t>and large piling rigs required precise scheduling and coordination with road authorities, occupying the limited access routes for extended periods. Any technical issue with the piling, such as encountering harder-than-expected seabed geology, would immediately cause delays, which in turn would disrupt the meticulously planned logistics schedule, creating a ripple effect.</w:t>
      </w:r>
    </w:p>
    <w:p w14:paraId="1FF65B01"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Furthermore, both the marine works and logistics were governed by the overarching </w:t>
      </w:r>
      <w:r>
        <w:rPr>
          <w:rStyle w:val="Strong"/>
          <w:rFonts w:ascii="Segoe UI" w:eastAsiaTheme="majorEastAsia" w:hAnsi="Segoe UI" w:cs="Segoe UI"/>
          <w:color w:val="0F1115"/>
        </w:rPr>
        <w:t>constraint of operational continuity</w:t>
      </w:r>
      <w:r>
        <w:rPr>
          <w:rFonts w:ascii="Segoe UI" w:hAnsi="Segoe UI" w:cs="Segoe UI"/>
          <w:color w:val="0F1115"/>
        </w:rPr>
        <w:t>. The construction of the temporary and permanent markets had to be sequenced around the market's trading hours and operations. Noise and vibration from piling and construction, for example, had to be managed to not disrupt the sensitive auction processes in the existing and temporary facilities. The intrinsic connection is thus a triangle of pressure: complex marine works dictate the primary programme timeline, which is strained by difficult logistics, and both are constrained by the imperative to keep the market fully operational at all times. This interrelationship created a high-risk environment where any deviation in one domain threatened the entire project's schedule and budget.</w:t>
      </w:r>
    </w:p>
    <w:p w14:paraId="490DE850"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4. Review of Best Practices</w:t>
      </w:r>
    </w:p>
    <w:p w14:paraId="359632AF"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Learning from other complex projects provides a roadmap for managing such challenges more effectively.</w:t>
      </w:r>
    </w:p>
    <w:p w14:paraId="5E233372"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4.1 Barangaroo Headland Park, Sydney (Local Context)</w:t>
      </w:r>
      <w:r>
        <w:rPr>
          <w:rFonts w:ascii="Segoe UI" w:hAnsi="Segoe UI" w:cs="Segoe UI"/>
          <w:color w:val="0F1115"/>
        </w:rPr>
        <w:br/>
        <w:t>The delivery of Barangaroo Headland Park involved significant remediation and construction on a contaminated waterfront site. A key best practice was the extensive use of </w:t>
      </w:r>
      <w:r>
        <w:rPr>
          <w:rStyle w:val="Strong"/>
          <w:rFonts w:ascii="Segoe UI" w:eastAsiaTheme="majorEastAsia" w:hAnsi="Segoe UI" w:cs="Segoe UI"/>
          <w:color w:val="0F1115"/>
        </w:rPr>
        <w:t>prefabrication and off-site manufacturing</w:t>
      </w:r>
      <w:r>
        <w:rPr>
          <w:rFonts w:ascii="Segoe UI" w:hAnsi="Segoe UI" w:cs="Segoe UI"/>
          <w:color w:val="0F1115"/>
        </w:rPr>
        <w:t>. Elements of the park's shoreline and structures were built off-site and transported by barge, minimising truck movements through the city and reducing on-site construction time and disruption (Lendlease, 2022). This approach directly addresses logistical constraints in dense urban areas.</w:t>
      </w:r>
    </w:p>
    <w:p w14:paraId="07798E62"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4.2 Copenhagen Harbour Baths (International Context)</w:t>
      </w:r>
      <w:r>
        <w:rPr>
          <w:rFonts w:ascii="Segoe UI" w:hAnsi="Segoe UI" w:cs="Segoe UI"/>
          <w:color w:val="0F1115"/>
        </w:rPr>
        <w:br/>
        <w:t>This project involved constructing public swimming facilities in the harbour. A critical success factor was the </w:t>
      </w:r>
      <w:r>
        <w:rPr>
          <w:rStyle w:val="Strong"/>
          <w:rFonts w:ascii="Segoe UI" w:eastAsiaTheme="majorEastAsia" w:hAnsi="Segoe UI" w:cs="Segoe UI"/>
          <w:color w:val="0F1115"/>
        </w:rPr>
        <w:t>proactive and immersive stakeholder engagement</w:t>
      </w:r>
      <w:r>
        <w:rPr>
          <w:rFonts w:ascii="Segoe UI" w:hAnsi="Segoe UI" w:cs="Segoe UI"/>
          <w:color w:val="0F1115"/>
        </w:rPr>
        <w:t> strategy. The project team established pop-up information centres and used detailed 3D visualisations to communicate the construction stages, impacts, and final benefits to the public, building strong community support and mitigating complaints (Copenhagen City Council, 2020).</w:t>
      </w:r>
    </w:p>
    <w:p w14:paraId="5D5803A4"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4.3 Application to Sydney Fish Market</w:t>
      </w:r>
      <w:r>
        <w:rPr>
          <w:rFonts w:ascii="Segoe UI" w:hAnsi="Segoe UI" w:cs="Segoe UI"/>
          <w:color w:val="0F1115"/>
        </w:rPr>
        <w:br/>
        <w:t xml:space="preserve">For the Fish Market, a more aggressive prefabrication strategy—for example, using pre-cast concrete wharf segments or modular building components—could have reduced the duration of on-site works and the associated logistical pressure. Similarly, a more dynamic communication strategy, perhaps including a live webcam </w:t>
      </w:r>
      <w:r>
        <w:rPr>
          <w:rFonts w:ascii="Segoe UI" w:hAnsi="Segoe UI" w:cs="Segoe UI"/>
          <w:color w:val="0F1115"/>
        </w:rPr>
        <w:lastRenderedPageBreak/>
        <w:t>and real-time traffic update portal for the local community, could have managed stakeholder expectations more effectively during the most disruptive phases.</w:t>
      </w:r>
    </w:p>
    <w:p w14:paraId="149093B5"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5. Emerging Opportunities and Future Development</w:t>
      </w:r>
    </w:p>
    <w:p w14:paraId="097F342A"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of the Sydney Fish Market project highlight several opportunities for industry advancement.</w:t>
      </w:r>
    </w:p>
    <w:p w14:paraId="7000E594"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5.1 Digital Prototyping with Building Information Modelling (BIM)</w:t>
      </w:r>
      <w:r>
        <w:rPr>
          <w:rFonts w:ascii="Segoe UI" w:hAnsi="Segoe UI" w:cs="Segoe UI"/>
          <w:color w:val="0F1115"/>
        </w:rPr>
        <w:br/>
        <w:t>Using BIM not just for design coordination but for 4D (time) and 5D (cost) sequencing simulation allows project teams to digitally prototype the entire construction process. For a project with complex phasing like the Fish Market, a 4D BIM model could visually simulate the sequence of demolition, temporary works, marine construction, and tenant relocation, identifying logistical clashes and programme risks long before construction begins.</w:t>
      </w:r>
    </w:p>
    <w:p w14:paraId="6D74530D"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5.2 Modular Integrated Construction (</w:t>
      </w:r>
      <w:proofErr w:type="spellStart"/>
      <w:r>
        <w:rPr>
          <w:rStyle w:val="Strong"/>
          <w:rFonts w:ascii="Segoe UI" w:eastAsiaTheme="majorEastAsia" w:hAnsi="Segoe UI" w:cs="Segoe UI"/>
          <w:color w:val="0F1115"/>
        </w:rPr>
        <w:t>MiC</w:t>
      </w:r>
      <w:proofErr w:type="spellEnd"/>
      <w:r>
        <w:rPr>
          <w:rStyle w:val="Strong"/>
          <w:rFonts w:ascii="Segoe UI" w:eastAsiaTheme="majorEastAsia" w:hAnsi="Segoe UI" w:cs="Segoe UI"/>
          <w:color w:val="0F1115"/>
        </w:rPr>
        <w:t>)</w:t>
      </w:r>
      <w:r>
        <w:rPr>
          <w:rFonts w:ascii="Segoe UI" w:hAnsi="Segoe UI" w:cs="Segoe UI"/>
          <w:color w:val="0F1115"/>
        </w:rPr>
        <w:br/>
        <w:t>The future lies in shifting as much work as possible off-site. For a new market building, entire sections—including services, fixtures, and fittings—could be constructed as volumetric modules in a factory. These modules could then be transported and lifted into place, dramatically reducing the on-site construction period, minimising disruption to neighbours, and improving quality control.</w:t>
      </w:r>
    </w:p>
    <w:p w14:paraId="22A31655"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5.3 Advanced Marine Construction Techniques</w:t>
      </w:r>
      <w:r>
        <w:rPr>
          <w:rFonts w:ascii="Segoe UI" w:hAnsi="Segoe UI" w:cs="Segoe UI"/>
          <w:color w:val="0F1115"/>
        </w:rPr>
        <w:br/>
        <w:t>The industry can adopt more environmentally sensitive and efficient marine piling techniques. For instance, </w:t>
      </w:r>
      <w:r>
        <w:rPr>
          <w:rStyle w:val="Strong"/>
          <w:rFonts w:ascii="Segoe UI" w:eastAsiaTheme="majorEastAsia" w:hAnsi="Segoe UI" w:cs="Segoe UI"/>
          <w:color w:val="0F1115"/>
        </w:rPr>
        <w:t>vibratory piling</w:t>
      </w:r>
      <w:r>
        <w:rPr>
          <w:rFonts w:ascii="Segoe UI" w:hAnsi="Segoe UI" w:cs="Segoe UI"/>
          <w:color w:val="0F1115"/>
        </w:rPr>
        <w:t> (where suitable) can be less noisy than impact driving, and </w:t>
      </w:r>
      <w:r>
        <w:rPr>
          <w:rStyle w:val="Strong"/>
          <w:rFonts w:ascii="Segoe UI" w:eastAsiaTheme="majorEastAsia" w:hAnsi="Segoe UI" w:cs="Segoe UI"/>
          <w:color w:val="0F1115"/>
        </w:rPr>
        <w:t>silent or bubble curtains</w:t>
      </w:r>
      <w:r>
        <w:rPr>
          <w:rFonts w:ascii="Segoe UI" w:hAnsi="Segoe UI" w:cs="Segoe UI"/>
          <w:color w:val="0F1115"/>
        </w:rPr>
        <w:t xml:space="preserve"> can mitigate underwater noise pollution, </w:t>
      </w:r>
      <w:proofErr w:type="gramStart"/>
      <w:r>
        <w:rPr>
          <w:rFonts w:ascii="Segoe UI" w:hAnsi="Segoe UI" w:cs="Segoe UI"/>
          <w:color w:val="0F1115"/>
        </w:rPr>
        <w:t>protecting</w:t>
      </w:r>
      <w:proofErr w:type="gramEnd"/>
      <w:r>
        <w:rPr>
          <w:rFonts w:ascii="Segoe UI" w:hAnsi="Segoe UI" w:cs="Segoe UI"/>
          <w:color w:val="0F1115"/>
        </w:rPr>
        <w:t xml:space="preserve"> marine life and reducing environmental impact. Investing in these technologies is crucial for obtaining a social license to operate on sensitive waterfront sites.</w:t>
      </w:r>
    </w:p>
    <w:p w14:paraId="659C710D"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 Conclusion</w:t>
      </w:r>
    </w:p>
    <w:p w14:paraId="3DA9E613"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New Sydney Fish Market project serves as a valuable case study in managing the triple constraints of technical complexity, urban logistics, and operational continuity. The analysis demonstrates that these challenges are intrinsically linked, requiring an integrated and proactive management approach. By learning from both local and international best practices and embracing emerging opportunities in digitalisation, prefabrication, and low-impact construction methods, the Australian construction industry can enhance its capability to deliver complex urban projects more efficiently, sustainably, and with greater community acceptance. The lessons from Blackwattle Bay are essential for preparing the industry for the next generation of intricate urban infrastructure.</w:t>
      </w:r>
    </w:p>
    <w:p w14:paraId="382EC2AE" w14:textId="77777777" w:rsidR="00CC066B" w:rsidRDefault="00CC066B" w:rsidP="00CC066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References</w:t>
      </w:r>
    </w:p>
    <w:p w14:paraId="74EF4D46"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Copenhagen City Council. (2020). </w:t>
      </w:r>
      <w:r>
        <w:rPr>
          <w:rStyle w:val="Emphasis"/>
          <w:rFonts w:ascii="Segoe UI" w:eastAsiaTheme="majorEastAsia" w:hAnsi="Segoe UI" w:cs="Segoe UI"/>
          <w:color w:val="0F1115"/>
        </w:rPr>
        <w:t>Harbour Baths Project: Public Engagement Report</w:t>
      </w:r>
      <w:r>
        <w:rPr>
          <w:rFonts w:ascii="Segoe UI" w:hAnsi="Segoe UI" w:cs="Segoe UI"/>
          <w:color w:val="0F1115"/>
        </w:rPr>
        <w:t>. City of Copenhagen.</w:t>
      </w:r>
    </w:p>
    <w:p w14:paraId="1B745BE3"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Infrastructure NSW. (2023). </w:t>
      </w:r>
      <w:r>
        <w:rPr>
          <w:rStyle w:val="Emphasis"/>
          <w:rFonts w:ascii="Segoe UI" w:eastAsiaTheme="majorEastAsia" w:hAnsi="Segoe UI" w:cs="Segoe UI"/>
          <w:color w:val="0F1115"/>
        </w:rPr>
        <w:t>New Sydney Fish Market Project Overview</w:t>
      </w:r>
      <w:r>
        <w:rPr>
          <w:rFonts w:ascii="Segoe UI" w:hAnsi="Segoe UI" w:cs="Segoe UI"/>
          <w:color w:val="0F1115"/>
        </w:rPr>
        <w:t>. NSW Government. Retrieved from: </w:t>
      </w:r>
      <w:hyperlink r:id="rId7" w:tgtFrame="_blank" w:history="1">
        <w:r>
          <w:rPr>
            <w:rStyle w:val="Hyperlink"/>
            <w:rFonts w:ascii="Segoe UI" w:eastAsiaTheme="majorEastAsia" w:hAnsi="Segoe UI" w:cs="Segoe UI"/>
            <w:color w:val="3964FE"/>
            <w:bdr w:val="single" w:sz="12" w:space="0" w:color="auto" w:frame="1"/>
          </w:rPr>
          <w:t>https://www.infrastructure.nsw.gov.au</w:t>
        </w:r>
      </w:hyperlink>
    </w:p>
    <w:p w14:paraId="59F5C4D7"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Lendlease. (2022). </w:t>
      </w:r>
      <w:r>
        <w:rPr>
          <w:rStyle w:val="Emphasis"/>
          <w:rFonts w:ascii="Segoe UI" w:eastAsiaTheme="majorEastAsia" w:hAnsi="Segoe UI" w:cs="Segoe UI"/>
          <w:color w:val="0F1115"/>
        </w:rPr>
        <w:t>Barangaroo South Sustainability Report 2022</w:t>
      </w:r>
      <w:r>
        <w:rPr>
          <w:rFonts w:ascii="Segoe UI" w:hAnsi="Segoe UI" w:cs="Segoe UI"/>
          <w:color w:val="0F1115"/>
        </w:rPr>
        <w:t>. Lendlease Group.</w:t>
      </w:r>
    </w:p>
    <w:p w14:paraId="448D60D8" w14:textId="77777777" w:rsidR="00CC066B" w:rsidRDefault="00CC066B" w:rsidP="00CC066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NSW Government. (2024). </w:t>
      </w:r>
      <w:r>
        <w:rPr>
          <w:rStyle w:val="Emphasis"/>
          <w:rFonts w:ascii="Segoe UI" w:eastAsiaTheme="majorEastAsia" w:hAnsi="Segoe UI" w:cs="Segoe UI"/>
          <w:color w:val="0F1115"/>
        </w:rPr>
        <w:t>State Significant Infrastructure Application: New Sydney Fish Market</w:t>
      </w:r>
      <w:r>
        <w:rPr>
          <w:rFonts w:ascii="Segoe UI" w:hAnsi="Segoe UI" w:cs="Segoe UI"/>
          <w:color w:val="0F1115"/>
        </w:rPr>
        <w:t>. Department of Planning and Environment.</w:t>
      </w:r>
    </w:p>
    <w:p w14:paraId="063D6A46" w14:textId="2686043B" w:rsidR="005763A1" w:rsidRPr="006101B6" w:rsidRDefault="005763A1" w:rsidP="006101B6"/>
    <w:sectPr w:rsidR="005763A1" w:rsidRPr="006101B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1AE0"/>
    <w:multiLevelType w:val="multilevel"/>
    <w:tmpl w:val="5B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1DAE"/>
    <w:multiLevelType w:val="multilevel"/>
    <w:tmpl w:val="B82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95DB8"/>
    <w:multiLevelType w:val="multilevel"/>
    <w:tmpl w:val="580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92796"/>
    <w:multiLevelType w:val="multilevel"/>
    <w:tmpl w:val="B88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5A744D"/>
    <w:multiLevelType w:val="multilevel"/>
    <w:tmpl w:val="DDE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13EEF"/>
    <w:multiLevelType w:val="multilevel"/>
    <w:tmpl w:val="4D5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F7E70"/>
    <w:multiLevelType w:val="multilevel"/>
    <w:tmpl w:val="ABC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F07DC"/>
    <w:multiLevelType w:val="multilevel"/>
    <w:tmpl w:val="60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D251C"/>
    <w:multiLevelType w:val="multilevel"/>
    <w:tmpl w:val="BFE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6617E"/>
    <w:multiLevelType w:val="multilevel"/>
    <w:tmpl w:val="DD8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32A77"/>
    <w:multiLevelType w:val="multilevel"/>
    <w:tmpl w:val="A79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096A6E"/>
    <w:multiLevelType w:val="multilevel"/>
    <w:tmpl w:val="942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17D94"/>
    <w:multiLevelType w:val="multilevel"/>
    <w:tmpl w:val="DA6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361DA"/>
    <w:multiLevelType w:val="multilevel"/>
    <w:tmpl w:val="73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5266FC"/>
    <w:multiLevelType w:val="multilevel"/>
    <w:tmpl w:val="50C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3"/>
  </w:num>
  <w:num w:numId="2" w16cid:durableId="821698845">
    <w:abstractNumId w:val="35"/>
  </w:num>
  <w:num w:numId="3" w16cid:durableId="1500922540">
    <w:abstractNumId w:val="5"/>
  </w:num>
  <w:num w:numId="4" w16cid:durableId="207767914">
    <w:abstractNumId w:val="2"/>
  </w:num>
  <w:num w:numId="5" w16cid:durableId="1618871916">
    <w:abstractNumId w:val="26"/>
  </w:num>
  <w:num w:numId="6" w16cid:durableId="831600699">
    <w:abstractNumId w:val="39"/>
  </w:num>
  <w:num w:numId="7" w16cid:durableId="819927118">
    <w:abstractNumId w:val="52"/>
  </w:num>
  <w:num w:numId="8" w16cid:durableId="1836339821">
    <w:abstractNumId w:val="3"/>
  </w:num>
  <w:num w:numId="9" w16cid:durableId="877275635">
    <w:abstractNumId w:val="54"/>
  </w:num>
  <w:num w:numId="10" w16cid:durableId="163475279">
    <w:abstractNumId w:val="51"/>
  </w:num>
  <w:num w:numId="11" w16cid:durableId="660743435">
    <w:abstractNumId w:val="49"/>
  </w:num>
  <w:num w:numId="12" w16cid:durableId="1334062966">
    <w:abstractNumId w:val="55"/>
  </w:num>
  <w:num w:numId="13" w16cid:durableId="1416509605">
    <w:abstractNumId w:val="4"/>
  </w:num>
  <w:num w:numId="14" w16cid:durableId="684675586">
    <w:abstractNumId w:val="40"/>
  </w:num>
  <w:num w:numId="15" w16cid:durableId="1084490379">
    <w:abstractNumId w:val="21"/>
  </w:num>
  <w:num w:numId="16" w16cid:durableId="1177233249">
    <w:abstractNumId w:val="45"/>
  </w:num>
  <w:num w:numId="17" w16cid:durableId="1332492463">
    <w:abstractNumId w:val="44"/>
  </w:num>
  <w:num w:numId="18" w16cid:durableId="1750301735">
    <w:abstractNumId w:val="37"/>
  </w:num>
  <w:num w:numId="19" w16cid:durableId="1384524300">
    <w:abstractNumId w:val="23"/>
  </w:num>
  <w:num w:numId="20" w16cid:durableId="675889748">
    <w:abstractNumId w:val="25"/>
  </w:num>
  <w:num w:numId="21" w16cid:durableId="1140463376">
    <w:abstractNumId w:val="41"/>
  </w:num>
  <w:num w:numId="22" w16cid:durableId="2060670041">
    <w:abstractNumId w:val="12"/>
  </w:num>
  <w:num w:numId="23" w16cid:durableId="1986078983">
    <w:abstractNumId w:val="17"/>
  </w:num>
  <w:num w:numId="24" w16cid:durableId="954676395">
    <w:abstractNumId w:val="15"/>
  </w:num>
  <w:num w:numId="25" w16cid:durableId="224025661">
    <w:abstractNumId w:val="34"/>
  </w:num>
  <w:num w:numId="26" w16cid:durableId="1399131629">
    <w:abstractNumId w:val="48"/>
  </w:num>
  <w:num w:numId="27" w16cid:durableId="1784642234">
    <w:abstractNumId w:val="9"/>
  </w:num>
  <w:num w:numId="28" w16cid:durableId="924189728">
    <w:abstractNumId w:val="0"/>
  </w:num>
  <w:num w:numId="29" w16cid:durableId="1320427781">
    <w:abstractNumId w:val="11"/>
  </w:num>
  <w:num w:numId="30" w16cid:durableId="851796786">
    <w:abstractNumId w:val="47"/>
  </w:num>
  <w:num w:numId="31" w16cid:durableId="1752772098">
    <w:abstractNumId w:val="10"/>
  </w:num>
  <w:num w:numId="32" w16cid:durableId="1970890577">
    <w:abstractNumId w:val="30"/>
  </w:num>
  <w:num w:numId="33" w16cid:durableId="592933262">
    <w:abstractNumId w:val="43"/>
  </w:num>
  <w:num w:numId="34" w16cid:durableId="1440567086">
    <w:abstractNumId w:val="1"/>
  </w:num>
  <w:num w:numId="35" w16cid:durableId="1913655594">
    <w:abstractNumId w:val="38"/>
  </w:num>
  <w:num w:numId="36" w16cid:durableId="119151285">
    <w:abstractNumId w:val="16"/>
  </w:num>
  <w:num w:numId="37" w16cid:durableId="1884242915">
    <w:abstractNumId w:val="22"/>
  </w:num>
  <w:num w:numId="38" w16cid:durableId="1501575521">
    <w:abstractNumId w:val="20"/>
  </w:num>
  <w:num w:numId="39" w16cid:durableId="334188135">
    <w:abstractNumId w:val="6"/>
  </w:num>
  <w:num w:numId="40" w16cid:durableId="1371766576">
    <w:abstractNumId w:val="50"/>
  </w:num>
  <w:num w:numId="41" w16cid:durableId="1846821847">
    <w:abstractNumId w:val="14"/>
  </w:num>
  <w:num w:numId="42" w16cid:durableId="343746640">
    <w:abstractNumId w:val="31"/>
  </w:num>
  <w:num w:numId="43" w16cid:durableId="1371296642">
    <w:abstractNumId w:val="27"/>
  </w:num>
  <w:num w:numId="44" w16cid:durableId="2133859188">
    <w:abstractNumId w:val="46"/>
  </w:num>
  <w:num w:numId="45" w16cid:durableId="1187909936">
    <w:abstractNumId w:val="7"/>
  </w:num>
  <w:num w:numId="46" w16cid:durableId="702286342">
    <w:abstractNumId w:val="24"/>
  </w:num>
  <w:num w:numId="47" w16cid:durableId="1702824320">
    <w:abstractNumId w:val="29"/>
  </w:num>
  <w:num w:numId="48" w16cid:durableId="786388559">
    <w:abstractNumId w:val="19"/>
  </w:num>
  <w:num w:numId="49" w16cid:durableId="223180517">
    <w:abstractNumId w:val="28"/>
  </w:num>
  <w:num w:numId="50" w16cid:durableId="962618900">
    <w:abstractNumId w:val="8"/>
  </w:num>
  <w:num w:numId="51" w16cid:durableId="44989041">
    <w:abstractNumId w:val="42"/>
  </w:num>
  <w:num w:numId="52" w16cid:durableId="2137674371">
    <w:abstractNumId w:val="53"/>
  </w:num>
  <w:num w:numId="53" w16cid:durableId="1529299712">
    <w:abstractNumId w:val="18"/>
  </w:num>
  <w:num w:numId="54" w16cid:durableId="969096027">
    <w:abstractNumId w:val="36"/>
  </w:num>
  <w:num w:numId="55" w16cid:durableId="1155100120">
    <w:abstractNumId w:val="33"/>
  </w:num>
  <w:num w:numId="56" w16cid:durableId="4232608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sFAOQtpn4tAAAA"/>
  </w:docVars>
  <w:rsids>
    <w:rsidRoot w:val="00AE4A1F"/>
    <w:rsid w:val="000333AF"/>
    <w:rsid w:val="000772F3"/>
    <w:rsid w:val="000A09D0"/>
    <w:rsid w:val="000B33EE"/>
    <w:rsid w:val="0018356D"/>
    <w:rsid w:val="001B3635"/>
    <w:rsid w:val="001D59BF"/>
    <w:rsid w:val="00233DAC"/>
    <w:rsid w:val="00281372"/>
    <w:rsid w:val="00304A8F"/>
    <w:rsid w:val="00304D0F"/>
    <w:rsid w:val="00310F89"/>
    <w:rsid w:val="00325E18"/>
    <w:rsid w:val="00381A3D"/>
    <w:rsid w:val="00390A91"/>
    <w:rsid w:val="00414F14"/>
    <w:rsid w:val="00423A0B"/>
    <w:rsid w:val="00435D88"/>
    <w:rsid w:val="00441EBF"/>
    <w:rsid w:val="004455D4"/>
    <w:rsid w:val="00463EE7"/>
    <w:rsid w:val="00494234"/>
    <w:rsid w:val="004E4021"/>
    <w:rsid w:val="0055002F"/>
    <w:rsid w:val="00552D52"/>
    <w:rsid w:val="005763A1"/>
    <w:rsid w:val="0059533D"/>
    <w:rsid w:val="005C1E8C"/>
    <w:rsid w:val="005D722F"/>
    <w:rsid w:val="00604552"/>
    <w:rsid w:val="006101B6"/>
    <w:rsid w:val="00627981"/>
    <w:rsid w:val="006431C6"/>
    <w:rsid w:val="0065544E"/>
    <w:rsid w:val="006833B7"/>
    <w:rsid w:val="0068640E"/>
    <w:rsid w:val="006A5464"/>
    <w:rsid w:val="006A5E07"/>
    <w:rsid w:val="006D511C"/>
    <w:rsid w:val="00732B38"/>
    <w:rsid w:val="007D7459"/>
    <w:rsid w:val="00801B2A"/>
    <w:rsid w:val="00846818"/>
    <w:rsid w:val="00846E8A"/>
    <w:rsid w:val="008A11FC"/>
    <w:rsid w:val="008E568C"/>
    <w:rsid w:val="008F2E42"/>
    <w:rsid w:val="00934A3F"/>
    <w:rsid w:val="00960508"/>
    <w:rsid w:val="009B2473"/>
    <w:rsid w:val="009D036D"/>
    <w:rsid w:val="009E4FE0"/>
    <w:rsid w:val="009E501F"/>
    <w:rsid w:val="00A67186"/>
    <w:rsid w:val="00AA52CD"/>
    <w:rsid w:val="00AE4A1F"/>
    <w:rsid w:val="00B12850"/>
    <w:rsid w:val="00B44718"/>
    <w:rsid w:val="00B54D89"/>
    <w:rsid w:val="00B557D4"/>
    <w:rsid w:val="00B63465"/>
    <w:rsid w:val="00B826A4"/>
    <w:rsid w:val="00BC7ACE"/>
    <w:rsid w:val="00BD0E9E"/>
    <w:rsid w:val="00C00B0B"/>
    <w:rsid w:val="00C13BF4"/>
    <w:rsid w:val="00C76BEF"/>
    <w:rsid w:val="00CB37C3"/>
    <w:rsid w:val="00CC066B"/>
    <w:rsid w:val="00D669B7"/>
    <w:rsid w:val="00D757CB"/>
    <w:rsid w:val="00D933EE"/>
    <w:rsid w:val="00DB3FF9"/>
    <w:rsid w:val="00DF1E39"/>
    <w:rsid w:val="00DF6186"/>
    <w:rsid w:val="00E04C82"/>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infrastructure.nsw.gov.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1429</Words>
  <Characters>9162</Characters>
  <Application>Microsoft Office Word</Application>
  <DocSecurity>0</DocSecurity>
  <Lines>153</Lines>
  <Paragraphs>31</Paragraphs>
  <ScaleCrop>false</ScaleCrop>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47</cp:revision>
  <dcterms:created xsi:type="dcterms:W3CDTF">2025-10-12T05:00:00Z</dcterms:created>
  <dcterms:modified xsi:type="dcterms:W3CDTF">2025-10-26T04:29:00Z</dcterms:modified>
</cp:coreProperties>
</file>