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18655" w14:textId="79CB2A9C" w:rsidR="00017A4A" w:rsidRDefault="00017A4A" w:rsidP="00017A4A">
      <w:pPr>
        <w:pStyle w:val="NormalWeb"/>
      </w:pPr>
    </w:p>
    <w:p w14:paraId="36AB1C42" w14:textId="77777777" w:rsidR="00017A4A" w:rsidRDefault="00017A4A" w:rsidP="00017A4A">
      <w:pPr>
        <w:pStyle w:val="Heading1"/>
      </w:pPr>
      <w:r>
        <w:t>CVEN9723 Group Assignment</w:t>
      </w:r>
    </w:p>
    <w:p w14:paraId="5D67ECB8" w14:textId="77777777" w:rsidR="00017A4A" w:rsidRDefault="00017A4A" w:rsidP="00017A4A">
      <w:pPr>
        <w:pStyle w:val="NormalWeb"/>
      </w:pPr>
      <w:r>
        <w:rPr>
          <w:rStyle w:val="Strong"/>
          <w:rFonts w:eastAsiaTheme="majorEastAsia"/>
        </w:rPr>
        <w:t>Grand Challenges and Emerging Opportunities in the Snowy 2.0 Pumped-Hydro Project</w:t>
      </w:r>
      <w:r>
        <w:br/>
      </w:r>
      <w:r>
        <w:rPr>
          <w:rStyle w:val="Strong"/>
          <w:rFonts w:eastAsiaTheme="majorEastAsia"/>
        </w:rPr>
        <w:t>Prepared for:</w:t>
      </w:r>
      <w:r>
        <w:t xml:space="preserve"> CVEN9723 Design of Construction Operations, Term 3, 2025</w:t>
      </w:r>
    </w:p>
    <w:p w14:paraId="5681D316" w14:textId="77777777" w:rsidR="00017A4A" w:rsidRDefault="00017A4A" w:rsidP="00017A4A">
      <w:pPr>
        <w:pStyle w:val="Heading2"/>
      </w:pPr>
      <w:r>
        <w:t>Executive summary</w:t>
      </w:r>
    </w:p>
    <w:p w14:paraId="4D8BD6CC" w14:textId="77777777" w:rsidR="00017A4A" w:rsidRDefault="00017A4A" w:rsidP="00017A4A">
      <w:pPr>
        <w:pStyle w:val="NormalWeb"/>
      </w:pPr>
      <w:r>
        <w:t xml:space="preserve">Snowy 2.0 is Australia’s largest long-duration energy-storage project. It will connect </w:t>
      </w:r>
      <w:proofErr w:type="spellStart"/>
      <w:r>
        <w:t>Tantangara</w:t>
      </w:r>
      <w:proofErr w:type="spellEnd"/>
      <w:r>
        <w:t xml:space="preserve"> and Talbingo reservoirs with roughly 27 km of headrace and tailrace tunnels and an underground powerhouse, delivering about </w:t>
      </w:r>
      <w:r>
        <w:rPr>
          <w:rStyle w:val="Strong"/>
          <w:rFonts w:eastAsiaTheme="majorEastAsia"/>
        </w:rPr>
        <w:t>2.2 GW</w:t>
      </w:r>
      <w:r>
        <w:t xml:space="preserve"> of fast-response capacity for multi-hour to multi-day energy shifting. Following a </w:t>
      </w:r>
      <w:r>
        <w:rPr>
          <w:rStyle w:val="Strong"/>
          <w:rFonts w:eastAsiaTheme="majorEastAsia"/>
        </w:rPr>
        <w:t>2023 project reset</w:t>
      </w:r>
      <w:r>
        <w:t xml:space="preserve">, Snowy Hydro continues to signal </w:t>
      </w:r>
      <w:r>
        <w:rPr>
          <w:rStyle w:val="Strong"/>
          <w:rFonts w:eastAsiaTheme="majorEastAsia"/>
        </w:rPr>
        <w:t>first power in the second half of 2027</w:t>
      </w:r>
      <w:r>
        <w:t xml:space="preserve"> and </w:t>
      </w:r>
      <w:r>
        <w:rPr>
          <w:rStyle w:val="Strong"/>
          <w:rFonts w:eastAsiaTheme="majorEastAsia"/>
        </w:rPr>
        <w:t>commercial operation of all units by December 2028</w:t>
      </w:r>
      <w:r>
        <w:t xml:space="preserve">, while an updated </w:t>
      </w:r>
      <w:r>
        <w:rPr>
          <w:rStyle w:val="Strong"/>
          <w:rFonts w:eastAsiaTheme="majorEastAsia"/>
        </w:rPr>
        <w:t>cost reassessment</w:t>
      </w:r>
      <w:r>
        <w:t xml:space="preserve"> proceeds in parallel. These settings frame a case where </w:t>
      </w:r>
      <w:r>
        <w:rPr>
          <w:rStyle w:val="Strong"/>
          <w:rFonts w:eastAsiaTheme="majorEastAsia"/>
        </w:rPr>
        <w:t>geotechnical uncertainty</w:t>
      </w:r>
      <w:r>
        <w:t xml:space="preserve">, </w:t>
      </w:r>
      <w:r>
        <w:rPr>
          <w:rStyle w:val="Strong"/>
          <w:rFonts w:eastAsiaTheme="majorEastAsia"/>
        </w:rPr>
        <w:t>safety governance</w:t>
      </w:r>
      <w:r>
        <w:t xml:space="preserve">, and </w:t>
      </w:r>
      <w:r>
        <w:rPr>
          <w:rStyle w:val="Strong"/>
          <w:rFonts w:eastAsiaTheme="majorEastAsia"/>
        </w:rPr>
        <w:t>transmission dependencies</w:t>
      </w:r>
      <w:r>
        <w:t xml:space="preserve"> interact with cost and schedule at system scale (Snowy Hydro 2023, Renewable Energy World 2025). (</w:t>
      </w:r>
      <w:hyperlink r:id="rId7" w:tooltip="SECURING THE FUTURE OF CRITICAL ENERGY TRANSFORMATION PROJECTS - Snowy ..." w:history="1">
        <w:r>
          <w:rPr>
            <w:rStyle w:val="Hyperlink"/>
            <w:rFonts w:eastAsiaTheme="majorEastAsia"/>
          </w:rPr>
          <w:t>Snowy Hydro</w:t>
        </w:r>
      </w:hyperlink>
      <w:r>
        <w:t>)</w:t>
      </w:r>
    </w:p>
    <w:p w14:paraId="08BC27DB" w14:textId="77777777" w:rsidR="00017A4A" w:rsidRDefault="00017A4A" w:rsidP="00017A4A">
      <w:pPr>
        <w:pStyle w:val="NormalWeb"/>
      </w:pPr>
      <w:r>
        <w:t>The report addresses four required elements:</w:t>
      </w:r>
    </w:p>
    <w:p w14:paraId="3551A492" w14:textId="77777777" w:rsidR="00017A4A" w:rsidRDefault="00017A4A" w:rsidP="00017A4A">
      <w:pPr>
        <w:pStyle w:val="NormalWeb"/>
        <w:numPr>
          <w:ilvl w:val="0"/>
          <w:numId w:val="67"/>
        </w:numPr>
      </w:pPr>
      <w:r>
        <w:t>an introduction and identification of the main challenges,</w:t>
      </w:r>
    </w:p>
    <w:p w14:paraId="18234EBB" w14:textId="77777777" w:rsidR="00017A4A" w:rsidRDefault="00017A4A" w:rsidP="00017A4A">
      <w:pPr>
        <w:pStyle w:val="NormalWeb"/>
        <w:numPr>
          <w:ilvl w:val="0"/>
          <w:numId w:val="67"/>
        </w:numPr>
      </w:pPr>
      <w:r>
        <w:t>causes and intrinsic connections between the challenges,</w:t>
      </w:r>
    </w:p>
    <w:p w14:paraId="1D901FAC" w14:textId="77777777" w:rsidR="00017A4A" w:rsidRDefault="00017A4A" w:rsidP="00017A4A">
      <w:pPr>
        <w:pStyle w:val="NormalWeb"/>
        <w:numPr>
          <w:ilvl w:val="0"/>
          <w:numId w:val="67"/>
        </w:numPr>
      </w:pPr>
      <w:r>
        <w:t>a review of local and international good practice, and</w:t>
      </w:r>
    </w:p>
    <w:p w14:paraId="3D1BC4C1" w14:textId="77777777" w:rsidR="00017A4A" w:rsidRDefault="00017A4A" w:rsidP="00017A4A">
      <w:pPr>
        <w:pStyle w:val="NormalWeb"/>
        <w:numPr>
          <w:ilvl w:val="0"/>
          <w:numId w:val="67"/>
        </w:numPr>
      </w:pPr>
      <w:r>
        <w:t>emerging opportunities and future development. The layout uses numbered figures, tables and in-text analysis in line with the marking criteria.</w:t>
      </w:r>
    </w:p>
    <w:p w14:paraId="61428CA6" w14:textId="77777777" w:rsidR="00017A4A" w:rsidRDefault="00017A4A" w:rsidP="00017A4A">
      <w:pPr>
        <w:pStyle w:val="Heading2"/>
      </w:pPr>
      <w:r>
        <w:t>1. Introduction and key challenges</w:t>
      </w:r>
    </w:p>
    <w:p w14:paraId="511AB191" w14:textId="77777777" w:rsidR="00017A4A" w:rsidRDefault="00017A4A" w:rsidP="00017A4A">
      <w:pPr>
        <w:pStyle w:val="Heading3"/>
      </w:pPr>
      <w:r>
        <w:t>1.1 Project overview</w:t>
      </w:r>
    </w:p>
    <w:p w14:paraId="081AEBC9" w14:textId="77777777" w:rsidR="00017A4A" w:rsidRDefault="00017A4A" w:rsidP="00017A4A">
      <w:pPr>
        <w:pStyle w:val="NormalWeb"/>
      </w:pPr>
      <w:r>
        <w:t xml:space="preserve">Snowy 2.0 expands the historic Snowy Scheme. Water is pumped uphill when electricity is abundant, then released to generate during peaks, which complements short-duration battery storage with longer, bulk energy shifting. Snowy Hydro is the proponent, the </w:t>
      </w:r>
      <w:r>
        <w:rPr>
          <w:rStyle w:val="Strong"/>
          <w:rFonts w:eastAsiaTheme="majorEastAsia"/>
        </w:rPr>
        <w:t>Future Generation Joint Venture</w:t>
      </w:r>
      <w:r>
        <w:t xml:space="preserve"> delivers major civil and electromechanical works, and </w:t>
      </w:r>
      <w:proofErr w:type="spellStart"/>
      <w:r>
        <w:rPr>
          <w:rStyle w:val="Strong"/>
          <w:rFonts w:eastAsiaTheme="majorEastAsia"/>
        </w:rPr>
        <w:t>Transgrid</w:t>
      </w:r>
      <w:proofErr w:type="spellEnd"/>
      <w:r>
        <w:t xml:space="preserve"> leads the Snowy 2.0 connection and the broader </w:t>
      </w:r>
      <w:proofErr w:type="spellStart"/>
      <w:r>
        <w:rPr>
          <w:rStyle w:val="Strong"/>
          <w:rFonts w:eastAsiaTheme="majorEastAsia"/>
        </w:rPr>
        <w:t>HumeLink</w:t>
      </w:r>
      <w:proofErr w:type="spellEnd"/>
      <w:r>
        <w:t xml:space="preserve"> augmentation that will move Snowy 2.0 energy to load centres (Snowy Hydro 2023, </w:t>
      </w:r>
      <w:proofErr w:type="spellStart"/>
      <w:r>
        <w:t>Transgrid</w:t>
      </w:r>
      <w:proofErr w:type="spellEnd"/>
      <w:r>
        <w:t xml:space="preserve"> 2024–25). (</w:t>
      </w:r>
      <w:hyperlink r:id="rId8" w:tooltip="SECURING THE FUTURE OF CRITICAL ENERGY TRANSFORMATION PROJECTS - Snowy ..." w:history="1">
        <w:r>
          <w:rPr>
            <w:rStyle w:val="Hyperlink"/>
            <w:rFonts w:eastAsiaTheme="majorEastAsia"/>
          </w:rPr>
          <w:t>Snowy Hydro</w:t>
        </w:r>
      </w:hyperlink>
      <w:r>
        <w:t>)</w:t>
      </w:r>
    </w:p>
    <w:p w14:paraId="74B532D9" w14:textId="5A4C18EE" w:rsidR="00017A4A" w:rsidRDefault="00000965" w:rsidP="00017A4A">
      <w:pPr>
        <w:pStyle w:val="NormalWeb"/>
      </w:pPr>
      <w:r>
        <w:rPr>
          <w:noProof/>
        </w:rPr>
        <w:lastRenderedPageBreak/>
        <w:drawing>
          <wp:inline distT="0" distB="0" distL="0" distR="0" wp14:anchorId="36790310" wp14:editId="64B48518">
            <wp:extent cx="5723255" cy="3818255"/>
            <wp:effectExtent l="0" t="0" r="0" b="0"/>
            <wp:docPr id="360935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3255" cy="3818255"/>
                    </a:xfrm>
                    <a:prstGeom prst="rect">
                      <a:avLst/>
                    </a:prstGeom>
                    <a:noFill/>
                    <a:ln>
                      <a:noFill/>
                    </a:ln>
                  </pic:spPr>
                </pic:pic>
              </a:graphicData>
            </a:graphic>
          </wp:inline>
        </w:drawing>
      </w:r>
    </w:p>
    <w:p w14:paraId="0BD424E9" w14:textId="39F12F6D" w:rsidR="00017A4A" w:rsidRDefault="00017A4A" w:rsidP="00017A4A">
      <w:pPr>
        <w:pStyle w:val="NormalWeb"/>
      </w:pPr>
      <w:r>
        <w:rPr>
          <w:rStyle w:val="Emphasis"/>
        </w:rPr>
        <w:t>Figure 1. Inside a lined Snowy 2.0 tunnel showing services, lighting and ventilation, used to ground subsequent discussion of safety systems and underground logistics.</w:t>
      </w:r>
      <w:r>
        <w:t xml:space="preserve"> Source for image: Snowy Hydro media gallery or equivalent.</w:t>
      </w:r>
    </w:p>
    <w:p w14:paraId="6498BC89" w14:textId="77777777" w:rsidR="00017A4A" w:rsidRDefault="00017A4A" w:rsidP="00017A4A">
      <w:pPr>
        <w:pStyle w:val="Heading3"/>
      </w:pPr>
      <w:r>
        <w:t>1.2 Main challenges</w:t>
      </w:r>
    </w:p>
    <w:p w14:paraId="5285AEF5" w14:textId="77777777" w:rsidR="00017A4A" w:rsidRDefault="00017A4A" w:rsidP="00017A4A">
      <w:pPr>
        <w:pStyle w:val="NormalWeb"/>
        <w:numPr>
          <w:ilvl w:val="0"/>
          <w:numId w:val="68"/>
        </w:numPr>
      </w:pPr>
      <w:r>
        <w:rPr>
          <w:rStyle w:val="Strong"/>
          <w:rFonts w:eastAsiaTheme="majorEastAsia"/>
        </w:rPr>
        <w:t>Geotechnical variability and TBM stoppages.</w:t>
      </w:r>
      <w:r>
        <w:t xml:space="preserve"> The headrace TBM </w:t>
      </w:r>
      <w:r>
        <w:rPr>
          <w:rStyle w:val="Strong"/>
          <w:rFonts w:eastAsiaTheme="majorEastAsia"/>
        </w:rPr>
        <w:t>Florence</w:t>
      </w:r>
      <w:r>
        <w:t xml:space="preserve"> encountered soft ground and later </w:t>
      </w:r>
      <w:r>
        <w:rPr>
          <w:rStyle w:val="Strong"/>
          <w:rFonts w:eastAsiaTheme="majorEastAsia"/>
        </w:rPr>
        <w:t>extremely hard, abrasive rock</w:t>
      </w:r>
      <w:r>
        <w:t>, leading to immobilisation and specialist recovery, including high-pressure water jetting (ABC News 2024, Snowy Hydro 2024, Geoengineer 2024). (</w:t>
      </w:r>
      <w:hyperlink r:id="rId10" w:tooltip="Tunnel boring machine wedged in hard rock, leaving Snowy 2.0 hydropower ..." w:history="1">
        <w:r>
          <w:rPr>
            <w:rStyle w:val="Hyperlink"/>
            <w:rFonts w:eastAsiaTheme="majorEastAsia"/>
          </w:rPr>
          <w:t>ABC</w:t>
        </w:r>
      </w:hyperlink>
      <w:r>
        <w:t>)</w:t>
      </w:r>
    </w:p>
    <w:p w14:paraId="6D95C903" w14:textId="77777777" w:rsidR="00017A4A" w:rsidRDefault="00017A4A" w:rsidP="00017A4A">
      <w:pPr>
        <w:pStyle w:val="NormalWeb"/>
        <w:numPr>
          <w:ilvl w:val="0"/>
          <w:numId w:val="68"/>
        </w:numPr>
      </w:pPr>
      <w:r>
        <w:rPr>
          <w:rStyle w:val="Strong"/>
          <w:rFonts w:eastAsiaTheme="majorEastAsia"/>
        </w:rPr>
        <w:t>Cost escalation and funding uncertainty.</w:t>
      </w:r>
      <w:r>
        <w:t xml:space="preserve"> Public signals note that the earlier </w:t>
      </w:r>
      <w:r>
        <w:rPr>
          <w:rStyle w:val="Strong"/>
          <w:rFonts w:eastAsiaTheme="majorEastAsia"/>
        </w:rPr>
        <w:t>AUD 12 billion</w:t>
      </w:r>
      <w:r>
        <w:t xml:space="preserve"> figure has been exceeded, with formal </w:t>
      </w:r>
      <w:r>
        <w:rPr>
          <w:rStyle w:val="Strong"/>
          <w:rFonts w:eastAsiaTheme="majorEastAsia"/>
        </w:rPr>
        <w:t>re-assessment</w:t>
      </w:r>
      <w:r>
        <w:t xml:space="preserve"> underway, while schedule targets remain unchanged after the reset (Renewable Energy World 2025). (</w:t>
      </w:r>
      <w:hyperlink r:id="rId11" w:tooltip="When will Australia’s huge Snowy 2.0 pumped storage project be completed?" w:history="1">
        <w:r>
          <w:rPr>
            <w:rStyle w:val="Hyperlink"/>
            <w:rFonts w:eastAsiaTheme="majorEastAsia"/>
          </w:rPr>
          <w:t>Factor This™</w:t>
        </w:r>
      </w:hyperlink>
      <w:r>
        <w:t>)</w:t>
      </w:r>
    </w:p>
    <w:p w14:paraId="264D7A64" w14:textId="77777777" w:rsidR="00017A4A" w:rsidRDefault="00017A4A" w:rsidP="00017A4A">
      <w:pPr>
        <w:pStyle w:val="NormalWeb"/>
        <w:numPr>
          <w:ilvl w:val="0"/>
          <w:numId w:val="68"/>
        </w:numPr>
      </w:pPr>
      <w:r>
        <w:rPr>
          <w:rStyle w:val="Strong"/>
          <w:rFonts w:eastAsiaTheme="majorEastAsia"/>
        </w:rPr>
        <w:t>Schedule movement and productivity risk.</w:t>
      </w:r>
      <w:r>
        <w:t xml:space="preserve"> First power is indicated for </w:t>
      </w:r>
      <w:r>
        <w:rPr>
          <w:rStyle w:val="Strong"/>
          <w:rFonts w:eastAsiaTheme="majorEastAsia"/>
        </w:rPr>
        <w:t>2H 2027</w:t>
      </w:r>
      <w:r>
        <w:t xml:space="preserve">, with </w:t>
      </w:r>
      <w:r>
        <w:rPr>
          <w:rStyle w:val="Strong"/>
          <w:rFonts w:eastAsiaTheme="majorEastAsia"/>
        </w:rPr>
        <w:t>December 2028</w:t>
      </w:r>
      <w:r>
        <w:t xml:space="preserve"> targeted for all units, contingent on stable throughput in tunnelling and fit-out (Snowy Hydro 2023). (</w:t>
      </w:r>
      <w:hyperlink r:id="rId12" w:tooltip="SECURING THE FUTURE OF CRITICAL ENERGY TRANSFORMATION PROJECTS - Snowy ..." w:history="1">
        <w:r>
          <w:rPr>
            <w:rStyle w:val="Hyperlink"/>
            <w:rFonts w:eastAsiaTheme="majorEastAsia"/>
          </w:rPr>
          <w:t>Snowy Hydro</w:t>
        </w:r>
      </w:hyperlink>
      <w:r>
        <w:t>)</w:t>
      </w:r>
    </w:p>
    <w:p w14:paraId="055D2360" w14:textId="77777777" w:rsidR="00017A4A" w:rsidRDefault="00017A4A" w:rsidP="00017A4A">
      <w:pPr>
        <w:pStyle w:val="NormalWeb"/>
        <w:numPr>
          <w:ilvl w:val="0"/>
          <w:numId w:val="68"/>
        </w:numPr>
      </w:pPr>
      <w:r>
        <w:rPr>
          <w:rStyle w:val="Strong"/>
          <w:rFonts w:eastAsiaTheme="majorEastAsia"/>
        </w:rPr>
        <w:t>Safety events and regulator intervention.</w:t>
      </w:r>
      <w:r>
        <w:t xml:space="preserve"> A </w:t>
      </w:r>
      <w:r>
        <w:rPr>
          <w:rStyle w:val="Strong"/>
          <w:rFonts w:eastAsiaTheme="majorEastAsia"/>
        </w:rPr>
        <w:t>ventilation fan implosion</w:t>
      </w:r>
      <w:r>
        <w:t xml:space="preserve"> in February 2025 led to </w:t>
      </w:r>
      <w:r>
        <w:rPr>
          <w:rStyle w:val="Strong"/>
          <w:rFonts w:eastAsiaTheme="majorEastAsia"/>
        </w:rPr>
        <w:t>six SafeWork NSW prohibition notices</w:t>
      </w:r>
      <w:r>
        <w:t xml:space="preserve"> and an independent safety review, pausing underground works (ABC News 2025, </w:t>
      </w:r>
      <w:proofErr w:type="spellStart"/>
      <w:r>
        <w:t>ESDNews</w:t>
      </w:r>
      <w:proofErr w:type="spellEnd"/>
      <w:r>
        <w:t xml:space="preserve"> 2025). (</w:t>
      </w:r>
      <w:hyperlink r:id="rId13" w:tooltip="Snowy 2.0 project safety review underway after ventilation fan implodes ..." w:history="1">
        <w:r>
          <w:rPr>
            <w:rStyle w:val="Hyperlink"/>
            <w:rFonts w:eastAsiaTheme="majorEastAsia"/>
          </w:rPr>
          <w:t>ABC</w:t>
        </w:r>
      </w:hyperlink>
      <w:r>
        <w:t>)</w:t>
      </w:r>
    </w:p>
    <w:p w14:paraId="6122D391" w14:textId="77777777" w:rsidR="00017A4A" w:rsidRDefault="00017A4A" w:rsidP="00017A4A">
      <w:pPr>
        <w:pStyle w:val="NormalWeb"/>
        <w:numPr>
          <w:ilvl w:val="0"/>
          <w:numId w:val="68"/>
        </w:numPr>
      </w:pPr>
      <w:r>
        <w:rPr>
          <w:rStyle w:val="Strong"/>
          <w:rFonts w:eastAsiaTheme="majorEastAsia"/>
        </w:rPr>
        <w:t>Environmental and approvals complexity.</w:t>
      </w:r>
      <w:r>
        <w:t xml:space="preserve"> Works intersect sensitive alpine landscapes, which increases the approvals workload and reduces flexibility for late method changes, especially on transmission corridors supporting Snowy 2.0 (</w:t>
      </w:r>
      <w:proofErr w:type="spellStart"/>
      <w:r>
        <w:t>Transgrid</w:t>
      </w:r>
      <w:proofErr w:type="spellEnd"/>
      <w:r>
        <w:t xml:space="preserve"> 2024–25). (</w:t>
      </w:r>
      <w:proofErr w:type="spellStart"/>
      <w:r>
        <w:fldChar w:fldCharType="begin"/>
      </w:r>
      <w:r>
        <w:instrText>HYPERLINK "https://www.transgrid.com.au/media-publications/news-articles/humelink-approval-unlocks-more-than-1-billion-in-benefits-for-consumers/?utm_source=chatgpt.com" \o "HumeLink approval unlocks more than $1 billion in benefits for ..."</w:instrText>
      </w:r>
      <w:r>
        <w:fldChar w:fldCharType="separate"/>
      </w:r>
      <w:r>
        <w:rPr>
          <w:rStyle w:val="Hyperlink"/>
          <w:rFonts w:eastAsiaTheme="majorEastAsia"/>
        </w:rPr>
        <w:t>Transgrid</w:t>
      </w:r>
      <w:proofErr w:type="spellEnd"/>
      <w:r>
        <w:fldChar w:fldCharType="end"/>
      </w:r>
      <w:r>
        <w:t>)</w:t>
      </w:r>
    </w:p>
    <w:p w14:paraId="101B5CA3" w14:textId="77777777" w:rsidR="00017A4A" w:rsidRDefault="00017A4A" w:rsidP="00017A4A">
      <w:pPr>
        <w:pStyle w:val="NormalWeb"/>
        <w:numPr>
          <w:ilvl w:val="0"/>
          <w:numId w:val="68"/>
        </w:numPr>
      </w:pPr>
      <w:r>
        <w:rPr>
          <w:rStyle w:val="Strong"/>
          <w:rFonts w:eastAsiaTheme="majorEastAsia"/>
        </w:rPr>
        <w:t>Grid-integration dependencies.</w:t>
      </w:r>
      <w:r>
        <w:t xml:space="preserve"> </w:t>
      </w:r>
      <w:proofErr w:type="spellStart"/>
      <w:r>
        <w:rPr>
          <w:rStyle w:val="Strong"/>
          <w:rFonts w:eastAsiaTheme="majorEastAsia"/>
        </w:rPr>
        <w:t>HumeLink</w:t>
      </w:r>
      <w:proofErr w:type="spellEnd"/>
      <w:r>
        <w:t xml:space="preserve"> and the Snowy 2.0 connection are critical to avoid stranded capacity at commissioning, with NSW and Commonwealth </w:t>
      </w:r>
      <w:r>
        <w:lastRenderedPageBreak/>
        <w:t xml:space="preserve">approvals in place and construction commencing in 2025 (ABC News 2024, </w:t>
      </w:r>
      <w:proofErr w:type="spellStart"/>
      <w:r>
        <w:t>Transgrid</w:t>
      </w:r>
      <w:proofErr w:type="spellEnd"/>
      <w:r>
        <w:t xml:space="preserve"> 2024–25). (</w:t>
      </w:r>
      <w:hyperlink r:id="rId14" w:tooltip="$4.8b HumeLink transmission line approved to connect Snowy Hydro 2.0" w:history="1">
        <w:r>
          <w:rPr>
            <w:rStyle w:val="Hyperlink"/>
            <w:rFonts w:eastAsiaTheme="majorEastAsia"/>
          </w:rPr>
          <w:t>ABC</w:t>
        </w:r>
      </w:hyperlink>
      <w:r>
        <w:t>)</w:t>
      </w:r>
    </w:p>
    <w:p w14:paraId="642542EE" w14:textId="7AFD4B2F" w:rsidR="00000965" w:rsidRDefault="00000965" w:rsidP="00017A4A">
      <w:pPr>
        <w:pStyle w:val="NormalWeb"/>
      </w:pPr>
      <w:r>
        <w:rPr>
          <w:rStyle w:val="Emphasis"/>
          <w:noProof/>
        </w:rPr>
        <w:drawing>
          <wp:inline distT="0" distB="0" distL="0" distR="0" wp14:anchorId="623A567D" wp14:editId="5B4D0C48">
            <wp:extent cx="3115945" cy="2336800"/>
            <wp:effectExtent l="0" t="0" r="8255" b="6350"/>
            <wp:docPr id="388033293" name="Picture 3" descr="A group of people in hard h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33293" name="Picture 3" descr="A group of people in hard hat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5945" cy="2336800"/>
                    </a:xfrm>
                    <a:prstGeom prst="rect">
                      <a:avLst/>
                    </a:prstGeom>
                    <a:noFill/>
                    <a:ln>
                      <a:noFill/>
                    </a:ln>
                  </pic:spPr>
                </pic:pic>
              </a:graphicData>
            </a:graphic>
          </wp:inline>
        </w:drawing>
      </w:r>
    </w:p>
    <w:p w14:paraId="04BD8F78" w14:textId="60783301" w:rsidR="00017A4A" w:rsidRDefault="00017A4A" w:rsidP="00017A4A">
      <w:pPr>
        <w:pStyle w:val="NormalWeb"/>
      </w:pPr>
      <w:r>
        <w:rPr>
          <w:rStyle w:val="Emphasis"/>
        </w:rPr>
        <w:t xml:space="preserve">Figure </w:t>
      </w:r>
      <w:r w:rsidR="00000965">
        <w:rPr>
          <w:rStyle w:val="Emphasis"/>
        </w:rPr>
        <w:t>2</w:t>
      </w:r>
      <w:r>
        <w:rPr>
          <w:rStyle w:val="Emphasis"/>
        </w:rPr>
        <w:t>. TBM Florence at the portal, used to anchor the geotechnical challenge and the recovery logistics.</w:t>
      </w:r>
      <w:r>
        <w:t xml:space="preserve"> Example image source: national press photo of the Florence TBM.</w:t>
      </w:r>
    </w:p>
    <w:p w14:paraId="77358F2F" w14:textId="77777777" w:rsidR="00017A4A" w:rsidRDefault="00017A4A" w:rsidP="00017A4A">
      <w:pPr>
        <w:pStyle w:val="Heading3"/>
      </w:pPr>
      <w:r>
        <w:t>Table 1. Summary of key challenges and likely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542"/>
        <w:gridCol w:w="1375"/>
        <w:gridCol w:w="3842"/>
      </w:tblGrid>
      <w:tr w:rsidR="00017A4A" w14:paraId="1932FBA7" w14:textId="77777777">
        <w:trPr>
          <w:tblHeader/>
          <w:tblCellSpacing w:w="15" w:type="dxa"/>
        </w:trPr>
        <w:tc>
          <w:tcPr>
            <w:tcW w:w="0" w:type="auto"/>
            <w:vAlign w:val="center"/>
            <w:hideMark/>
          </w:tcPr>
          <w:p w14:paraId="5CC2FECD" w14:textId="77777777" w:rsidR="00017A4A" w:rsidRDefault="00017A4A">
            <w:pPr>
              <w:jc w:val="center"/>
              <w:rPr>
                <w:b/>
                <w:bCs/>
              </w:rPr>
            </w:pPr>
            <w:r>
              <w:rPr>
                <w:b/>
                <w:bCs/>
              </w:rPr>
              <w:t>Challenge</w:t>
            </w:r>
          </w:p>
        </w:tc>
        <w:tc>
          <w:tcPr>
            <w:tcW w:w="0" w:type="auto"/>
            <w:vAlign w:val="center"/>
            <w:hideMark/>
          </w:tcPr>
          <w:p w14:paraId="3FB5DAB6" w14:textId="77777777" w:rsidR="00017A4A" w:rsidRDefault="00017A4A">
            <w:pPr>
              <w:jc w:val="center"/>
              <w:rPr>
                <w:b/>
                <w:bCs/>
              </w:rPr>
            </w:pPr>
            <w:r>
              <w:rPr>
                <w:b/>
                <w:bCs/>
              </w:rPr>
              <w:t>Likely effect on time</w:t>
            </w:r>
          </w:p>
        </w:tc>
        <w:tc>
          <w:tcPr>
            <w:tcW w:w="0" w:type="auto"/>
            <w:vAlign w:val="center"/>
            <w:hideMark/>
          </w:tcPr>
          <w:p w14:paraId="3E944299" w14:textId="77777777" w:rsidR="00017A4A" w:rsidRDefault="00017A4A">
            <w:pPr>
              <w:jc w:val="center"/>
              <w:rPr>
                <w:b/>
                <w:bCs/>
              </w:rPr>
            </w:pPr>
            <w:r>
              <w:rPr>
                <w:b/>
                <w:bCs/>
              </w:rPr>
              <w:t>Likely effect on cost</w:t>
            </w:r>
          </w:p>
        </w:tc>
        <w:tc>
          <w:tcPr>
            <w:tcW w:w="0" w:type="auto"/>
            <w:vAlign w:val="center"/>
            <w:hideMark/>
          </w:tcPr>
          <w:p w14:paraId="58CBB030" w14:textId="77777777" w:rsidR="00017A4A" w:rsidRDefault="00017A4A">
            <w:pPr>
              <w:jc w:val="center"/>
              <w:rPr>
                <w:b/>
                <w:bCs/>
              </w:rPr>
            </w:pPr>
            <w:r>
              <w:rPr>
                <w:b/>
                <w:bCs/>
              </w:rPr>
              <w:t>Notes and sources</w:t>
            </w:r>
          </w:p>
        </w:tc>
      </w:tr>
      <w:tr w:rsidR="00017A4A" w14:paraId="5D580844" w14:textId="77777777">
        <w:trPr>
          <w:tblCellSpacing w:w="15" w:type="dxa"/>
        </w:trPr>
        <w:tc>
          <w:tcPr>
            <w:tcW w:w="0" w:type="auto"/>
            <w:vAlign w:val="center"/>
            <w:hideMark/>
          </w:tcPr>
          <w:p w14:paraId="53ED03D1" w14:textId="77777777" w:rsidR="00017A4A" w:rsidRDefault="00017A4A">
            <w:r>
              <w:t>Variable ground and TBM stoppages</w:t>
            </w:r>
          </w:p>
        </w:tc>
        <w:tc>
          <w:tcPr>
            <w:tcW w:w="0" w:type="auto"/>
            <w:vAlign w:val="center"/>
            <w:hideMark/>
          </w:tcPr>
          <w:p w14:paraId="46B85413" w14:textId="77777777" w:rsidR="00017A4A" w:rsidRDefault="00017A4A">
            <w:r>
              <w:t>High</w:t>
            </w:r>
          </w:p>
        </w:tc>
        <w:tc>
          <w:tcPr>
            <w:tcW w:w="0" w:type="auto"/>
            <w:vAlign w:val="center"/>
            <w:hideMark/>
          </w:tcPr>
          <w:p w14:paraId="287E2D01" w14:textId="77777777" w:rsidR="00017A4A" w:rsidRDefault="00017A4A">
            <w:r>
              <w:t>High</w:t>
            </w:r>
          </w:p>
        </w:tc>
        <w:tc>
          <w:tcPr>
            <w:tcW w:w="0" w:type="auto"/>
            <w:vAlign w:val="center"/>
            <w:hideMark/>
          </w:tcPr>
          <w:p w14:paraId="0B913983" w14:textId="77777777" w:rsidR="00017A4A" w:rsidRDefault="00017A4A">
            <w:r>
              <w:t>Immobilisation, cutter wear, resequencing, recovery campaigns. (</w:t>
            </w:r>
            <w:hyperlink r:id="rId16" w:tooltip="Tunnel boring machine wedged in hard rock, leaving Snowy 2.0 hydropower ..." w:history="1">
              <w:r>
                <w:rPr>
                  <w:rStyle w:val="Hyperlink"/>
                </w:rPr>
                <w:t>ABC</w:t>
              </w:r>
            </w:hyperlink>
            <w:r>
              <w:t>)</w:t>
            </w:r>
          </w:p>
        </w:tc>
      </w:tr>
      <w:tr w:rsidR="00017A4A" w14:paraId="4E397CFD" w14:textId="77777777">
        <w:trPr>
          <w:tblCellSpacing w:w="15" w:type="dxa"/>
        </w:trPr>
        <w:tc>
          <w:tcPr>
            <w:tcW w:w="0" w:type="auto"/>
            <w:vAlign w:val="center"/>
            <w:hideMark/>
          </w:tcPr>
          <w:p w14:paraId="154202F4" w14:textId="77777777" w:rsidR="00017A4A" w:rsidRDefault="00017A4A">
            <w:r>
              <w:t>Cost escalation signals</w:t>
            </w:r>
          </w:p>
        </w:tc>
        <w:tc>
          <w:tcPr>
            <w:tcW w:w="0" w:type="auto"/>
            <w:vAlign w:val="center"/>
            <w:hideMark/>
          </w:tcPr>
          <w:p w14:paraId="207813D9" w14:textId="77777777" w:rsidR="00017A4A" w:rsidRDefault="00017A4A">
            <w:r>
              <w:t>Medium to High</w:t>
            </w:r>
          </w:p>
        </w:tc>
        <w:tc>
          <w:tcPr>
            <w:tcW w:w="0" w:type="auto"/>
            <w:vAlign w:val="center"/>
            <w:hideMark/>
          </w:tcPr>
          <w:p w14:paraId="399E3111" w14:textId="77777777" w:rsidR="00017A4A" w:rsidRDefault="00017A4A">
            <w:r>
              <w:t>High</w:t>
            </w:r>
          </w:p>
        </w:tc>
        <w:tc>
          <w:tcPr>
            <w:tcW w:w="0" w:type="auto"/>
            <w:vAlign w:val="center"/>
            <w:hideMark/>
          </w:tcPr>
          <w:p w14:paraId="04CD2CBA" w14:textId="77777777" w:rsidR="00017A4A" w:rsidRDefault="00017A4A">
            <w:r>
              <w:t>Re-assessment beyond prior public envelope. (</w:t>
            </w:r>
            <w:hyperlink r:id="rId17" w:tooltip="When will Australia’s huge Snowy 2.0 pumped storage project be completed?" w:history="1">
              <w:r>
                <w:rPr>
                  <w:rStyle w:val="Hyperlink"/>
                </w:rPr>
                <w:t>Factor This™</w:t>
              </w:r>
            </w:hyperlink>
            <w:r>
              <w:t>)</w:t>
            </w:r>
          </w:p>
        </w:tc>
      </w:tr>
      <w:tr w:rsidR="00017A4A" w14:paraId="2B9536AA" w14:textId="77777777">
        <w:trPr>
          <w:tblCellSpacing w:w="15" w:type="dxa"/>
        </w:trPr>
        <w:tc>
          <w:tcPr>
            <w:tcW w:w="0" w:type="auto"/>
            <w:vAlign w:val="center"/>
            <w:hideMark/>
          </w:tcPr>
          <w:p w14:paraId="0E7CD034" w14:textId="77777777" w:rsidR="00017A4A" w:rsidRDefault="00017A4A">
            <w:r>
              <w:t>Safety incidents, compliance</w:t>
            </w:r>
          </w:p>
        </w:tc>
        <w:tc>
          <w:tcPr>
            <w:tcW w:w="0" w:type="auto"/>
            <w:vAlign w:val="center"/>
            <w:hideMark/>
          </w:tcPr>
          <w:p w14:paraId="654C09A5" w14:textId="77777777" w:rsidR="00017A4A" w:rsidRDefault="00017A4A">
            <w:r>
              <w:t>High during stand-downs</w:t>
            </w:r>
          </w:p>
        </w:tc>
        <w:tc>
          <w:tcPr>
            <w:tcW w:w="0" w:type="auto"/>
            <w:vAlign w:val="center"/>
            <w:hideMark/>
          </w:tcPr>
          <w:p w14:paraId="311AE5F8" w14:textId="77777777" w:rsidR="00017A4A" w:rsidRDefault="00017A4A">
            <w:r>
              <w:t>Medium to High</w:t>
            </w:r>
          </w:p>
        </w:tc>
        <w:tc>
          <w:tcPr>
            <w:tcW w:w="0" w:type="auto"/>
            <w:vAlign w:val="center"/>
            <w:hideMark/>
          </w:tcPr>
          <w:p w14:paraId="6FF52B90" w14:textId="77777777" w:rsidR="00017A4A" w:rsidRDefault="00017A4A">
            <w:r>
              <w:t>Fan failure and prohibition notices. (</w:t>
            </w:r>
            <w:hyperlink r:id="rId18" w:tooltip="Snowy 2.0 project safety review underway after ventilation fan implodes ..." w:history="1">
              <w:r>
                <w:rPr>
                  <w:rStyle w:val="Hyperlink"/>
                </w:rPr>
                <w:t>ABC</w:t>
              </w:r>
            </w:hyperlink>
            <w:r>
              <w:t>)</w:t>
            </w:r>
          </w:p>
        </w:tc>
      </w:tr>
      <w:tr w:rsidR="00017A4A" w14:paraId="377167A6" w14:textId="77777777">
        <w:trPr>
          <w:tblCellSpacing w:w="15" w:type="dxa"/>
        </w:trPr>
        <w:tc>
          <w:tcPr>
            <w:tcW w:w="0" w:type="auto"/>
            <w:vAlign w:val="center"/>
            <w:hideMark/>
          </w:tcPr>
          <w:p w14:paraId="165EDB45" w14:textId="77777777" w:rsidR="00017A4A" w:rsidRDefault="00017A4A">
            <w:r>
              <w:t>Approvals constraints</w:t>
            </w:r>
          </w:p>
        </w:tc>
        <w:tc>
          <w:tcPr>
            <w:tcW w:w="0" w:type="auto"/>
            <w:vAlign w:val="center"/>
            <w:hideMark/>
          </w:tcPr>
          <w:p w14:paraId="500EB2CB" w14:textId="77777777" w:rsidR="00017A4A" w:rsidRDefault="00017A4A">
            <w:r>
              <w:t>Medium</w:t>
            </w:r>
          </w:p>
        </w:tc>
        <w:tc>
          <w:tcPr>
            <w:tcW w:w="0" w:type="auto"/>
            <w:vAlign w:val="center"/>
            <w:hideMark/>
          </w:tcPr>
          <w:p w14:paraId="5EEDEF95" w14:textId="77777777" w:rsidR="00017A4A" w:rsidRDefault="00017A4A">
            <w:r>
              <w:t>Medium</w:t>
            </w:r>
          </w:p>
        </w:tc>
        <w:tc>
          <w:tcPr>
            <w:tcW w:w="0" w:type="auto"/>
            <w:vAlign w:val="center"/>
            <w:hideMark/>
          </w:tcPr>
          <w:p w14:paraId="690D1F29" w14:textId="77777777" w:rsidR="00017A4A" w:rsidRDefault="00017A4A">
            <w:r>
              <w:t>Less flexibility for late alignment or method changes. (</w:t>
            </w:r>
            <w:proofErr w:type="spellStart"/>
            <w:r>
              <w:fldChar w:fldCharType="begin"/>
            </w:r>
            <w:r>
              <w:instrText>HYPERLINK "https://www.transgrid.com.au/media-publications/news-articles/humelink-approval-unlocks-more-than-1-billion-in-benefits-for-consumers/?utm_source=chatgpt.com" \o "HumeLink approval unlocks more than $1 billion in benefits for ..."</w:instrText>
            </w:r>
            <w:r>
              <w:fldChar w:fldCharType="separate"/>
            </w:r>
            <w:r>
              <w:rPr>
                <w:rStyle w:val="Hyperlink"/>
              </w:rPr>
              <w:t>Transgrid</w:t>
            </w:r>
            <w:proofErr w:type="spellEnd"/>
            <w:r>
              <w:fldChar w:fldCharType="end"/>
            </w:r>
            <w:r>
              <w:t>)</w:t>
            </w:r>
          </w:p>
        </w:tc>
      </w:tr>
      <w:tr w:rsidR="00017A4A" w14:paraId="61641EB5" w14:textId="77777777">
        <w:trPr>
          <w:tblCellSpacing w:w="15" w:type="dxa"/>
        </w:trPr>
        <w:tc>
          <w:tcPr>
            <w:tcW w:w="0" w:type="auto"/>
            <w:vAlign w:val="center"/>
            <w:hideMark/>
          </w:tcPr>
          <w:p w14:paraId="14A21988" w14:textId="77777777" w:rsidR="00017A4A" w:rsidRDefault="00017A4A">
            <w:r>
              <w:t>Transmission dependency</w:t>
            </w:r>
          </w:p>
        </w:tc>
        <w:tc>
          <w:tcPr>
            <w:tcW w:w="0" w:type="auto"/>
            <w:vAlign w:val="center"/>
            <w:hideMark/>
          </w:tcPr>
          <w:p w14:paraId="29BA4229" w14:textId="77777777" w:rsidR="00017A4A" w:rsidRDefault="00017A4A">
            <w:r>
              <w:t>Medium</w:t>
            </w:r>
          </w:p>
        </w:tc>
        <w:tc>
          <w:tcPr>
            <w:tcW w:w="0" w:type="auto"/>
            <w:vAlign w:val="center"/>
            <w:hideMark/>
          </w:tcPr>
          <w:p w14:paraId="6988EADF" w14:textId="77777777" w:rsidR="00017A4A" w:rsidRDefault="00017A4A">
            <w:r>
              <w:t>Medium</w:t>
            </w:r>
          </w:p>
        </w:tc>
        <w:tc>
          <w:tcPr>
            <w:tcW w:w="0" w:type="auto"/>
            <w:vAlign w:val="center"/>
            <w:hideMark/>
          </w:tcPr>
          <w:p w14:paraId="44A74DE5" w14:textId="77777777" w:rsidR="00017A4A" w:rsidRDefault="00017A4A">
            <w:r>
              <w:t>Risk of stranded capacity if misaligned. (</w:t>
            </w:r>
            <w:hyperlink r:id="rId19" w:tooltip="$4.8b HumeLink transmission line approved to connect Snowy Hydro 2.0" w:history="1">
              <w:r>
                <w:rPr>
                  <w:rStyle w:val="Hyperlink"/>
                </w:rPr>
                <w:t>ABC</w:t>
              </w:r>
            </w:hyperlink>
            <w:r>
              <w:t>)</w:t>
            </w:r>
          </w:p>
        </w:tc>
      </w:tr>
    </w:tbl>
    <w:p w14:paraId="307F60EB" w14:textId="77777777" w:rsidR="00017A4A" w:rsidRDefault="00017A4A" w:rsidP="00017A4A">
      <w:pPr>
        <w:pStyle w:val="Heading2"/>
      </w:pPr>
      <w:r>
        <w:t>2. Causes of the problems and how they connect</w:t>
      </w:r>
    </w:p>
    <w:p w14:paraId="21B5F15D" w14:textId="77777777" w:rsidR="00017A4A" w:rsidRDefault="00017A4A" w:rsidP="00017A4A">
      <w:pPr>
        <w:pStyle w:val="Heading3"/>
      </w:pPr>
      <w:r>
        <w:t>2.1 Geotechnical drivers and stoppage cascades</w:t>
      </w:r>
    </w:p>
    <w:p w14:paraId="5BF93607" w14:textId="77777777" w:rsidR="00017A4A" w:rsidRDefault="00017A4A" w:rsidP="00017A4A">
      <w:pPr>
        <w:pStyle w:val="NormalWeb"/>
      </w:pPr>
      <w:r>
        <w:t xml:space="preserve">Large-diameter TBMs rely on predictable rock mass conditions. When fracture density, abrasiveness or groundwater deviate from the ground model, advance rates fall, cutterhead damage rises, and the machine can stall. Recovery typically requires face pre-treatment and revised support, which absorbs time and labour, and sequentially pushes back cavern </w:t>
      </w:r>
      <w:r>
        <w:lastRenderedPageBreak/>
        <w:t xml:space="preserve">excavation, installation and commissioning. The </w:t>
      </w:r>
      <w:r>
        <w:rPr>
          <w:rStyle w:val="Strong"/>
          <w:rFonts w:eastAsiaTheme="majorEastAsia"/>
        </w:rPr>
        <w:t>Florence</w:t>
      </w:r>
      <w:r>
        <w:t xml:space="preserve"> stoppages and the use of </w:t>
      </w:r>
      <w:r>
        <w:rPr>
          <w:rStyle w:val="Strong"/>
          <w:rFonts w:eastAsiaTheme="majorEastAsia"/>
        </w:rPr>
        <w:t>high-pressure water jetting</w:t>
      </w:r>
      <w:r>
        <w:t xml:space="preserve"> in 2024 illustrate this cascade (ABC News 2024, Snowy Hydro 2024). (</w:t>
      </w:r>
      <w:hyperlink r:id="rId20" w:tooltip="Tunnel boring machine wedged in hard rock, leaving Snowy 2.0 hydropower ..." w:history="1">
        <w:r>
          <w:rPr>
            <w:rStyle w:val="Hyperlink"/>
            <w:rFonts w:eastAsiaTheme="majorEastAsia"/>
          </w:rPr>
          <w:t>ABC</w:t>
        </w:r>
      </w:hyperlink>
      <w:r>
        <w:t>)</w:t>
      </w:r>
    </w:p>
    <w:p w14:paraId="029AA20F" w14:textId="77777777" w:rsidR="00017A4A" w:rsidRDefault="00017A4A" w:rsidP="00017A4A">
      <w:pPr>
        <w:pStyle w:val="Heading3"/>
      </w:pPr>
      <w:r>
        <w:t>2.2 Safety governance under pressure</w:t>
      </w:r>
    </w:p>
    <w:p w14:paraId="0147C211" w14:textId="77777777" w:rsidR="00017A4A" w:rsidRDefault="00017A4A" w:rsidP="00017A4A">
      <w:pPr>
        <w:pStyle w:val="NormalWeb"/>
      </w:pPr>
      <w:r>
        <w:t xml:space="preserve">Underground production depends on robust ventilation, certified refuge chambers and trained evacuation. The </w:t>
      </w:r>
      <w:r>
        <w:rPr>
          <w:rStyle w:val="Strong"/>
          <w:rFonts w:eastAsiaTheme="majorEastAsia"/>
        </w:rPr>
        <w:t>ventilation fan implosion</w:t>
      </w:r>
      <w:r>
        <w:t xml:space="preserve"> produced dangerous fragments and triggered six prohibition notices, plus an independent review. Such events erode workforce confidence and slow remobilisation, which amplifies delay and cost. The confined services envelope that construction crews work within is shown in Figure 2 (ABC News 2025, </w:t>
      </w:r>
      <w:proofErr w:type="spellStart"/>
      <w:r>
        <w:t>ESDNews</w:t>
      </w:r>
      <w:proofErr w:type="spellEnd"/>
      <w:r>
        <w:t xml:space="preserve"> 2025). (</w:t>
      </w:r>
      <w:hyperlink r:id="rId21" w:tooltip="Snowy 2.0 project safety review underway after ventilation fan implodes ..." w:history="1">
        <w:r>
          <w:rPr>
            <w:rStyle w:val="Hyperlink"/>
            <w:rFonts w:eastAsiaTheme="majorEastAsia"/>
          </w:rPr>
          <w:t>ABC</w:t>
        </w:r>
      </w:hyperlink>
      <w:r>
        <w:t>)</w:t>
      </w:r>
    </w:p>
    <w:p w14:paraId="1A129D30" w14:textId="4E3B7C38" w:rsidR="0022001C" w:rsidRDefault="0022001C" w:rsidP="00017A4A">
      <w:pPr>
        <w:pStyle w:val="NormalWeb"/>
        <w:rPr>
          <w:rStyle w:val="Emphasis"/>
        </w:rPr>
      </w:pPr>
      <w:r w:rsidRPr="0022001C">
        <w:rPr>
          <w:rStyle w:val="Emphasis"/>
          <w:noProof/>
        </w:rPr>
        <w:drawing>
          <wp:inline distT="0" distB="0" distL="0" distR="0" wp14:anchorId="5B195918" wp14:editId="68230AF4">
            <wp:extent cx="4618722" cy="5554133"/>
            <wp:effectExtent l="0" t="0" r="0" b="8890"/>
            <wp:docPr id="1925356272"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56272" name="Picture 1" descr="A screenshot of a map&#10;&#10;AI-generated content may be incorrect."/>
                    <pic:cNvPicPr/>
                  </pic:nvPicPr>
                  <pic:blipFill>
                    <a:blip r:embed="rId22"/>
                    <a:stretch>
                      <a:fillRect/>
                    </a:stretch>
                  </pic:blipFill>
                  <pic:spPr>
                    <a:xfrm>
                      <a:off x="0" y="0"/>
                      <a:ext cx="4621080" cy="5556969"/>
                    </a:xfrm>
                    <a:prstGeom prst="rect">
                      <a:avLst/>
                    </a:prstGeom>
                  </pic:spPr>
                </pic:pic>
              </a:graphicData>
            </a:graphic>
          </wp:inline>
        </w:drawing>
      </w:r>
    </w:p>
    <w:p w14:paraId="38ECA486" w14:textId="5A1606E0" w:rsidR="00017A4A" w:rsidRDefault="00017A4A" w:rsidP="00017A4A">
      <w:pPr>
        <w:pStyle w:val="NormalWeb"/>
      </w:pPr>
      <w:r>
        <w:rPr>
          <w:rStyle w:val="Emphasis"/>
        </w:rPr>
        <w:t xml:space="preserve">Figure </w:t>
      </w:r>
      <w:r w:rsidR="00000965">
        <w:rPr>
          <w:rStyle w:val="Emphasis"/>
        </w:rPr>
        <w:t>3</w:t>
      </w:r>
      <w:r>
        <w:rPr>
          <w:rStyle w:val="Emphasis"/>
        </w:rPr>
        <w:t>. Tunnel services environment, showing ducting, cable trays and egress signage, used to anchor the safety discussion.</w:t>
      </w:r>
      <w:r>
        <w:t xml:space="preserve"> Example image sources: Snowy Hydro and </w:t>
      </w:r>
      <w:proofErr w:type="spellStart"/>
      <w:r>
        <w:t>Webuild</w:t>
      </w:r>
      <w:proofErr w:type="spellEnd"/>
      <w:r>
        <w:t xml:space="preserve"> galleries.</w:t>
      </w:r>
    </w:p>
    <w:p w14:paraId="697088CE" w14:textId="77777777" w:rsidR="00017A4A" w:rsidRDefault="00017A4A" w:rsidP="00017A4A">
      <w:pPr>
        <w:pStyle w:val="Heading3"/>
      </w:pPr>
      <w:r>
        <w:lastRenderedPageBreak/>
        <w:t>2.3 Environmental approvals and constructability</w:t>
      </w:r>
    </w:p>
    <w:p w14:paraId="1D3D35A8" w14:textId="77777777" w:rsidR="00017A4A" w:rsidRDefault="00017A4A" w:rsidP="00017A4A">
      <w:pPr>
        <w:pStyle w:val="NormalWeb"/>
      </w:pPr>
      <w:r>
        <w:t xml:space="preserve">The Snowy 2.0 connection and </w:t>
      </w:r>
      <w:proofErr w:type="spellStart"/>
      <w:r>
        <w:t>HumeLink</w:t>
      </w:r>
      <w:proofErr w:type="spellEnd"/>
      <w:r>
        <w:t xml:space="preserve"> traverse sensitive landscapes and multiple LGAs. Approvals constrain options for late design changes, for example relocating worksites or spoil areas, which limits agility in response to geotechnical surprises and raises the reporting burden during delivery (</w:t>
      </w:r>
      <w:proofErr w:type="spellStart"/>
      <w:r>
        <w:t>Transgrid</w:t>
      </w:r>
      <w:proofErr w:type="spellEnd"/>
      <w:r>
        <w:t xml:space="preserve"> 2024–25). (</w:t>
      </w:r>
      <w:proofErr w:type="spellStart"/>
      <w:r>
        <w:fldChar w:fldCharType="begin"/>
      </w:r>
      <w:r>
        <w:instrText>HYPERLINK "https://www.transgrid.com.au/media-publications/news-articles/humelink-approval-unlocks-more-than-1-billion-in-benefits-for-consumers/?utm_source=chatgpt.com" \o "HumeLink approval unlocks more than $1 billion in benefits for ..."</w:instrText>
      </w:r>
      <w:r>
        <w:fldChar w:fldCharType="separate"/>
      </w:r>
      <w:r>
        <w:rPr>
          <w:rStyle w:val="Hyperlink"/>
          <w:rFonts w:eastAsiaTheme="majorEastAsia"/>
        </w:rPr>
        <w:t>Transgrid</w:t>
      </w:r>
      <w:proofErr w:type="spellEnd"/>
      <w:r>
        <w:fldChar w:fldCharType="end"/>
      </w:r>
      <w:r>
        <w:t>)</w:t>
      </w:r>
    </w:p>
    <w:p w14:paraId="50403A4F" w14:textId="77777777" w:rsidR="00017A4A" w:rsidRDefault="00017A4A" w:rsidP="00017A4A">
      <w:pPr>
        <w:pStyle w:val="Heading3"/>
      </w:pPr>
      <w:r>
        <w:t>2.4 System-level dependency on transmission</w:t>
      </w:r>
    </w:p>
    <w:p w14:paraId="4B09BF17" w14:textId="77777777" w:rsidR="00017A4A" w:rsidRDefault="00017A4A" w:rsidP="00017A4A">
      <w:pPr>
        <w:pStyle w:val="NormalWeb"/>
      </w:pPr>
      <w:r>
        <w:t xml:space="preserve">Snowy 2.0 captures full value only if transmission capacity is energised on time. </w:t>
      </w:r>
      <w:proofErr w:type="spellStart"/>
      <w:r>
        <w:rPr>
          <w:rStyle w:val="Strong"/>
          <w:rFonts w:eastAsiaTheme="majorEastAsia"/>
        </w:rPr>
        <w:t>HumeLink</w:t>
      </w:r>
      <w:proofErr w:type="spellEnd"/>
      <w:r>
        <w:t xml:space="preserve">, around </w:t>
      </w:r>
      <w:r>
        <w:rPr>
          <w:rStyle w:val="Strong"/>
          <w:rFonts w:eastAsiaTheme="majorEastAsia"/>
        </w:rPr>
        <w:t>360–365 km</w:t>
      </w:r>
      <w:r>
        <w:t xml:space="preserve"> of 500 kV lines with new and upgraded substations, is a genuine critical path dependency. Misalignment can strand generation or the line in early years. Coordinated energisation planning reduces this risk (ABC News 2024, </w:t>
      </w:r>
      <w:proofErr w:type="spellStart"/>
      <w:r>
        <w:t>Transgrid</w:t>
      </w:r>
      <w:proofErr w:type="spellEnd"/>
      <w:r>
        <w:t xml:space="preserve"> 2024–25). (</w:t>
      </w:r>
      <w:hyperlink r:id="rId23" w:tooltip="$4.8b HumeLink transmission line approved to connect Snowy Hydro 2.0" w:history="1">
        <w:r>
          <w:rPr>
            <w:rStyle w:val="Hyperlink"/>
            <w:rFonts w:eastAsiaTheme="majorEastAsia"/>
          </w:rPr>
          <w:t>ABC</w:t>
        </w:r>
      </w:hyperlink>
      <w:r>
        <w:t>)</w:t>
      </w:r>
    </w:p>
    <w:p w14:paraId="57A4683B" w14:textId="2B302A76" w:rsidR="0022001C" w:rsidRDefault="00FE0879" w:rsidP="00017A4A">
      <w:pPr>
        <w:pStyle w:val="NormalWeb"/>
      </w:pPr>
      <w:r>
        <w:rPr>
          <w:rStyle w:val="Emphasis"/>
          <w:noProof/>
        </w:rPr>
        <w:drawing>
          <wp:inline distT="0" distB="0" distL="0" distR="0" wp14:anchorId="71D9C35C" wp14:editId="6DDD3BD3">
            <wp:extent cx="5731510" cy="3538463"/>
            <wp:effectExtent l="0" t="0" r="2540" b="5080"/>
            <wp:docPr id="973761637" name="Picture 4"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61637" name="Picture 4" descr="A map of a roa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38463"/>
                    </a:xfrm>
                    <a:prstGeom prst="rect">
                      <a:avLst/>
                    </a:prstGeom>
                    <a:noFill/>
                    <a:ln>
                      <a:noFill/>
                    </a:ln>
                  </pic:spPr>
                </pic:pic>
              </a:graphicData>
            </a:graphic>
          </wp:inline>
        </w:drawing>
      </w:r>
    </w:p>
    <w:p w14:paraId="4FF4BFC1" w14:textId="47B64729" w:rsidR="00017A4A" w:rsidRDefault="00017A4A" w:rsidP="00017A4A">
      <w:pPr>
        <w:pStyle w:val="NormalWeb"/>
      </w:pPr>
      <w:r>
        <w:rPr>
          <w:rStyle w:val="Emphasis"/>
        </w:rPr>
        <w:t xml:space="preserve">Figure </w:t>
      </w:r>
      <w:r w:rsidR="0022001C">
        <w:rPr>
          <w:rStyle w:val="Emphasis"/>
        </w:rPr>
        <w:t>3</w:t>
      </w:r>
      <w:r>
        <w:rPr>
          <w:rStyle w:val="Emphasis"/>
        </w:rPr>
        <w:t xml:space="preserve">. </w:t>
      </w:r>
      <w:proofErr w:type="spellStart"/>
      <w:r>
        <w:rPr>
          <w:rStyle w:val="Emphasis"/>
        </w:rPr>
        <w:t>HumeLink</w:t>
      </w:r>
      <w:proofErr w:type="spellEnd"/>
      <w:r>
        <w:rPr>
          <w:rStyle w:val="Emphasis"/>
        </w:rPr>
        <w:t xml:space="preserve"> regional overview map, locating Wagga Wagga, </w:t>
      </w:r>
      <w:proofErr w:type="spellStart"/>
      <w:r>
        <w:rPr>
          <w:rStyle w:val="Emphasis"/>
        </w:rPr>
        <w:t>Bannaby</w:t>
      </w:r>
      <w:proofErr w:type="spellEnd"/>
      <w:r>
        <w:rPr>
          <w:rStyle w:val="Emphasis"/>
        </w:rPr>
        <w:t xml:space="preserve"> and </w:t>
      </w:r>
      <w:proofErr w:type="spellStart"/>
      <w:r>
        <w:rPr>
          <w:rStyle w:val="Emphasis"/>
        </w:rPr>
        <w:t>Maragle</w:t>
      </w:r>
      <w:proofErr w:type="spellEnd"/>
      <w:r>
        <w:rPr>
          <w:rStyle w:val="Emphasis"/>
        </w:rPr>
        <w:t>, used to place Snowy 2.0 in the grid.</w:t>
      </w:r>
      <w:r>
        <w:t xml:space="preserve"> Example image source: </w:t>
      </w:r>
      <w:proofErr w:type="spellStart"/>
      <w:r>
        <w:t>Transgrid</w:t>
      </w:r>
      <w:proofErr w:type="spellEnd"/>
      <w:r>
        <w:t xml:space="preserve"> </w:t>
      </w:r>
      <w:proofErr w:type="spellStart"/>
      <w:r>
        <w:t>HumeLink</w:t>
      </w:r>
      <w:proofErr w:type="spellEnd"/>
      <w:r>
        <w:t xml:space="preserve"> West overview.</w:t>
      </w:r>
    </w:p>
    <w:p w14:paraId="7B6D2640" w14:textId="77777777" w:rsidR="00017A4A" w:rsidRDefault="00017A4A" w:rsidP="00017A4A">
      <w:pPr>
        <w:pStyle w:val="Heading3"/>
      </w:pPr>
      <w:r>
        <w:t>Table 2. Simple causal map of reinforcing loops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391"/>
        <w:gridCol w:w="2334"/>
        <w:gridCol w:w="2316"/>
      </w:tblGrid>
      <w:tr w:rsidR="00017A4A" w14:paraId="6D8D46AB" w14:textId="77777777">
        <w:trPr>
          <w:tblHeader/>
          <w:tblCellSpacing w:w="15" w:type="dxa"/>
        </w:trPr>
        <w:tc>
          <w:tcPr>
            <w:tcW w:w="0" w:type="auto"/>
            <w:vAlign w:val="center"/>
            <w:hideMark/>
          </w:tcPr>
          <w:p w14:paraId="25616EF8" w14:textId="77777777" w:rsidR="00017A4A" w:rsidRDefault="00017A4A">
            <w:pPr>
              <w:jc w:val="center"/>
              <w:rPr>
                <w:b/>
                <w:bCs/>
              </w:rPr>
            </w:pPr>
            <w:r>
              <w:rPr>
                <w:b/>
                <w:bCs/>
              </w:rPr>
              <w:t>Trigger</w:t>
            </w:r>
          </w:p>
        </w:tc>
        <w:tc>
          <w:tcPr>
            <w:tcW w:w="0" w:type="auto"/>
            <w:vAlign w:val="center"/>
            <w:hideMark/>
          </w:tcPr>
          <w:p w14:paraId="25EAF48A" w14:textId="77777777" w:rsidR="00017A4A" w:rsidRDefault="00017A4A">
            <w:pPr>
              <w:jc w:val="center"/>
              <w:rPr>
                <w:b/>
                <w:bCs/>
              </w:rPr>
            </w:pPr>
            <w:r>
              <w:rPr>
                <w:b/>
                <w:bCs/>
              </w:rPr>
              <w:t>Immediate effect</w:t>
            </w:r>
          </w:p>
        </w:tc>
        <w:tc>
          <w:tcPr>
            <w:tcW w:w="0" w:type="auto"/>
            <w:vAlign w:val="center"/>
            <w:hideMark/>
          </w:tcPr>
          <w:p w14:paraId="41B420CF" w14:textId="77777777" w:rsidR="00017A4A" w:rsidRDefault="00017A4A">
            <w:pPr>
              <w:jc w:val="center"/>
              <w:rPr>
                <w:b/>
                <w:bCs/>
              </w:rPr>
            </w:pPr>
            <w:r>
              <w:rPr>
                <w:b/>
                <w:bCs/>
              </w:rPr>
              <w:t>Cascade</w:t>
            </w:r>
          </w:p>
        </w:tc>
        <w:tc>
          <w:tcPr>
            <w:tcW w:w="0" w:type="auto"/>
            <w:vAlign w:val="center"/>
            <w:hideMark/>
          </w:tcPr>
          <w:p w14:paraId="365B7466" w14:textId="77777777" w:rsidR="00017A4A" w:rsidRDefault="00017A4A">
            <w:pPr>
              <w:jc w:val="center"/>
              <w:rPr>
                <w:b/>
                <w:bCs/>
              </w:rPr>
            </w:pPr>
            <w:r>
              <w:rPr>
                <w:b/>
                <w:bCs/>
              </w:rPr>
              <w:t>Outcome</w:t>
            </w:r>
          </w:p>
        </w:tc>
      </w:tr>
      <w:tr w:rsidR="00017A4A" w14:paraId="07F64A92" w14:textId="77777777">
        <w:trPr>
          <w:tblCellSpacing w:w="15" w:type="dxa"/>
        </w:trPr>
        <w:tc>
          <w:tcPr>
            <w:tcW w:w="0" w:type="auto"/>
            <w:vAlign w:val="center"/>
            <w:hideMark/>
          </w:tcPr>
          <w:p w14:paraId="5FDCF140" w14:textId="77777777" w:rsidR="00017A4A" w:rsidRDefault="00017A4A">
            <w:r>
              <w:t>Weak or abrasive ground</w:t>
            </w:r>
          </w:p>
        </w:tc>
        <w:tc>
          <w:tcPr>
            <w:tcW w:w="0" w:type="auto"/>
            <w:vAlign w:val="center"/>
            <w:hideMark/>
          </w:tcPr>
          <w:p w14:paraId="3A200A14" w14:textId="77777777" w:rsidR="00017A4A" w:rsidRDefault="00017A4A">
            <w:r>
              <w:t>TBM slowdown or stall</w:t>
            </w:r>
          </w:p>
        </w:tc>
        <w:tc>
          <w:tcPr>
            <w:tcW w:w="0" w:type="auto"/>
            <w:vAlign w:val="center"/>
            <w:hideMark/>
          </w:tcPr>
          <w:p w14:paraId="7A2F7555" w14:textId="77777777" w:rsidR="00017A4A" w:rsidRDefault="00017A4A">
            <w:r>
              <w:t>Recovery works, resequencing</w:t>
            </w:r>
          </w:p>
        </w:tc>
        <w:tc>
          <w:tcPr>
            <w:tcW w:w="0" w:type="auto"/>
            <w:vAlign w:val="center"/>
            <w:hideMark/>
          </w:tcPr>
          <w:p w14:paraId="09B53671" w14:textId="77777777" w:rsidR="00017A4A" w:rsidRDefault="00017A4A">
            <w:r>
              <w:t>Longer time, higher cost</w:t>
            </w:r>
          </w:p>
        </w:tc>
      </w:tr>
      <w:tr w:rsidR="00017A4A" w14:paraId="1C01DB73" w14:textId="77777777">
        <w:trPr>
          <w:tblCellSpacing w:w="15" w:type="dxa"/>
        </w:trPr>
        <w:tc>
          <w:tcPr>
            <w:tcW w:w="0" w:type="auto"/>
            <w:vAlign w:val="center"/>
            <w:hideMark/>
          </w:tcPr>
          <w:p w14:paraId="0E977B63" w14:textId="77777777" w:rsidR="00017A4A" w:rsidRDefault="00017A4A">
            <w:r>
              <w:t>Safety plant failure</w:t>
            </w:r>
          </w:p>
        </w:tc>
        <w:tc>
          <w:tcPr>
            <w:tcW w:w="0" w:type="auto"/>
            <w:vAlign w:val="center"/>
            <w:hideMark/>
          </w:tcPr>
          <w:p w14:paraId="64654F38" w14:textId="77777777" w:rsidR="00017A4A" w:rsidRDefault="00017A4A">
            <w:r>
              <w:t>Stop-work, prohibition notices</w:t>
            </w:r>
          </w:p>
        </w:tc>
        <w:tc>
          <w:tcPr>
            <w:tcW w:w="0" w:type="auto"/>
            <w:vAlign w:val="center"/>
            <w:hideMark/>
          </w:tcPr>
          <w:p w14:paraId="1D9CF169" w14:textId="77777777" w:rsidR="00017A4A" w:rsidRDefault="00017A4A">
            <w:r>
              <w:t>Morale drop, slow restart</w:t>
            </w:r>
          </w:p>
        </w:tc>
        <w:tc>
          <w:tcPr>
            <w:tcW w:w="0" w:type="auto"/>
            <w:vAlign w:val="center"/>
            <w:hideMark/>
          </w:tcPr>
          <w:p w14:paraId="28E6095C" w14:textId="77777777" w:rsidR="00017A4A" w:rsidRDefault="00017A4A">
            <w:r>
              <w:t>Time loss, reputational hit</w:t>
            </w:r>
          </w:p>
        </w:tc>
      </w:tr>
      <w:tr w:rsidR="00017A4A" w14:paraId="35EC7E08" w14:textId="77777777">
        <w:trPr>
          <w:tblCellSpacing w:w="15" w:type="dxa"/>
        </w:trPr>
        <w:tc>
          <w:tcPr>
            <w:tcW w:w="0" w:type="auto"/>
            <w:vAlign w:val="center"/>
            <w:hideMark/>
          </w:tcPr>
          <w:p w14:paraId="0E4C9A21" w14:textId="77777777" w:rsidR="00017A4A" w:rsidRDefault="00017A4A">
            <w:r>
              <w:lastRenderedPageBreak/>
              <w:t>Tight approvals</w:t>
            </w:r>
          </w:p>
        </w:tc>
        <w:tc>
          <w:tcPr>
            <w:tcW w:w="0" w:type="auto"/>
            <w:vAlign w:val="center"/>
            <w:hideMark/>
          </w:tcPr>
          <w:p w14:paraId="2BC1A52D" w14:textId="77777777" w:rsidR="00017A4A" w:rsidRDefault="00017A4A">
            <w:r>
              <w:t>Fewer rerouting options</w:t>
            </w:r>
          </w:p>
        </w:tc>
        <w:tc>
          <w:tcPr>
            <w:tcW w:w="0" w:type="auto"/>
            <w:vAlign w:val="center"/>
            <w:hideMark/>
          </w:tcPr>
          <w:p w14:paraId="3EEA8A3C" w14:textId="77777777" w:rsidR="00017A4A" w:rsidRDefault="00017A4A">
            <w:r>
              <w:t>Slower response to surprises</w:t>
            </w:r>
          </w:p>
        </w:tc>
        <w:tc>
          <w:tcPr>
            <w:tcW w:w="0" w:type="auto"/>
            <w:vAlign w:val="center"/>
            <w:hideMark/>
          </w:tcPr>
          <w:p w14:paraId="46C6064C" w14:textId="77777777" w:rsidR="00017A4A" w:rsidRDefault="00017A4A">
            <w:r>
              <w:t>Schedule stress</w:t>
            </w:r>
          </w:p>
        </w:tc>
      </w:tr>
      <w:tr w:rsidR="00017A4A" w14:paraId="465EB344" w14:textId="77777777">
        <w:trPr>
          <w:tblCellSpacing w:w="15" w:type="dxa"/>
        </w:trPr>
        <w:tc>
          <w:tcPr>
            <w:tcW w:w="0" w:type="auto"/>
            <w:vAlign w:val="center"/>
            <w:hideMark/>
          </w:tcPr>
          <w:p w14:paraId="4CABCC60" w14:textId="77777777" w:rsidR="00017A4A" w:rsidRDefault="00017A4A">
            <w:r>
              <w:t>Late transmission</w:t>
            </w:r>
          </w:p>
        </w:tc>
        <w:tc>
          <w:tcPr>
            <w:tcW w:w="0" w:type="auto"/>
            <w:vAlign w:val="center"/>
            <w:hideMark/>
          </w:tcPr>
          <w:p w14:paraId="75CC660C" w14:textId="77777777" w:rsidR="00017A4A" w:rsidRDefault="00017A4A">
            <w:r>
              <w:t>Bottleneck at commissioning</w:t>
            </w:r>
          </w:p>
        </w:tc>
        <w:tc>
          <w:tcPr>
            <w:tcW w:w="0" w:type="auto"/>
            <w:vAlign w:val="center"/>
            <w:hideMark/>
          </w:tcPr>
          <w:p w14:paraId="3D73DF22" w14:textId="77777777" w:rsidR="00017A4A" w:rsidRDefault="00017A4A">
            <w:r>
              <w:t>Lower early-year revenue</w:t>
            </w:r>
          </w:p>
        </w:tc>
        <w:tc>
          <w:tcPr>
            <w:tcW w:w="0" w:type="auto"/>
            <w:vAlign w:val="center"/>
            <w:hideMark/>
          </w:tcPr>
          <w:p w14:paraId="2143F019" w14:textId="77777777" w:rsidR="00017A4A" w:rsidRDefault="00017A4A">
            <w:r>
              <w:t>Economic under-performance</w:t>
            </w:r>
          </w:p>
        </w:tc>
      </w:tr>
    </w:tbl>
    <w:p w14:paraId="172CFFC6" w14:textId="77777777" w:rsidR="00017A4A" w:rsidRDefault="00017A4A" w:rsidP="00017A4A">
      <w:pPr>
        <w:pStyle w:val="Heading2"/>
      </w:pPr>
      <w:r>
        <w:t>3. Local and international good practice</w:t>
      </w:r>
    </w:p>
    <w:p w14:paraId="345CFD9C" w14:textId="77777777" w:rsidR="00017A4A" w:rsidRDefault="00017A4A" w:rsidP="00017A4A">
      <w:pPr>
        <w:pStyle w:val="Heading3"/>
      </w:pPr>
      <w:r>
        <w:t>3.1 Ground-risk management</w:t>
      </w:r>
    </w:p>
    <w:p w14:paraId="6E7A29BA" w14:textId="77777777" w:rsidR="00017A4A" w:rsidRDefault="00017A4A" w:rsidP="00017A4A">
      <w:pPr>
        <w:pStyle w:val="NormalWeb"/>
      </w:pPr>
      <w:r>
        <w:t xml:space="preserve">For high-risk geology, front-load </w:t>
      </w:r>
      <w:r>
        <w:rPr>
          <w:rStyle w:val="Strong"/>
          <w:rFonts w:eastAsiaTheme="majorEastAsia"/>
        </w:rPr>
        <w:t>probe drilling</w:t>
      </w:r>
      <w:r>
        <w:t xml:space="preserve"> and, where feasible, </w:t>
      </w:r>
      <w:r>
        <w:rPr>
          <w:rStyle w:val="Strong"/>
          <w:rFonts w:eastAsiaTheme="majorEastAsia"/>
        </w:rPr>
        <w:t>pilot headings</w:t>
      </w:r>
      <w:r>
        <w:t xml:space="preserve">. Baseline </w:t>
      </w:r>
      <w:r>
        <w:rPr>
          <w:rStyle w:val="Strong"/>
          <w:rFonts w:eastAsiaTheme="majorEastAsia"/>
        </w:rPr>
        <w:t>pre-grouting</w:t>
      </w:r>
      <w:r>
        <w:t xml:space="preserve"> and </w:t>
      </w:r>
      <w:r>
        <w:rPr>
          <w:rStyle w:val="Strong"/>
          <w:rFonts w:eastAsiaTheme="majorEastAsia"/>
        </w:rPr>
        <w:t>method switches</w:t>
      </w:r>
      <w:r>
        <w:t xml:space="preserve"> should be defined ahead of the TBM reaching hazards. This reduces immobilisation probability and shortens the tail of delay distributions, a pattern evidenced on European hydro and metro programs, and directly relevant to the </w:t>
      </w:r>
      <w:r>
        <w:rPr>
          <w:rStyle w:val="Strong"/>
          <w:rFonts w:eastAsiaTheme="majorEastAsia"/>
        </w:rPr>
        <w:t>Florence</w:t>
      </w:r>
      <w:r>
        <w:t xml:space="preserve"> experience (Snowy Hydro 2024). (</w:t>
      </w:r>
      <w:hyperlink r:id="rId25" w:tooltip="SNOWY 2.0 AND TBM FLORENCE UPDATE – JUNE 2024" w:history="1">
        <w:r>
          <w:rPr>
            <w:rStyle w:val="Hyperlink"/>
            <w:rFonts w:eastAsiaTheme="majorEastAsia"/>
          </w:rPr>
          <w:t>Snowy Hydro</w:t>
        </w:r>
      </w:hyperlink>
      <w:r>
        <w:t>)</w:t>
      </w:r>
    </w:p>
    <w:p w14:paraId="5F9FBF87" w14:textId="77777777" w:rsidR="00017A4A" w:rsidRDefault="00017A4A" w:rsidP="00017A4A">
      <w:pPr>
        <w:pStyle w:val="Heading3"/>
      </w:pPr>
      <w:r>
        <w:t>3.2 Contracting for variable subsurface conditions</w:t>
      </w:r>
    </w:p>
    <w:p w14:paraId="0E837ABC" w14:textId="77777777" w:rsidR="00017A4A" w:rsidRDefault="00017A4A" w:rsidP="00017A4A">
      <w:pPr>
        <w:pStyle w:val="NormalWeb"/>
      </w:pPr>
      <w:r>
        <w:t xml:space="preserve">When ground behaviour dominates uncertainty, </w:t>
      </w:r>
      <w:r>
        <w:rPr>
          <w:rStyle w:val="Strong"/>
          <w:rFonts w:eastAsiaTheme="majorEastAsia"/>
        </w:rPr>
        <w:t>target-cost</w:t>
      </w:r>
      <w:r>
        <w:t xml:space="preserve"> or </w:t>
      </w:r>
      <w:r>
        <w:rPr>
          <w:rStyle w:val="Strong"/>
          <w:rFonts w:eastAsiaTheme="majorEastAsia"/>
        </w:rPr>
        <w:t>alliance</w:t>
      </w:r>
      <w:r>
        <w:t xml:space="preserve"> models align incentives around safe throughput, shared data and joint decision-making, instead of adversarial claim cycles. Snowy Hydro’s reset notes a shift toward an </w:t>
      </w:r>
      <w:r>
        <w:rPr>
          <w:rStyle w:val="Strong"/>
          <w:rFonts w:eastAsiaTheme="majorEastAsia"/>
        </w:rPr>
        <w:t>Incentivised Target Cost</w:t>
      </w:r>
      <w:r>
        <w:t xml:space="preserve"> arrangement with FGJV to manage variability more collaboratively (Snowy Hydro 2023). (</w:t>
      </w:r>
      <w:hyperlink r:id="rId26" w:tooltip="SECURING THE FUTURE OF CRITICAL ENERGY TRANSFORMATION PROJECTS - Snowy ..." w:history="1">
        <w:r>
          <w:rPr>
            <w:rStyle w:val="Hyperlink"/>
            <w:rFonts w:eastAsiaTheme="majorEastAsia"/>
          </w:rPr>
          <w:t>Snowy Hydro</w:t>
        </w:r>
      </w:hyperlink>
      <w:r>
        <w:t>)</w:t>
      </w:r>
    </w:p>
    <w:p w14:paraId="650825DB" w14:textId="77777777" w:rsidR="00017A4A" w:rsidRDefault="00017A4A" w:rsidP="00017A4A">
      <w:pPr>
        <w:pStyle w:val="Heading3"/>
      </w:pPr>
      <w:r>
        <w:t>3.3 Safety plant as critical path</w:t>
      </w:r>
    </w:p>
    <w:p w14:paraId="04A13F2B" w14:textId="77777777" w:rsidR="00017A4A" w:rsidRDefault="00017A4A" w:rsidP="00017A4A">
      <w:pPr>
        <w:pStyle w:val="NormalWeb"/>
      </w:pPr>
      <w:r>
        <w:t xml:space="preserve">Treat ventilation, refuge chambers and drills as </w:t>
      </w:r>
      <w:r>
        <w:rPr>
          <w:rStyle w:val="Strong"/>
          <w:rFonts w:eastAsiaTheme="majorEastAsia"/>
        </w:rPr>
        <w:t>critical equipment</w:t>
      </w:r>
      <w:r>
        <w:t>. Embed pass-fail gates and regulator sign-off into the excavation program. This reduces the likelihood of blanket stop-work outcomes after incidents and supports workforce confidence, as highlighted by the 2025 fan event and subsequent notices (ABC News 2025). (</w:t>
      </w:r>
      <w:hyperlink r:id="rId27" w:tooltip="Snowy 2.0 project safety review underway after ventilation fan implodes ..." w:history="1">
        <w:r>
          <w:rPr>
            <w:rStyle w:val="Hyperlink"/>
            <w:rFonts w:eastAsiaTheme="majorEastAsia"/>
          </w:rPr>
          <w:t>ABC</w:t>
        </w:r>
      </w:hyperlink>
      <w:r>
        <w:t>)</w:t>
      </w:r>
    </w:p>
    <w:p w14:paraId="39010AB8" w14:textId="77777777" w:rsidR="00017A4A" w:rsidRDefault="00017A4A" w:rsidP="00017A4A">
      <w:pPr>
        <w:pStyle w:val="Heading3"/>
      </w:pPr>
      <w:r>
        <w:t>3.4 Bundled planning for transmission</w:t>
      </w:r>
    </w:p>
    <w:p w14:paraId="78051439" w14:textId="77777777" w:rsidR="00017A4A" w:rsidRDefault="00017A4A" w:rsidP="00017A4A">
      <w:pPr>
        <w:pStyle w:val="NormalWeb"/>
      </w:pPr>
      <w:r>
        <w:t xml:space="preserve">Generation, storage and transmission now function as one system. Approvals and delivery milestones should be </w:t>
      </w:r>
      <w:r>
        <w:rPr>
          <w:rStyle w:val="Strong"/>
          <w:rFonts w:eastAsiaTheme="majorEastAsia"/>
        </w:rPr>
        <w:t>bundled</w:t>
      </w:r>
      <w:r>
        <w:t xml:space="preserve"> so neither asset is stranded. With </w:t>
      </w:r>
      <w:proofErr w:type="spellStart"/>
      <w:r>
        <w:t>HumeLink</w:t>
      </w:r>
      <w:proofErr w:type="spellEnd"/>
      <w:r>
        <w:t xml:space="preserve"> approved and moving into construction, a single integrated </w:t>
      </w:r>
      <w:r>
        <w:rPr>
          <w:rStyle w:val="Strong"/>
          <w:rFonts w:eastAsiaTheme="majorEastAsia"/>
        </w:rPr>
        <w:t>energisation plan</w:t>
      </w:r>
      <w:r>
        <w:t xml:space="preserve"> with shared hold points will better protect Snowy 2.0’s early-year value (ABC News 2024, </w:t>
      </w:r>
      <w:proofErr w:type="spellStart"/>
      <w:r>
        <w:t>Transgrid</w:t>
      </w:r>
      <w:proofErr w:type="spellEnd"/>
      <w:r>
        <w:t xml:space="preserve"> 2024–25). (</w:t>
      </w:r>
      <w:hyperlink r:id="rId28" w:tooltip="$4.8b HumeLink transmission line approved to connect Snowy Hydro 2.0" w:history="1">
        <w:r>
          <w:rPr>
            <w:rStyle w:val="Hyperlink"/>
            <w:rFonts w:eastAsiaTheme="majorEastAsia"/>
          </w:rPr>
          <w:t>ABC</w:t>
        </w:r>
      </w:hyperlink>
      <w:r>
        <w:t>)</w:t>
      </w:r>
    </w:p>
    <w:p w14:paraId="75E5D7AC" w14:textId="77777777" w:rsidR="00017A4A" w:rsidRDefault="00017A4A" w:rsidP="00017A4A">
      <w:pPr>
        <w:pStyle w:val="Heading3"/>
      </w:pPr>
      <w:r>
        <w:t>Table 3. Good-practice crosswalk and application to Snowy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2472"/>
        <w:gridCol w:w="4789"/>
      </w:tblGrid>
      <w:tr w:rsidR="00017A4A" w14:paraId="769AD1FB" w14:textId="77777777">
        <w:trPr>
          <w:tblHeader/>
          <w:tblCellSpacing w:w="15" w:type="dxa"/>
        </w:trPr>
        <w:tc>
          <w:tcPr>
            <w:tcW w:w="0" w:type="auto"/>
            <w:vAlign w:val="center"/>
            <w:hideMark/>
          </w:tcPr>
          <w:p w14:paraId="0D8FE330" w14:textId="77777777" w:rsidR="00017A4A" w:rsidRDefault="00017A4A">
            <w:pPr>
              <w:jc w:val="center"/>
              <w:rPr>
                <w:b/>
                <w:bCs/>
              </w:rPr>
            </w:pPr>
            <w:r>
              <w:rPr>
                <w:b/>
                <w:bCs/>
              </w:rPr>
              <w:t>Theme</w:t>
            </w:r>
          </w:p>
        </w:tc>
        <w:tc>
          <w:tcPr>
            <w:tcW w:w="0" w:type="auto"/>
            <w:vAlign w:val="center"/>
            <w:hideMark/>
          </w:tcPr>
          <w:p w14:paraId="640B6C19" w14:textId="77777777" w:rsidR="00017A4A" w:rsidRDefault="00017A4A">
            <w:pPr>
              <w:jc w:val="center"/>
              <w:rPr>
                <w:b/>
                <w:bCs/>
              </w:rPr>
            </w:pPr>
            <w:r>
              <w:rPr>
                <w:b/>
                <w:bCs/>
              </w:rPr>
              <w:t>Typical elements</w:t>
            </w:r>
          </w:p>
        </w:tc>
        <w:tc>
          <w:tcPr>
            <w:tcW w:w="0" w:type="auto"/>
            <w:vAlign w:val="center"/>
            <w:hideMark/>
          </w:tcPr>
          <w:p w14:paraId="253ED5BF" w14:textId="77777777" w:rsidR="00017A4A" w:rsidRDefault="00017A4A">
            <w:pPr>
              <w:jc w:val="center"/>
              <w:rPr>
                <w:b/>
                <w:bCs/>
              </w:rPr>
            </w:pPr>
            <w:r>
              <w:rPr>
                <w:b/>
                <w:bCs/>
              </w:rPr>
              <w:t>Application to Snowy 2.0</w:t>
            </w:r>
          </w:p>
        </w:tc>
      </w:tr>
      <w:tr w:rsidR="00017A4A" w14:paraId="3DB14376" w14:textId="77777777">
        <w:trPr>
          <w:tblCellSpacing w:w="15" w:type="dxa"/>
        </w:trPr>
        <w:tc>
          <w:tcPr>
            <w:tcW w:w="0" w:type="auto"/>
            <w:vAlign w:val="center"/>
            <w:hideMark/>
          </w:tcPr>
          <w:p w14:paraId="2C7682F8" w14:textId="77777777" w:rsidR="00017A4A" w:rsidRDefault="00017A4A">
            <w:r>
              <w:t>Staged ground model</w:t>
            </w:r>
          </w:p>
        </w:tc>
        <w:tc>
          <w:tcPr>
            <w:tcW w:w="0" w:type="auto"/>
            <w:vAlign w:val="center"/>
            <w:hideMark/>
          </w:tcPr>
          <w:p w14:paraId="598B3670" w14:textId="77777777" w:rsidR="00017A4A" w:rsidRDefault="00017A4A">
            <w:r>
              <w:t>Probing, pilot drives, change thresholds</w:t>
            </w:r>
          </w:p>
        </w:tc>
        <w:tc>
          <w:tcPr>
            <w:tcW w:w="0" w:type="auto"/>
            <w:vAlign w:val="center"/>
            <w:hideMark/>
          </w:tcPr>
          <w:p w14:paraId="4CB4586E" w14:textId="77777777" w:rsidR="00017A4A" w:rsidRDefault="00017A4A">
            <w:r>
              <w:t>Expand probe regimes ahead of remaining hard-rock segments, trigger pre-treatment on measured thresholds</w:t>
            </w:r>
          </w:p>
        </w:tc>
      </w:tr>
      <w:tr w:rsidR="00017A4A" w14:paraId="19CE3524" w14:textId="77777777">
        <w:trPr>
          <w:tblCellSpacing w:w="15" w:type="dxa"/>
        </w:trPr>
        <w:tc>
          <w:tcPr>
            <w:tcW w:w="0" w:type="auto"/>
            <w:vAlign w:val="center"/>
            <w:hideMark/>
          </w:tcPr>
          <w:p w14:paraId="5475D4FE" w14:textId="77777777" w:rsidR="00017A4A" w:rsidRDefault="00017A4A">
            <w:r>
              <w:lastRenderedPageBreak/>
              <w:t>Collaborative contracting</w:t>
            </w:r>
          </w:p>
        </w:tc>
        <w:tc>
          <w:tcPr>
            <w:tcW w:w="0" w:type="auto"/>
            <w:vAlign w:val="center"/>
            <w:hideMark/>
          </w:tcPr>
          <w:p w14:paraId="4778E6EB" w14:textId="77777777" w:rsidR="00017A4A" w:rsidRDefault="00017A4A">
            <w:r>
              <w:t>Target cost, joint boards, shared risk registers</w:t>
            </w:r>
          </w:p>
        </w:tc>
        <w:tc>
          <w:tcPr>
            <w:tcW w:w="0" w:type="auto"/>
            <w:vAlign w:val="center"/>
            <w:hideMark/>
          </w:tcPr>
          <w:p w14:paraId="043FACA0" w14:textId="77777777" w:rsidR="00017A4A" w:rsidRDefault="00017A4A">
            <w:r>
              <w:t>Align incentives to P50 dates and safety metrics during cost reassessment</w:t>
            </w:r>
          </w:p>
        </w:tc>
      </w:tr>
      <w:tr w:rsidR="00017A4A" w14:paraId="1162CA41" w14:textId="77777777">
        <w:trPr>
          <w:tblCellSpacing w:w="15" w:type="dxa"/>
        </w:trPr>
        <w:tc>
          <w:tcPr>
            <w:tcW w:w="0" w:type="auto"/>
            <w:vAlign w:val="center"/>
            <w:hideMark/>
          </w:tcPr>
          <w:p w14:paraId="16D976B4" w14:textId="77777777" w:rsidR="00017A4A" w:rsidRDefault="00017A4A">
            <w:r>
              <w:t>Safety as plant</w:t>
            </w:r>
          </w:p>
        </w:tc>
        <w:tc>
          <w:tcPr>
            <w:tcW w:w="0" w:type="auto"/>
            <w:vAlign w:val="center"/>
            <w:hideMark/>
          </w:tcPr>
          <w:p w14:paraId="2FAB9BF4" w14:textId="77777777" w:rsidR="00017A4A" w:rsidRDefault="00017A4A">
            <w:r>
              <w:t>Early procurement, acceptance tests, drills</w:t>
            </w:r>
          </w:p>
        </w:tc>
        <w:tc>
          <w:tcPr>
            <w:tcW w:w="0" w:type="auto"/>
            <w:vAlign w:val="center"/>
            <w:hideMark/>
          </w:tcPr>
          <w:p w14:paraId="658A9AD5" w14:textId="77777777" w:rsidR="00017A4A" w:rsidRDefault="00017A4A">
            <w:r>
              <w:t>Add regulator sign-off gates before sustained drives</w:t>
            </w:r>
          </w:p>
        </w:tc>
      </w:tr>
      <w:tr w:rsidR="00017A4A" w14:paraId="60391B24" w14:textId="77777777">
        <w:trPr>
          <w:tblCellSpacing w:w="15" w:type="dxa"/>
        </w:trPr>
        <w:tc>
          <w:tcPr>
            <w:tcW w:w="0" w:type="auto"/>
            <w:vAlign w:val="center"/>
            <w:hideMark/>
          </w:tcPr>
          <w:p w14:paraId="15F5D02B" w14:textId="77777777" w:rsidR="00017A4A" w:rsidRDefault="00017A4A">
            <w:r>
              <w:t>Bundled transmission</w:t>
            </w:r>
          </w:p>
        </w:tc>
        <w:tc>
          <w:tcPr>
            <w:tcW w:w="0" w:type="auto"/>
            <w:vAlign w:val="center"/>
            <w:hideMark/>
          </w:tcPr>
          <w:p w14:paraId="123FD013" w14:textId="77777777" w:rsidR="00017A4A" w:rsidRDefault="00017A4A">
            <w:r>
              <w:t>Joint approvals and energisation plan</w:t>
            </w:r>
          </w:p>
        </w:tc>
        <w:tc>
          <w:tcPr>
            <w:tcW w:w="0" w:type="auto"/>
            <w:vAlign w:val="center"/>
            <w:hideMark/>
          </w:tcPr>
          <w:p w14:paraId="351E2333" w14:textId="77777777" w:rsidR="00017A4A" w:rsidRDefault="00017A4A">
            <w:r>
              <w:t>One integrated plan with shared hold points and test windows</w:t>
            </w:r>
          </w:p>
        </w:tc>
      </w:tr>
    </w:tbl>
    <w:p w14:paraId="020313F3" w14:textId="77777777" w:rsidR="00017A4A" w:rsidRDefault="00017A4A" w:rsidP="00017A4A">
      <w:pPr>
        <w:pStyle w:val="Heading2"/>
      </w:pPr>
      <w:r>
        <w:t>4. Emerging opportunities and future development</w:t>
      </w:r>
    </w:p>
    <w:p w14:paraId="4B210F78" w14:textId="77777777" w:rsidR="00017A4A" w:rsidRDefault="00017A4A" w:rsidP="00017A4A">
      <w:pPr>
        <w:pStyle w:val="Heading3"/>
      </w:pPr>
      <w:r>
        <w:t>4.1 Capability building</w:t>
      </w:r>
    </w:p>
    <w:p w14:paraId="4E5B3F4B" w14:textId="77777777" w:rsidR="00017A4A" w:rsidRDefault="00017A4A" w:rsidP="00017A4A">
      <w:pPr>
        <w:pStyle w:val="NormalWeb"/>
      </w:pPr>
      <w:r>
        <w:t xml:space="preserve">Snowy 2.0 is developing national capability in </w:t>
      </w:r>
      <w:r>
        <w:rPr>
          <w:rStyle w:val="Strong"/>
          <w:rFonts w:eastAsiaTheme="majorEastAsia"/>
        </w:rPr>
        <w:t>long-tunnel excavation</w:t>
      </w:r>
      <w:r>
        <w:t xml:space="preserve">, </w:t>
      </w:r>
      <w:r>
        <w:rPr>
          <w:rStyle w:val="Strong"/>
          <w:rFonts w:eastAsiaTheme="majorEastAsia"/>
        </w:rPr>
        <w:t>underground caverns</w:t>
      </w:r>
      <w:r>
        <w:t xml:space="preserve">, and </w:t>
      </w:r>
      <w:r>
        <w:rPr>
          <w:rStyle w:val="Strong"/>
          <w:rFonts w:eastAsiaTheme="majorEastAsia"/>
        </w:rPr>
        <w:t>500 kV transmission integration</w:t>
      </w:r>
      <w:r>
        <w:t>. The trained workforce and supply chain from this project will de-risk future long-duration storage, including mine-pit pumped hydro concepts with lower tunnelling exposure.</w:t>
      </w:r>
    </w:p>
    <w:p w14:paraId="1D9802C7" w14:textId="77777777" w:rsidR="00017A4A" w:rsidRDefault="00017A4A" w:rsidP="00017A4A">
      <w:pPr>
        <w:pStyle w:val="Heading3"/>
      </w:pPr>
      <w:r>
        <w:t>4.2 Method innovation</w:t>
      </w:r>
    </w:p>
    <w:p w14:paraId="6BAF60A9" w14:textId="77777777" w:rsidR="00017A4A" w:rsidRDefault="00017A4A" w:rsidP="00017A4A">
      <w:pPr>
        <w:pStyle w:val="NormalWeb"/>
      </w:pPr>
      <w:r>
        <w:t xml:space="preserve">For abrasive lithologies, consider </w:t>
      </w:r>
      <w:r>
        <w:rPr>
          <w:rStyle w:val="Strong"/>
          <w:rFonts w:eastAsiaTheme="majorEastAsia"/>
        </w:rPr>
        <w:t>hybrid excavation</w:t>
      </w:r>
      <w:r>
        <w:t xml:space="preserve"> strategies, periodic </w:t>
      </w:r>
      <w:r>
        <w:rPr>
          <w:rStyle w:val="Strong"/>
          <w:rFonts w:eastAsiaTheme="majorEastAsia"/>
        </w:rPr>
        <w:t>cutterhead changes</w:t>
      </w:r>
      <w:r>
        <w:t xml:space="preserve">, or short </w:t>
      </w:r>
      <w:r>
        <w:rPr>
          <w:rStyle w:val="Strong"/>
          <w:rFonts w:eastAsiaTheme="majorEastAsia"/>
        </w:rPr>
        <w:t>drill-and-blast</w:t>
      </w:r>
      <w:r>
        <w:t xml:space="preserve"> sections to bypass hazards. Trading nominal advance rate for lower stoppage probability can improve program certainty.</w:t>
      </w:r>
    </w:p>
    <w:p w14:paraId="421C2177" w14:textId="77777777" w:rsidR="00017A4A" w:rsidRDefault="00017A4A" w:rsidP="00017A4A">
      <w:pPr>
        <w:pStyle w:val="Heading3"/>
      </w:pPr>
      <w:r>
        <w:t>4.3 Integrated commissioning</w:t>
      </w:r>
    </w:p>
    <w:p w14:paraId="4C3CA5A0" w14:textId="77777777" w:rsidR="00017A4A" w:rsidRDefault="00017A4A" w:rsidP="00017A4A">
      <w:pPr>
        <w:pStyle w:val="NormalWeb"/>
      </w:pPr>
      <w:r>
        <w:t xml:space="preserve">Create a single commissioning plan across waterways, powerhouse, protection schemes and lines, with joint decision gates and outage windows. This aligns Snowy 2.0’s commissioning with </w:t>
      </w:r>
      <w:proofErr w:type="spellStart"/>
      <w:r>
        <w:t>HumeLink</w:t>
      </w:r>
      <w:proofErr w:type="spellEnd"/>
      <w:r>
        <w:t xml:space="preserve"> energisation, which reduces stranded-capacity risk (</w:t>
      </w:r>
      <w:proofErr w:type="spellStart"/>
      <w:r>
        <w:t>Transgrid</w:t>
      </w:r>
      <w:proofErr w:type="spellEnd"/>
      <w:r>
        <w:t xml:space="preserve"> 2024–25). (</w:t>
      </w:r>
      <w:proofErr w:type="spellStart"/>
      <w:r>
        <w:fldChar w:fldCharType="begin"/>
      </w:r>
      <w:r>
        <w:instrText>HYPERLINK "https://www.transgrid.com.au/media-publications/news-articles/humelink-approval-unlocks-more-than-1-billion-in-benefits-for-consumers/?utm_source=chatgpt.com" \o "HumeLink approval unlocks more than $1 billion in benefits for ..."</w:instrText>
      </w:r>
      <w:r>
        <w:fldChar w:fldCharType="separate"/>
      </w:r>
      <w:r>
        <w:rPr>
          <w:rStyle w:val="Hyperlink"/>
          <w:rFonts w:eastAsiaTheme="majorEastAsia"/>
        </w:rPr>
        <w:t>Transgrid</w:t>
      </w:r>
      <w:proofErr w:type="spellEnd"/>
      <w:r>
        <w:fldChar w:fldCharType="end"/>
      </w:r>
      <w:r>
        <w:t>)</w:t>
      </w:r>
    </w:p>
    <w:p w14:paraId="4DAACB55" w14:textId="77777777" w:rsidR="00017A4A" w:rsidRDefault="00017A4A" w:rsidP="00017A4A">
      <w:pPr>
        <w:pStyle w:val="Heading3"/>
      </w:pPr>
      <w:r>
        <w:t>4.4 Social licence and approvals</w:t>
      </w:r>
    </w:p>
    <w:p w14:paraId="2C475E69" w14:textId="77777777" w:rsidR="00017A4A" w:rsidRDefault="00017A4A" w:rsidP="00017A4A">
      <w:pPr>
        <w:pStyle w:val="NormalWeb"/>
      </w:pPr>
      <w:r>
        <w:t xml:space="preserve">Bundle engagement across storage and transmission, keep multiple layout options permitted within one approvals envelope where possible, and publish concise monthly dashboards with </w:t>
      </w:r>
      <w:r>
        <w:rPr>
          <w:rStyle w:val="Strong"/>
          <w:rFonts w:eastAsiaTheme="majorEastAsia"/>
        </w:rPr>
        <w:t>date ranges</w:t>
      </w:r>
      <w:r>
        <w:t xml:space="preserve"> and </w:t>
      </w:r>
      <w:r>
        <w:rPr>
          <w:rStyle w:val="Strong"/>
          <w:rFonts w:eastAsiaTheme="majorEastAsia"/>
        </w:rPr>
        <w:t>uncertainty bands</w:t>
      </w:r>
      <w:r>
        <w:t xml:space="preserve"> during reassessment to maintain trust.</w:t>
      </w:r>
    </w:p>
    <w:p w14:paraId="484FADA9" w14:textId="77777777" w:rsidR="00017A4A" w:rsidRDefault="00017A4A" w:rsidP="00017A4A">
      <w:pPr>
        <w:pStyle w:val="Heading2"/>
      </w:pPr>
      <w:r>
        <w:t>5. Implementation roadmap</w:t>
      </w:r>
    </w:p>
    <w:p w14:paraId="33C5FFB7" w14:textId="77777777" w:rsidR="00017A4A" w:rsidRDefault="00017A4A" w:rsidP="00017A4A">
      <w:pPr>
        <w:pStyle w:val="Heading3"/>
      </w:pPr>
      <w:r>
        <w:t>5.1 Prioritised actions for the next 90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3262"/>
        <w:gridCol w:w="1830"/>
        <w:gridCol w:w="3134"/>
      </w:tblGrid>
      <w:tr w:rsidR="00017A4A" w14:paraId="164B0DB2" w14:textId="77777777">
        <w:trPr>
          <w:tblHeader/>
          <w:tblCellSpacing w:w="15" w:type="dxa"/>
        </w:trPr>
        <w:tc>
          <w:tcPr>
            <w:tcW w:w="0" w:type="auto"/>
            <w:vAlign w:val="center"/>
            <w:hideMark/>
          </w:tcPr>
          <w:p w14:paraId="4DEFE8B8" w14:textId="77777777" w:rsidR="00017A4A" w:rsidRDefault="00017A4A">
            <w:pPr>
              <w:jc w:val="center"/>
              <w:rPr>
                <w:b/>
                <w:bCs/>
              </w:rPr>
            </w:pPr>
            <w:r>
              <w:rPr>
                <w:b/>
                <w:bCs/>
              </w:rPr>
              <w:t>Priority</w:t>
            </w:r>
          </w:p>
        </w:tc>
        <w:tc>
          <w:tcPr>
            <w:tcW w:w="0" w:type="auto"/>
            <w:vAlign w:val="center"/>
            <w:hideMark/>
          </w:tcPr>
          <w:p w14:paraId="07BFC180" w14:textId="77777777" w:rsidR="00017A4A" w:rsidRDefault="00017A4A">
            <w:pPr>
              <w:jc w:val="center"/>
              <w:rPr>
                <w:b/>
                <w:bCs/>
              </w:rPr>
            </w:pPr>
            <w:r>
              <w:rPr>
                <w:b/>
                <w:bCs/>
              </w:rPr>
              <w:t>Action</w:t>
            </w:r>
          </w:p>
        </w:tc>
        <w:tc>
          <w:tcPr>
            <w:tcW w:w="0" w:type="auto"/>
            <w:vAlign w:val="center"/>
            <w:hideMark/>
          </w:tcPr>
          <w:p w14:paraId="626EF921" w14:textId="77777777" w:rsidR="00017A4A" w:rsidRDefault="00017A4A">
            <w:pPr>
              <w:jc w:val="center"/>
              <w:rPr>
                <w:b/>
                <w:bCs/>
              </w:rPr>
            </w:pPr>
            <w:r>
              <w:rPr>
                <w:b/>
                <w:bCs/>
              </w:rPr>
              <w:t>Accountable</w:t>
            </w:r>
          </w:p>
        </w:tc>
        <w:tc>
          <w:tcPr>
            <w:tcW w:w="0" w:type="auto"/>
            <w:vAlign w:val="center"/>
            <w:hideMark/>
          </w:tcPr>
          <w:p w14:paraId="56585894" w14:textId="77777777" w:rsidR="00017A4A" w:rsidRDefault="00017A4A">
            <w:pPr>
              <w:jc w:val="center"/>
              <w:rPr>
                <w:b/>
                <w:bCs/>
              </w:rPr>
            </w:pPr>
            <w:r>
              <w:rPr>
                <w:b/>
                <w:bCs/>
              </w:rPr>
              <w:t>Outcome and measure</w:t>
            </w:r>
          </w:p>
        </w:tc>
      </w:tr>
      <w:tr w:rsidR="00017A4A" w14:paraId="55F38DE9" w14:textId="77777777">
        <w:trPr>
          <w:tblCellSpacing w:w="15" w:type="dxa"/>
        </w:trPr>
        <w:tc>
          <w:tcPr>
            <w:tcW w:w="0" w:type="auto"/>
            <w:vAlign w:val="center"/>
            <w:hideMark/>
          </w:tcPr>
          <w:p w14:paraId="585916AA" w14:textId="77777777" w:rsidR="00017A4A" w:rsidRDefault="00017A4A">
            <w:r>
              <w:t>1</w:t>
            </w:r>
          </w:p>
        </w:tc>
        <w:tc>
          <w:tcPr>
            <w:tcW w:w="0" w:type="auto"/>
            <w:vAlign w:val="center"/>
            <w:hideMark/>
          </w:tcPr>
          <w:p w14:paraId="6CC77004" w14:textId="77777777" w:rsidR="00017A4A" w:rsidRDefault="00017A4A">
            <w:r>
              <w:t>Expand probe drilling ahead of high-risk segments, set pre-grouting triggers</w:t>
            </w:r>
          </w:p>
        </w:tc>
        <w:tc>
          <w:tcPr>
            <w:tcW w:w="0" w:type="auto"/>
            <w:vAlign w:val="center"/>
            <w:hideMark/>
          </w:tcPr>
          <w:p w14:paraId="3A2137C0" w14:textId="77777777" w:rsidR="00017A4A" w:rsidRDefault="00017A4A">
            <w:r>
              <w:t>Ground-risk board and JV</w:t>
            </w:r>
          </w:p>
        </w:tc>
        <w:tc>
          <w:tcPr>
            <w:tcW w:w="0" w:type="auto"/>
            <w:vAlign w:val="center"/>
            <w:hideMark/>
          </w:tcPr>
          <w:p w14:paraId="2764829D" w14:textId="77777777" w:rsidR="00017A4A" w:rsidRDefault="00017A4A">
            <w:r>
              <w:t>Fewer unplanned stoppages, weekly reporting</w:t>
            </w:r>
          </w:p>
        </w:tc>
      </w:tr>
      <w:tr w:rsidR="00017A4A" w14:paraId="0CC39F92" w14:textId="77777777">
        <w:trPr>
          <w:tblCellSpacing w:w="15" w:type="dxa"/>
        </w:trPr>
        <w:tc>
          <w:tcPr>
            <w:tcW w:w="0" w:type="auto"/>
            <w:vAlign w:val="center"/>
            <w:hideMark/>
          </w:tcPr>
          <w:p w14:paraId="7B980B6B" w14:textId="77777777" w:rsidR="00017A4A" w:rsidRDefault="00017A4A">
            <w:r>
              <w:lastRenderedPageBreak/>
              <w:t>2</w:t>
            </w:r>
          </w:p>
        </w:tc>
        <w:tc>
          <w:tcPr>
            <w:tcW w:w="0" w:type="auto"/>
            <w:vAlign w:val="center"/>
            <w:hideMark/>
          </w:tcPr>
          <w:p w14:paraId="12FAF7AB" w14:textId="77777777" w:rsidR="00017A4A" w:rsidRDefault="00017A4A">
            <w:r>
              <w:t>Safety-plant sprint for ventilation and refuge systems, run drills before ramp-up</w:t>
            </w:r>
          </w:p>
        </w:tc>
        <w:tc>
          <w:tcPr>
            <w:tcW w:w="0" w:type="auto"/>
            <w:vAlign w:val="center"/>
            <w:hideMark/>
          </w:tcPr>
          <w:p w14:paraId="40FC0EE6" w14:textId="77777777" w:rsidR="00017A4A" w:rsidRDefault="00017A4A">
            <w:r>
              <w:t>JV with SafeWork NSW oversight</w:t>
            </w:r>
          </w:p>
        </w:tc>
        <w:tc>
          <w:tcPr>
            <w:tcW w:w="0" w:type="auto"/>
            <w:vAlign w:val="center"/>
            <w:hideMark/>
          </w:tcPr>
          <w:p w14:paraId="20D454BD" w14:textId="77777777" w:rsidR="00017A4A" w:rsidRDefault="00017A4A">
            <w:r>
              <w:t>Restart confidence, prohibition risk reduced (ABC News 2025) (</w:t>
            </w:r>
            <w:hyperlink r:id="rId29" w:tooltip="Snowy 2.0 project safety review underway after ventilation fan implodes ..." w:history="1">
              <w:r>
                <w:rPr>
                  <w:rStyle w:val="Hyperlink"/>
                </w:rPr>
                <w:t>ABC</w:t>
              </w:r>
            </w:hyperlink>
            <w:r>
              <w:t>)</w:t>
            </w:r>
          </w:p>
        </w:tc>
      </w:tr>
      <w:tr w:rsidR="00017A4A" w14:paraId="70DD4AA5" w14:textId="77777777">
        <w:trPr>
          <w:tblCellSpacing w:w="15" w:type="dxa"/>
        </w:trPr>
        <w:tc>
          <w:tcPr>
            <w:tcW w:w="0" w:type="auto"/>
            <w:vAlign w:val="center"/>
            <w:hideMark/>
          </w:tcPr>
          <w:p w14:paraId="47CD4D66" w14:textId="77777777" w:rsidR="00017A4A" w:rsidRDefault="00017A4A">
            <w:r>
              <w:t>3</w:t>
            </w:r>
          </w:p>
        </w:tc>
        <w:tc>
          <w:tcPr>
            <w:tcW w:w="0" w:type="auto"/>
            <w:vAlign w:val="center"/>
            <w:hideMark/>
          </w:tcPr>
          <w:p w14:paraId="2A1F2616" w14:textId="77777777" w:rsidR="00017A4A" w:rsidRDefault="00017A4A">
            <w:r>
              <w:t xml:space="preserve">Integrated energisation plan with </w:t>
            </w:r>
            <w:proofErr w:type="spellStart"/>
            <w:r>
              <w:t>HumeLink</w:t>
            </w:r>
            <w:proofErr w:type="spellEnd"/>
            <w:r>
              <w:t xml:space="preserve"> and the Snowy 2.0 connection</w:t>
            </w:r>
          </w:p>
        </w:tc>
        <w:tc>
          <w:tcPr>
            <w:tcW w:w="0" w:type="auto"/>
            <w:vAlign w:val="center"/>
            <w:hideMark/>
          </w:tcPr>
          <w:p w14:paraId="0804E047" w14:textId="77777777" w:rsidR="00017A4A" w:rsidRDefault="00017A4A">
            <w:r>
              <w:t xml:space="preserve">Proponent and </w:t>
            </w:r>
            <w:proofErr w:type="spellStart"/>
            <w:r>
              <w:t>Transgrid</w:t>
            </w:r>
            <w:proofErr w:type="spellEnd"/>
          </w:p>
        </w:tc>
        <w:tc>
          <w:tcPr>
            <w:tcW w:w="0" w:type="auto"/>
            <w:vAlign w:val="center"/>
            <w:hideMark/>
          </w:tcPr>
          <w:p w14:paraId="3E1CC5CE" w14:textId="77777777" w:rsidR="00017A4A" w:rsidRDefault="00017A4A">
            <w:r>
              <w:t>Aligned test windows, no stranded capacity at COD (</w:t>
            </w:r>
            <w:proofErr w:type="spellStart"/>
            <w:r>
              <w:t>Transgrid</w:t>
            </w:r>
            <w:proofErr w:type="spellEnd"/>
            <w:r>
              <w:t xml:space="preserve"> 2024–25) (</w:t>
            </w:r>
            <w:proofErr w:type="spellStart"/>
            <w:r>
              <w:fldChar w:fldCharType="begin"/>
            </w:r>
            <w:r>
              <w:instrText>HYPERLINK "https://www.transgrid.com.au/media-publications/news-articles/humelink-approval-unlocks-more-than-1-billion-in-benefits-for-consumers/?utm_source=chatgpt.com" \o "HumeLink approval unlocks more than $1 billion in benefits for ..."</w:instrText>
            </w:r>
            <w:r>
              <w:fldChar w:fldCharType="separate"/>
            </w:r>
            <w:r>
              <w:rPr>
                <w:rStyle w:val="Hyperlink"/>
              </w:rPr>
              <w:t>Transgrid</w:t>
            </w:r>
            <w:proofErr w:type="spellEnd"/>
            <w:r>
              <w:fldChar w:fldCharType="end"/>
            </w:r>
            <w:r>
              <w:t>)</w:t>
            </w:r>
          </w:p>
        </w:tc>
      </w:tr>
      <w:tr w:rsidR="00017A4A" w14:paraId="7BAE5630" w14:textId="77777777">
        <w:trPr>
          <w:tblCellSpacing w:w="15" w:type="dxa"/>
        </w:trPr>
        <w:tc>
          <w:tcPr>
            <w:tcW w:w="0" w:type="auto"/>
            <w:vAlign w:val="center"/>
            <w:hideMark/>
          </w:tcPr>
          <w:p w14:paraId="7485A1D6" w14:textId="77777777" w:rsidR="00017A4A" w:rsidRDefault="00017A4A">
            <w:r>
              <w:t>4</w:t>
            </w:r>
          </w:p>
        </w:tc>
        <w:tc>
          <w:tcPr>
            <w:tcW w:w="0" w:type="auto"/>
            <w:vAlign w:val="center"/>
            <w:hideMark/>
          </w:tcPr>
          <w:p w14:paraId="459E7F5C" w14:textId="77777777" w:rsidR="00017A4A" w:rsidRDefault="00017A4A">
            <w:r>
              <w:t>Commercial transparency in reassessment, align incentives to schedule and safety</w:t>
            </w:r>
          </w:p>
        </w:tc>
        <w:tc>
          <w:tcPr>
            <w:tcW w:w="0" w:type="auto"/>
            <w:vAlign w:val="center"/>
            <w:hideMark/>
          </w:tcPr>
          <w:p w14:paraId="6C88C68F" w14:textId="77777777" w:rsidR="00017A4A" w:rsidRDefault="00017A4A">
            <w:r>
              <w:t>Proponent and JV</w:t>
            </w:r>
          </w:p>
        </w:tc>
        <w:tc>
          <w:tcPr>
            <w:tcW w:w="0" w:type="auto"/>
            <w:vAlign w:val="center"/>
            <w:hideMark/>
          </w:tcPr>
          <w:p w14:paraId="5636497E" w14:textId="77777777" w:rsidR="00017A4A" w:rsidRDefault="00017A4A">
            <w:r>
              <w:t>Lower claim friction, clearer priorities (Snowy Hydro 2023) (</w:t>
            </w:r>
            <w:hyperlink r:id="rId30" w:tooltip="SECURING THE FUTURE OF CRITICAL ENERGY TRANSFORMATION PROJECTS - Snowy ..." w:history="1">
              <w:r>
                <w:rPr>
                  <w:rStyle w:val="Hyperlink"/>
                </w:rPr>
                <w:t>Snowy Hydro</w:t>
              </w:r>
            </w:hyperlink>
            <w:r>
              <w:t>)</w:t>
            </w:r>
          </w:p>
        </w:tc>
      </w:tr>
      <w:tr w:rsidR="00017A4A" w14:paraId="1680B78F" w14:textId="77777777">
        <w:trPr>
          <w:tblCellSpacing w:w="15" w:type="dxa"/>
        </w:trPr>
        <w:tc>
          <w:tcPr>
            <w:tcW w:w="0" w:type="auto"/>
            <w:vAlign w:val="center"/>
            <w:hideMark/>
          </w:tcPr>
          <w:p w14:paraId="6A2D7375" w14:textId="77777777" w:rsidR="00017A4A" w:rsidRDefault="00017A4A">
            <w:r>
              <w:t>5</w:t>
            </w:r>
          </w:p>
        </w:tc>
        <w:tc>
          <w:tcPr>
            <w:tcW w:w="0" w:type="auto"/>
            <w:vAlign w:val="center"/>
            <w:hideMark/>
          </w:tcPr>
          <w:p w14:paraId="6CB351CD" w14:textId="77777777" w:rsidR="00017A4A" w:rsidRDefault="00017A4A">
            <w:r>
              <w:t>Public dashboards with date ranges and uncertainty bands</w:t>
            </w:r>
          </w:p>
        </w:tc>
        <w:tc>
          <w:tcPr>
            <w:tcW w:w="0" w:type="auto"/>
            <w:vAlign w:val="center"/>
            <w:hideMark/>
          </w:tcPr>
          <w:p w14:paraId="365620CE" w14:textId="77777777" w:rsidR="00017A4A" w:rsidRDefault="00017A4A">
            <w:r>
              <w:t>Proponent</w:t>
            </w:r>
          </w:p>
        </w:tc>
        <w:tc>
          <w:tcPr>
            <w:tcW w:w="0" w:type="auto"/>
            <w:vAlign w:val="center"/>
            <w:hideMark/>
          </w:tcPr>
          <w:p w14:paraId="21355814" w14:textId="77777777" w:rsidR="00017A4A" w:rsidRDefault="00017A4A">
            <w:r>
              <w:t>Credibility with stakeholders and workforce</w:t>
            </w:r>
          </w:p>
        </w:tc>
      </w:tr>
    </w:tbl>
    <w:p w14:paraId="630E9694" w14:textId="77777777" w:rsidR="00017A4A" w:rsidRDefault="00017A4A" w:rsidP="00017A4A">
      <w:pPr>
        <w:pStyle w:val="Heading3"/>
      </w:pPr>
      <w:r>
        <w:t>5.2 Monitoring and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2761"/>
        <w:gridCol w:w="2107"/>
        <w:gridCol w:w="2525"/>
      </w:tblGrid>
      <w:tr w:rsidR="00017A4A" w14:paraId="3CB06F37" w14:textId="77777777">
        <w:trPr>
          <w:tblHeader/>
          <w:tblCellSpacing w:w="15" w:type="dxa"/>
        </w:trPr>
        <w:tc>
          <w:tcPr>
            <w:tcW w:w="0" w:type="auto"/>
            <w:vAlign w:val="center"/>
            <w:hideMark/>
          </w:tcPr>
          <w:p w14:paraId="41B39D5B" w14:textId="77777777" w:rsidR="00017A4A" w:rsidRDefault="00017A4A">
            <w:pPr>
              <w:jc w:val="center"/>
              <w:rPr>
                <w:b/>
                <w:bCs/>
              </w:rPr>
            </w:pPr>
            <w:r>
              <w:rPr>
                <w:b/>
                <w:bCs/>
              </w:rPr>
              <w:t>Area</w:t>
            </w:r>
          </w:p>
        </w:tc>
        <w:tc>
          <w:tcPr>
            <w:tcW w:w="0" w:type="auto"/>
            <w:vAlign w:val="center"/>
            <w:hideMark/>
          </w:tcPr>
          <w:p w14:paraId="22A893FC" w14:textId="77777777" w:rsidR="00017A4A" w:rsidRDefault="00017A4A">
            <w:pPr>
              <w:jc w:val="center"/>
              <w:rPr>
                <w:b/>
                <w:bCs/>
              </w:rPr>
            </w:pPr>
            <w:r>
              <w:rPr>
                <w:b/>
                <w:bCs/>
              </w:rPr>
              <w:t>KPI</w:t>
            </w:r>
          </w:p>
        </w:tc>
        <w:tc>
          <w:tcPr>
            <w:tcW w:w="0" w:type="auto"/>
            <w:vAlign w:val="center"/>
            <w:hideMark/>
          </w:tcPr>
          <w:p w14:paraId="384201EA" w14:textId="77777777" w:rsidR="00017A4A" w:rsidRDefault="00017A4A">
            <w:pPr>
              <w:jc w:val="center"/>
              <w:rPr>
                <w:b/>
                <w:bCs/>
              </w:rPr>
            </w:pPr>
            <w:r>
              <w:rPr>
                <w:b/>
                <w:bCs/>
              </w:rPr>
              <w:t>Target</w:t>
            </w:r>
          </w:p>
        </w:tc>
        <w:tc>
          <w:tcPr>
            <w:tcW w:w="0" w:type="auto"/>
            <w:vAlign w:val="center"/>
            <w:hideMark/>
          </w:tcPr>
          <w:p w14:paraId="57503FE7" w14:textId="77777777" w:rsidR="00017A4A" w:rsidRDefault="00017A4A">
            <w:pPr>
              <w:jc w:val="center"/>
              <w:rPr>
                <w:b/>
                <w:bCs/>
              </w:rPr>
            </w:pPr>
            <w:r>
              <w:rPr>
                <w:b/>
                <w:bCs/>
              </w:rPr>
              <w:t>Notes</w:t>
            </w:r>
          </w:p>
        </w:tc>
      </w:tr>
      <w:tr w:rsidR="00017A4A" w14:paraId="362FCC11" w14:textId="77777777">
        <w:trPr>
          <w:tblCellSpacing w:w="15" w:type="dxa"/>
        </w:trPr>
        <w:tc>
          <w:tcPr>
            <w:tcW w:w="0" w:type="auto"/>
            <w:vAlign w:val="center"/>
            <w:hideMark/>
          </w:tcPr>
          <w:p w14:paraId="57A752D7" w14:textId="77777777" w:rsidR="00017A4A" w:rsidRDefault="00017A4A">
            <w:r>
              <w:t>Ground risk</w:t>
            </w:r>
          </w:p>
        </w:tc>
        <w:tc>
          <w:tcPr>
            <w:tcW w:w="0" w:type="auto"/>
            <w:vAlign w:val="center"/>
            <w:hideMark/>
          </w:tcPr>
          <w:p w14:paraId="4921F558" w14:textId="77777777" w:rsidR="00017A4A" w:rsidRDefault="00017A4A">
            <w:r>
              <w:t>Unplanned stop events per 100 m</w:t>
            </w:r>
          </w:p>
        </w:tc>
        <w:tc>
          <w:tcPr>
            <w:tcW w:w="0" w:type="auto"/>
            <w:vAlign w:val="center"/>
            <w:hideMark/>
          </w:tcPr>
          <w:p w14:paraId="36CE18BF" w14:textId="77777777" w:rsidR="00017A4A" w:rsidRDefault="00017A4A">
            <w:r>
              <w:t>Down by 50 percent in 90 days</w:t>
            </w:r>
          </w:p>
        </w:tc>
        <w:tc>
          <w:tcPr>
            <w:tcW w:w="0" w:type="auto"/>
            <w:vAlign w:val="center"/>
            <w:hideMark/>
          </w:tcPr>
          <w:p w14:paraId="1B9820D2" w14:textId="77777777" w:rsidR="00017A4A" w:rsidRDefault="00017A4A">
            <w:r>
              <w:t>Driven by probing and pre-treatment</w:t>
            </w:r>
          </w:p>
        </w:tc>
      </w:tr>
      <w:tr w:rsidR="00017A4A" w14:paraId="0610952A" w14:textId="77777777">
        <w:trPr>
          <w:tblCellSpacing w:w="15" w:type="dxa"/>
        </w:trPr>
        <w:tc>
          <w:tcPr>
            <w:tcW w:w="0" w:type="auto"/>
            <w:vAlign w:val="center"/>
            <w:hideMark/>
          </w:tcPr>
          <w:p w14:paraId="62B46F5B" w14:textId="77777777" w:rsidR="00017A4A" w:rsidRDefault="00017A4A">
            <w:r>
              <w:t>Safety</w:t>
            </w:r>
          </w:p>
        </w:tc>
        <w:tc>
          <w:tcPr>
            <w:tcW w:w="0" w:type="auto"/>
            <w:vAlign w:val="center"/>
            <w:hideMark/>
          </w:tcPr>
          <w:p w14:paraId="3F20E554" w14:textId="77777777" w:rsidR="00017A4A" w:rsidRDefault="00017A4A">
            <w:r>
              <w:t>Fan MTBF, refuge readiness, drill cadence</w:t>
            </w:r>
          </w:p>
        </w:tc>
        <w:tc>
          <w:tcPr>
            <w:tcW w:w="0" w:type="auto"/>
            <w:vAlign w:val="center"/>
            <w:hideMark/>
          </w:tcPr>
          <w:p w14:paraId="6C0A973D" w14:textId="77777777" w:rsidR="00017A4A" w:rsidRDefault="00017A4A">
            <w:r>
              <w:t>All green before ramp-up</w:t>
            </w:r>
          </w:p>
        </w:tc>
        <w:tc>
          <w:tcPr>
            <w:tcW w:w="0" w:type="auto"/>
            <w:vAlign w:val="center"/>
            <w:hideMark/>
          </w:tcPr>
          <w:p w14:paraId="6D58E330" w14:textId="77777777" w:rsidR="00017A4A" w:rsidRDefault="00017A4A">
            <w:r>
              <w:t>Treat as plant acceptance</w:t>
            </w:r>
          </w:p>
        </w:tc>
      </w:tr>
      <w:tr w:rsidR="00017A4A" w14:paraId="78E04865" w14:textId="77777777">
        <w:trPr>
          <w:tblCellSpacing w:w="15" w:type="dxa"/>
        </w:trPr>
        <w:tc>
          <w:tcPr>
            <w:tcW w:w="0" w:type="auto"/>
            <w:vAlign w:val="center"/>
            <w:hideMark/>
          </w:tcPr>
          <w:p w14:paraId="45370EF3" w14:textId="77777777" w:rsidR="00017A4A" w:rsidRDefault="00017A4A">
            <w:r>
              <w:t>Transmission</w:t>
            </w:r>
          </w:p>
        </w:tc>
        <w:tc>
          <w:tcPr>
            <w:tcW w:w="0" w:type="auto"/>
            <w:vAlign w:val="center"/>
            <w:hideMark/>
          </w:tcPr>
          <w:p w14:paraId="6C455DEF" w14:textId="77777777" w:rsidR="00017A4A" w:rsidRDefault="00017A4A">
            <w:r>
              <w:t>Shared hold points met</w:t>
            </w:r>
          </w:p>
        </w:tc>
        <w:tc>
          <w:tcPr>
            <w:tcW w:w="0" w:type="auto"/>
            <w:vAlign w:val="center"/>
            <w:hideMark/>
          </w:tcPr>
          <w:p w14:paraId="3C319BFA" w14:textId="77777777" w:rsidR="00017A4A" w:rsidRDefault="00017A4A">
            <w:r>
              <w:t>100 percent for next quarter</w:t>
            </w:r>
          </w:p>
        </w:tc>
        <w:tc>
          <w:tcPr>
            <w:tcW w:w="0" w:type="auto"/>
            <w:vAlign w:val="center"/>
            <w:hideMark/>
          </w:tcPr>
          <w:p w14:paraId="56398CED" w14:textId="77777777" w:rsidR="00017A4A" w:rsidRDefault="00017A4A">
            <w:r>
              <w:t>Joint calendar and governance</w:t>
            </w:r>
          </w:p>
        </w:tc>
      </w:tr>
      <w:tr w:rsidR="00017A4A" w14:paraId="59029956" w14:textId="77777777">
        <w:trPr>
          <w:tblCellSpacing w:w="15" w:type="dxa"/>
        </w:trPr>
        <w:tc>
          <w:tcPr>
            <w:tcW w:w="0" w:type="auto"/>
            <w:vAlign w:val="center"/>
            <w:hideMark/>
          </w:tcPr>
          <w:p w14:paraId="4F4644E6" w14:textId="77777777" w:rsidR="00017A4A" w:rsidRDefault="00017A4A">
            <w:r>
              <w:t>Cost and schedule</w:t>
            </w:r>
          </w:p>
        </w:tc>
        <w:tc>
          <w:tcPr>
            <w:tcW w:w="0" w:type="auto"/>
            <w:vAlign w:val="center"/>
            <w:hideMark/>
          </w:tcPr>
          <w:p w14:paraId="55CE0F49" w14:textId="77777777" w:rsidR="00017A4A" w:rsidRDefault="00017A4A">
            <w:r>
              <w:t>P50 date range width</w:t>
            </w:r>
          </w:p>
        </w:tc>
        <w:tc>
          <w:tcPr>
            <w:tcW w:w="0" w:type="auto"/>
            <w:vAlign w:val="center"/>
            <w:hideMark/>
          </w:tcPr>
          <w:p w14:paraId="5D2D344A" w14:textId="77777777" w:rsidR="00017A4A" w:rsidRDefault="00017A4A">
            <w:r>
              <w:t>Narrowed month on month</w:t>
            </w:r>
          </w:p>
        </w:tc>
        <w:tc>
          <w:tcPr>
            <w:tcW w:w="0" w:type="auto"/>
            <w:vAlign w:val="center"/>
            <w:hideMark/>
          </w:tcPr>
          <w:p w14:paraId="2A3BF3BE" w14:textId="77777777" w:rsidR="00017A4A" w:rsidRDefault="00017A4A">
            <w:r>
              <w:t>Reflects stabilised throughput</w:t>
            </w:r>
          </w:p>
        </w:tc>
      </w:tr>
    </w:tbl>
    <w:p w14:paraId="2F3AF502" w14:textId="77777777" w:rsidR="00FE0879" w:rsidRDefault="00FE0879" w:rsidP="00017A4A">
      <w:pPr>
        <w:pStyle w:val="Heading2"/>
      </w:pPr>
    </w:p>
    <w:p w14:paraId="498AB96B" w14:textId="77777777" w:rsidR="00FE0879" w:rsidRDefault="00FE0879">
      <w:pPr>
        <w:rPr>
          <w:rFonts w:asciiTheme="majorHAnsi" w:eastAsiaTheme="majorEastAsia" w:hAnsiTheme="majorHAnsi" w:cstheme="majorBidi"/>
          <w:color w:val="0F4761" w:themeColor="accent1" w:themeShade="BF"/>
          <w:sz w:val="32"/>
          <w:szCs w:val="32"/>
        </w:rPr>
      </w:pPr>
      <w:r>
        <w:br w:type="page"/>
      </w:r>
    </w:p>
    <w:p w14:paraId="5D15CDA5" w14:textId="03D6265F" w:rsidR="00017A4A" w:rsidRDefault="00017A4A" w:rsidP="00017A4A">
      <w:pPr>
        <w:pStyle w:val="Heading2"/>
      </w:pPr>
      <w:r>
        <w:lastRenderedPageBreak/>
        <w:t>References</w:t>
      </w:r>
    </w:p>
    <w:p w14:paraId="287F25F5" w14:textId="77777777" w:rsidR="00017A4A" w:rsidRDefault="00017A4A" w:rsidP="00017A4A">
      <w:pPr>
        <w:pStyle w:val="NormalWeb"/>
      </w:pPr>
      <w:r>
        <w:t>ABC News 2024, ‘Tunnel boring machine wedged in hard rock, leaving Snowy 2.0 hydropower project stalled’, viewed 22 May 2024. (</w:t>
      </w:r>
      <w:hyperlink r:id="rId31" w:tooltip="Tunnel boring machine wedged in hard rock, leaving Snowy 2.0 hydropower ..." w:history="1">
        <w:r>
          <w:rPr>
            <w:rStyle w:val="Hyperlink"/>
            <w:rFonts w:eastAsiaTheme="majorEastAsia"/>
          </w:rPr>
          <w:t>ABC</w:t>
        </w:r>
      </w:hyperlink>
      <w:r>
        <w:t>)</w:t>
      </w:r>
      <w:r>
        <w:br/>
        <w:t xml:space="preserve">ABC News 2024, ‘$4.8b </w:t>
      </w:r>
      <w:proofErr w:type="spellStart"/>
      <w:r>
        <w:t>HumeLink</w:t>
      </w:r>
      <w:proofErr w:type="spellEnd"/>
      <w:r>
        <w:t xml:space="preserve"> transmission line approved to connect Snowy Hydro 2.0’, viewed 19 Dec 2024. (</w:t>
      </w:r>
      <w:hyperlink r:id="rId32" w:tooltip="$4.8b HumeLink transmission line approved to connect Snowy Hydro 2.0" w:history="1">
        <w:r>
          <w:rPr>
            <w:rStyle w:val="Hyperlink"/>
            <w:rFonts w:eastAsiaTheme="majorEastAsia"/>
          </w:rPr>
          <w:t>ABC</w:t>
        </w:r>
      </w:hyperlink>
      <w:r>
        <w:t>)</w:t>
      </w:r>
      <w:r>
        <w:br/>
        <w:t>ABC News 2025, ‘Snowy 2.0 project safety review underway after ventilation fan implodes, six prohibition notices issued’, viewed 27 Feb 2025. (</w:t>
      </w:r>
      <w:hyperlink r:id="rId33" w:tooltip="Snowy 2.0 project safety review underway after ventilation fan implodes ..." w:history="1">
        <w:r>
          <w:rPr>
            <w:rStyle w:val="Hyperlink"/>
            <w:rFonts w:eastAsiaTheme="majorEastAsia"/>
          </w:rPr>
          <w:t>ABC</w:t>
        </w:r>
      </w:hyperlink>
      <w:r>
        <w:t>)</w:t>
      </w:r>
      <w:r>
        <w:br/>
      </w:r>
      <w:proofErr w:type="spellStart"/>
      <w:r>
        <w:t>ESDNews</w:t>
      </w:r>
      <w:proofErr w:type="spellEnd"/>
      <w:r>
        <w:t xml:space="preserve"> 2025, ‘Flying shrapnel from giant fan forces Snowy 2.0 shutdown’, viewed 27 Feb 2025. (</w:t>
      </w:r>
      <w:hyperlink r:id="rId34" w:tooltip="Flying shrapnel from giant fan forces Snowy 2.0 shutdown" w:history="1">
        <w:r>
          <w:rPr>
            <w:rStyle w:val="Hyperlink"/>
            <w:rFonts w:eastAsiaTheme="majorEastAsia"/>
          </w:rPr>
          <w:t>Energy Source &amp; Distribution</w:t>
        </w:r>
      </w:hyperlink>
      <w:r>
        <w:t>)</w:t>
      </w:r>
      <w:r>
        <w:br/>
        <w:t>Geoengineer 2024, ‘Snowy 2.0 tunnel boring machine remains stuck after a month’, viewed 30 May 2024. (</w:t>
      </w:r>
      <w:hyperlink r:id="rId35" w:tooltip="Snowy 2.0 tunnel boring machine remains stuck after a month" w:history="1">
        <w:r>
          <w:rPr>
            <w:rStyle w:val="Hyperlink"/>
            <w:rFonts w:eastAsiaTheme="majorEastAsia"/>
          </w:rPr>
          <w:t>Geoengineer</w:t>
        </w:r>
      </w:hyperlink>
      <w:r>
        <w:t>)</w:t>
      </w:r>
      <w:r>
        <w:br/>
        <w:t>Renewable Energy World 2025, ‘When will Australia’s huge Snowy 2.0 pumped storage project be completed?’, viewed 21 Oct 2025. (</w:t>
      </w:r>
      <w:hyperlink r:id="rId36" w:tooltip="When will Australia’s huge Snowy 2.0 pumped storage project be completed?" w:history="1">
        <w:r>
          <w:rPr>
            <w:rStyle w:val="Hyperlink"/>
            <w:rFonts w:eastAsiaTheme="majorEastAsia"/>
          </w:rPr>
          <w:t>Factor This™</w:t>
        </w:r>
      </w:hyperlink>
      <w:r>
        <w:t>)</w:t>
      </w:r>
      <w:r>
        <w:br/>
        <w:t>Snowy Hydro 2023, ‘Securing the future of critical energy transformation, resets’, viewed 31 Aug 2023. (</w:t>
      </w:r>
      <w:hyperlink r:id="rId37" w:tooltip="SECURING THE FUTURE OF CRITICAL ENERGY TRANSFORMATION PROJECTS - Snowy ..." w:history="1">
        <w:r>
          <w:rPr>
            <w:rStyle w:val="Hyperlink"/>
            <w:rFonts w:eastAsiaTheme="majorEastAsia"/>
          </w:rPr>
          <w:t>Snowy Hydro</w:t>
        </w:r>
      </w:hyperlink>
      <w:r>
        <w:t>)</w:t>
      </w:r>
      <w:r>
        <w:br/>
        <w:t>Snowy Hydro 2024, ‘TBM Florence update, 12 June’, viewed 12 Jun 2024. (</w:t>
      </w:r>
      <w:hyperlink r:id="rId38" w:tooltip="SNOWY 2.0 AND TBM FLORENCE UPDATE – JUNE 2024" w:history="1">
        <w:r>
          <w:rPr>
            <w:rStyle w:val="Hyperlink"/>
            <w:rFonts w:eastAsiaTheme="majorEastAsia"/>
          </w:rPr>
          <w:t>Snowy Hydro</w:t>
        </w:r>
      </w:hyperlink>
      <w:r>
        <w:t>)</w:t>
      </w:r>
      <w:r>
        <w:br/>
      </w:r>
      <w:proofErr w:type="spellStart"/>
      <w:r>
        <w:t>Transgrid</w:t>
      </w:r>
      <w:proofErr w:type="spellEnd"/>
      <w:r>
        <w:t xml:space="preserve"> 2024–2025, ‘</w:t>
      </w:r>
      <w:proofErr w:type="spellStart"/>
      <w:r>
        <w:t>HumeLink</w:t>
      </w:r>
      <w:proofErr w:type="spellEnd"/>
      <w:r>
        <w:t xml:space="preserve"> approvals and project updates’, viewed 2024–2025. (</w:t>
      </w:r>
      <w:proofErr w:type="spellStart"/>
      <w:r>
        <w:fldChar w:fldCharType="begin"/>
      </w:r>
      <w:r>
        <w:instrText>HYPERLINK "https://www.transgrid.com.au/media-publications/news-articles/humelink-approval-unlocks-more-than-1-billion-in-benefits-for-consumers/?utm_source=chatgpt.com" \o "HumeLink approval unlocks more than $1 billion in benefits for ..."</w:instrText>
      </w:r>
      <w:r>
        <w:fldChar w:fldCharType="separate"/>
      </w:r>
      <w:r>
        <w:rPr>
          <w:rStyle w:val="Hyperlink"/>
          <w:rFonts w:eastAsiaTheme="majorEastAsia"/>
        </w:rPr>
        <w:t>Transgrid</w:t>
      </w:r>
      <w:proofErr w:type="spellEnd"/>
      <w:r>
        <w:fldChar w:fldCharType="end"/>
      </w:r>
      <w:r>
        <w:t>)</w:t>
      </w:r>
    </w:p>
    <w:p w14:paraId="063D6A46" w14:textId="2686043B" w:rsidR="005763A1" w:rsidRPr="00017A4A" w:rsidRDefault="005763A1" w:rsidP="00017A4A"/>
    <w:sectPr w:rsidR="005763A1" w:rsidRPr="00017A4A">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51DF8" w14:textId="77777777" w:rsidR="006833B7" w:rsidRDefault="006833B7" w:rsidP="00A67186">
      <w:pPr>
        <w:spacing w:after="0" w:line="240" w:lineRule="auto"/>
      </w:pPr>
      <w:r>
        <w:separator/>
      </w:r>
    </w:p>
  </w:endnote>
  <w:endnote w:type="continuationSeparator" w:id="0">
    <w:p w14:paraId="282F201F" w14:textId="77777777" w:rsidR="006833B7" w:rsidRDefault="006833B7"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1F75A" w14:textId="77777777" w:rsidR="006833B7" w:rsidRDefault="006833B7" w:rsidP="00A67186">
      <w:pPr>
        <w:spacing w:after="0" w:line="240" w:lineRule="auto"/>
      </w:pPr>
      <w:r>
        <w:separator/>
      </w:r>
    </w:p>
  </w:footnote>
  <w:footnote w:type="continuationSeparator" w:id="0">
    <w:p w14:paraId="3931AED9" w14:textId="77777777" w:rsidR="006833B7" w:rsidRDefault="006833B7"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44E0"/>
    <w:multiLevelType w:val="multilevel"/>
    <w:tmpl w:val="048CD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4081F"/>
    <w:multiLevelType w:val="multilevel"/>
    <w:tmpl w:val="6F5E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131A2"/>
    <w:multiLevelType w:val="multilevel"/>
    <w:tmpl w:val="983E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C13AA"/>
    <w:multiLevelType w:val="multilevel"/>
    <w:tmpl w:val="3B2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502A0"/>
    <w:multiLevelType w:val="multilevel"/>
    <w:tmpl w:val="D2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F00AC"/>
    <w:multiLevelType w:val="multilevel"/>
    <w:tmpl w:val="CBF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11AE0"/>
    <w:multiLevelType w:val="multilevel"/>
    <w:tmpl w:val="5BB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31DAE"/>
    <w:multiLevelType w:val="multilevel"/>
    <w:tmpl w:val="B82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05041"/>
    <w:multiLevelType w:val="multilevel"/>
    <w:tmpl w:val="34C2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928FA"/>
    <w:multiLevelType w:val="multilevel"/>
    <w:tmpl w:val="5A5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12760"/>
    <w:multiLevelType w:val="multilevel"/>
    <w:tmpl w:val="AF36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836ED"/>
    <w:multiLevelType w:val="multilevel"/>
    <w:tmpl w:val="E122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3D74C4"/>
    <w:multiLevelType w:val="multilevel"/>
    <w:tmpl w:val="CA1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55AF3"/>
    <w:multiLevelType w:val="multilevel"/>
    <w:tmpl w:val="D1262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265E8"/>
    <w:multiLevelType w:val="multilevel"/>
    <w:tmpl w:val="8E38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1A15E6"/>
    <w:multiLevelType w:val="multilevel"/>
    <w:tmpl w:val="81BC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A9783B"/>
    <w:multiLevelType w:val="multilevel"/>
    <w:tmpl w:val="6036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B1133"/>
    <w:multiLevelType w:val="multilevel"/>
    <w:tmpl w:val="FBD2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628FB"/>
    <w:multiLevelType w:val="multilevel"/>
    <w:tmpl w:val="C89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95DB8"/>
    <w:multiLevelType w:val="multilevel"/>
    <w:tmpl w:val="5808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92796"/>
    <w:multiLevelType w:val="multilevel"/>
    <w:tmpl w:val="B882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123DCF"/>
    <w:multiLevelType w:val="multilevel"/>
    <w:tmpl w:val="EA08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997253"/>
    <w:multiLevelType w:val="multilevel"/>
    <w:tmpl w:val="3D6E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9A5A25"/>
    <w:multiLevelType w:val="multilevel"/>
    <w:tmpl w:val="E79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140E4"/>
    <w:multiLevelType w:val="multilevel"/>
    <w:tmpl w:val="73F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F06537"/>
    <w:multiLevelType w:val="multilevel"/>
    <w:tmpl w:val="56F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F3B08"/>
    <w:multiLevelType w:val="multilevel"/>
    <w:tmpl w:val="DF10E8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5A744D"/>
    <w:multiLevelType w:val="multilevel"/>
    <w:tmpl w:val="DDE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7086E"/>
    <w:multiLevelType w:val="multilevel"/>
    <w:tmpl w:val="2932C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59105B"/>
    <w:multiLevelType w:val="multilevel"/>
    <w:tmpl w:val="27A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13EEF"/>
    <w:multiLevelType w:val="multilevel"/>
    <w:tmpl w:val="4D5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215FC5"/>
    <w:multiLevelType w:val="multilevel"/>
    <w:tmpl w:val="836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41315D"/>
    <w:multiLevelType w:val="multilevel"/>
    <w:tmpl w:val="F66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F7E70"/>
    <w:multiLevelType w:val="multilevel"/>
    <w:tmpl w:val="ABCA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57709B"/>
    <w:multiLevelType w:val="multilevel"/>
    <w:tmpl w:val="7C3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F07DC"/>
    <w:multiLevelType w:val="multilevel"/>
    <w:tmpl w:val="600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8F2E75"/>
    <w:multiLevelType w:val="multilevel"/>
    <w:tmpl w:val="055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314C86"/>
    <w:multiLevelType w:val="multilevel"/>
    <w:tmpl w:val="DF92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461359"/>
    <w:multiLevelType w:val="multilevel"/>
    <w:tmpl w:val="F778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7D251C"/>
    <w:multiLevelType w:val="multilevel"/>
    <w:tmpl w:val="BFE2F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96617E"/>
    <w:multiLevelType w:val="multilevel"/>
    <w:tmpl w:val="DD8C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32A77"/>
    <w:multiLevelType w:val="multilevel"/>
    <w:tmpl w:val="A79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9763F5"/>
    <w:multiLevelType w:val="multilevel"/>
    <w:tmpl w:val="E0189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00769F"/>
    <w:multiLevelType w:val="multilevel"/>
    <w:tmpl w:val="12DE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96A6E"/>
    <w:multiLevelType w:val="multilevel"/>
    <w:tmpl w:val="942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220C27"/>
    <w:multiLevelType w:val="multilevel"/>
    <w:tmpl w:val="B628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FC3D18"/>
    <w:multiLevelType w:val="multilevel"/>
    <w:tmpl w:val="162E33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9679A7"/>
    <w:multiLevelType w:val="multilevel"/>
    <w:tmpl w:val="8A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337F00"/>
    <w:multiLevelType w:val="multilevel"/>
    <w:tmpl w:val="D8AC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914FB4"/>
    <w:multiLevelType w:val="multilevel"/>
    <w:tmpl w:val="047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E829FF"/>
    <w:multiLevelType w:val="multilevel"/>
    <w:tmpl w:val="A5A4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863D4B"/>
    <w:multiLevelType w:val="multilevel"/>
    <w:tmpl w:val="3020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817D94"/>
    <w:multiLevelType w:val="multilevel"/>
    <w:tmpl w:val="DA6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341EA2"/>
    <w:multiLevelType w:val="multilevel"/>
    <w:tmpl w:val="AF3E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622522"/>
    <w:multiLevelType w:val="multilevel"/>
    <w:tmpl w:val="7E10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47723B"/>
    <w:multiLevelType w:val="multilevel"/>
    <w:tmpl w:val="0444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3361DA"/>
    <w:multiLevelType w:val="multilevel"/>
    <w:tmpl w:val="738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76EBD"/>
    <w:multiLevelType w:val="multilevel"/>
    <w:tmpl w:val="3B361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3123B64"/>
    <w:multiLevelType w:val="multilevel"/>
    <w:tmpl w:val="5C8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C7454"/>
    <w:multiLevelType w:val="multilevel"/>
    <w:tmpl w:val="1F92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A161D3"/>
    <w:multiLevelType w:val="multilevel"/>
    <w:tmpl w:val="6136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A60C1"/>
    <w:multiLevelType w:val="multilevel"/>
    <w:tmpl w:val="0A8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A572CD"/>
    <w:multiLevelType w:val="multilevel"/>
    <w:tmpl w:val="C312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266FC"/>
    <w:multiLevelType w:val="multilevel"/>
    <w:tmpl w:val="50C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7B5877"/>
    <w:multiLevelType w:val="multilevel"/>
    <w:tmpl w:val="28D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A521C2"/>
    <w:multiLevelType w:val="multilevel"/>
    <w:tmpl w:val="6CF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14"/>
  </w:num>
  <w:num w:numId="2" w16cid:durableId="821698845">
    <w:abstractNumId w:val="47"/>
  </w:num>
  <w:num w:numId="3" w16cid:durableId="1500922540">
    <w:abstractNumId w:val="6"/>
  </w:num>
  <w:num w:numId="4" w16cid:durableId="207767914">
    <w:abstractNumId w:val="3"/>
  </w:num>
  <w:num w:numId="5" w16cid:durableId="1618871916">
    <w:abstractNumId w:val="32"/>
  </w:num>
  <w:num w:numId="6" w16cid:durableId="831600699">
    <w:abstractNumId w:val="53"/>
  </w:num>
  <w:num w:numId="7" w16cid:durableId="819927118">
    <w:abstractNumId w:val="67"/>
  </w:num>
  <w:num w:numId="8" w16cid:durableId="1836339821">
    <w:abstractNumId w:val="4"/>
  </w:num>
  <w:num w:numId="9" w16cid:durableId="877275635">
    <w:abstractNumId w:val="69"/>
  </w:num>
  <w:num w:numId="10" w16cid:durableId="163475279">
    <w:abstractNumId w:val="66"/>
  </w:num>
  <w:num w:numId="11" w16cid:durableId="660743435">
    <w:abstractNumId w:val="64"/>
  </w:num>
  <w:num w:numId="12" w16cid:durableId="1334062966">
    <w:abstractNumId w:val="70"/>
  </w:num>
  <w:num w:numId="13" w16cid:durableId="1416509605">
    <w:abstractNumId w:val="5"/>
  </w:num>
  <w:num w:numId="14" w16cid:durableId="684675586">
    <w:abstractNumId w:val="54"/>
  </w:num>
  <w:num w:numId="15" w16cid:durableId="1084490379">
    <w:abstractNumId w:val="26"/>
  </w:num>
  <w:num w:numId="16" w16cid:durableId="1177233249">
    <w:abstractNumId w:val="60"/>
  </w:num>
  <w:num w:numId="17" w16cid:durableId="1332492463">
    <w:abstractNumId w:val="59"/>
  </w:num>
  <w:num w:numId="18" w16cid:durableId="1750301735">
    <w:abstractNumId w:val="51"/>
  </w:num>
  <w:num w:numId="19" w16cid:durableId="1384524300">
    <w:abstractNumId w:val="29"/>
  </w:num>
  <w:num w:numId="20" w16cid:durableId="675889748">
    <w:abstractNumId w:val="31"/>
  </w:num>
  <w:num w:numId="21" w16cid:durableId="1140463376">
    <w:abstractNumId w:val="56"/>
  </w:num>
  <w:num w:numId="22" w16cid:durableId="2060670041">
    <w:abstractNumId w:val="13"/>
  </w:num>
  <w:num w:numId="23" w16cid:durableId="1986078983">
    <w:abstractNumId w:val="21"/>
  </w:num>
  <w:num w:numId="24" w16cid:durableId="954676395">
    <w:abstractNumId w:val="17"/>
  </w:num>
  <w:num w:numId="25" w16cid:durableId="224025661">
    <w:abstractNumId w:val="46"/>
  </w:num>
  <w:num w:numId="26" w16cid:durableId="1399131629">
    <w:abstractNumId w:val="63"/>
  </w:num>
  <w:num w:numId="27" w16cid:durableId="1784642234">
    <w:abstractNumId w:val="10"/>
  </w:num>
  <w:num w:numId="28" w16cid:durableId="924189728">
    <w:abstractNumId w:val="0"/>
  </w:num>
  <w:num w:numId="29" w16cid:durableId="1320427781">
    <w:abstractNumId w:val="12"/>
  </w:num>
  <w:num w:numId="30" w16cid:durableId="851796786">
    <w:abstractNumId w:val="62"/>
  </w:num>
  <w:num w:numId="31" w16cid:durableId="1752772098">
    <w:abstractNumId w:val="11"/>
  </w:num>
  <w:num w:numId="32" w16cid:durableId="1970890577">
    <w:abstractNumId w:val="40"/>
  </w:num>
  <w:num w:numId="33" w16cid:durableId="592933262">
    <w:abstractNumId w:val="58"/>
  </w:num>
  <w:num w:numId="34" w16cid:durableId="1440567086">
    <w:abstractNumId w:val="1"/>
  </w:num>
  <w:num w:numId="35" w16cid:durableId="1913655594">
    <w:abstractNumId w:val="52"/>
  </w:num>
  <w:num w:numId="36" w16cid:durableId="119151285">
    <w:abstractNumId w:val="19"/>
  </w:num>
  <w:num w:numId="37" w16cid:durableId="1884242915">
    <w:abstractNumId w:val="28"/>
  </w:num>
  <w:num w:numId="38" w16cid:durableId="1501575521">
    <w:abstractNumId w:val="25"/>
  </w:num>
  <w:num w:numId="39" w16cid:durableId="334188135">
    <w:abstractNumId w:val="7"/>
  </w:num>
  <w:num w:numId="40" w16cid:durableId="1371766576">
    <w:abstractNumId w:val="65"/>
  </w:num>
  <w:num w:numId="41" w16cid:durableId="1846821847">
    <w:abstractNumId w:val="16"/>
  </w:num>
  <w:num w:numId="42" w16cid:durableId="343746640">
    <w:abstractNumId w:val="43"/>
  </w:num>
  <w:num w:numId="43" w16cid:durableId="1371296642">
    <w:abstractNumId w:val="34"/>
  </w:num>
  <w:num w:numId="44" w16cid:durableId="2133859188">
    <w:abstractNumId w:val="61"/>
  </w:num>
  <w:num w:numId="45" w16cid:durableId="1187909936">
    <w:abstractNumId w:val="8"/>
  </w:num>
  <w:num w:numId="46" w16cid:durableId="702286342">
    <w:abstractNumId w:val="30"/>
  </w:num>
  <w:num w:numId="47" w16cid:durableId="1702824320">
    <w:abstractNumId w:val="39"/>
  </w:num>
  <w:num w:numId="48" w16cid:durableId="786388559">
    <w:abstractNumId w:val="23"/>
  </w:num>
  <w:num w:numId="49" w16cid:durableId="223180517">
    <w:abstractNumId w:val="37"/>
  </w:num>
  <w:num w:numId="50" w16cid:durableId="962618900">
    <w:abstractNumId w:val="9"/>
  </w:num>
  <w:num w:numId="51" w16cid:durableId="44989041">
    <w:abstractNumId w:val="57"/>
  </w:num>
  <w:num w:numId="52" w16cid:durableId="2137674371">
    <w:abstractNumId w:val="68"/>
  </w:num>
  <w:num w:numId="53" w16cid:durableId="1529299712">
    <w:abstractNumId w:val="22"/>
  </w:num>
  <w:num w:numId="54" w16cid:durableId="969096027">
    <w:abstractNumId w:val="49"/>
  </w:num>
  <w:num w:numId="55" w16cid:durableId="1155100120">
    <w:abstractNumId w:val="45"/>
  </w:num>
  <w:num w:numId="56" w16cid:durableId="423260878">
    <w:abstractNumId w:val="44"/>
  </w:num>
  <w:num w:numId="57" w16cid:durableId="1600597658">
    <w:abstractNumId w:val="18"/>
  </w:num>
  <w:num w:numId="58" w16cid:durableId="1526551415">
    <w:abstractNumId w:val="24"/>
  </w:num>
  <w:num w:numId="59" w16cid:durableId="1445731046">
    <w:abstractNumId w:val="42"/>
  </w:num>
  <w:num w:numId="60" w16cid:durableId="1756782704">
    <w:abstractNumId w:val="20"/>
  </w:num>
  <w:num w:numId="61" w16cid:durableId="359404453">
    <w:abstractNumId w:val="48"/>
  </w:num>
  <w:num w:numId="62" w16cid:durableId="1591238617">
    <w:abstractNumId w:val="41"/>
  </w:num>
  <w:num w:numId="63" w16cid:durableId="844171752">
    <w:abstractNumId w:val="35"/>
  </w:num>
  <w:num w:numId="64" w16cid:durableId="749540751">
    <w:abstractNumId w:val="15"/>
  </w:num>
  <w:num w:numId="65" w16cid:durableId="1414162279">
    <w:abstractNumId w:val="36"/>
  </w:num>
  <w:num w:numId="66" w16cid:durableId="668607238">
    <w:abstractNumId w:val="27"/>
  </w:num>
  <w:num w:numId="67" w16cid:durableId="1457679628">
    <w:abstractNumId w:val="50"/>
  </w:num>
  <w:num w:numId="68" w16cid:durableId="271986146">
    <w:abstractNumId w:val="33"/>
  </w:num>
  <w:num w:numId="69" w16cid:durableId="1496384774">
    <w:abstractNumId w:val="38"/>
  </w:num>
  <w:num w:numId="70" w16cid:durableId="1394499476">
    <w:abstractNumId w:val="55"/>
  </w:num>
  <w:num w:numId="71" w16cid:durableId="1712609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tKwFACsxPvktAAAA"/>
  </w:docVars>
  <w:rsids>
    <w:rsidRoot w:val="00AE4A1F"/>
    <w:rsid w:val="00000965"/>
    <w:rsid w:val="00017A4A"/>
    <w:rsid w:val="000333AF"/>
    <w:rsid w:val="000772F3"/>
    <w:rsid w:val="000A09D0"/>
    <w:rsid w:val="000B33EE"/>
    <w:rsid w:val="0018356D"/>
    <w:rsid w:val="001B3635"/>
    <w:rsid w:val="001D59BF"/>
    <w:rsid w:val="0022001C"/>
    <w:rsid w:val="00233DAC"/>
    <w:rsid w:val="00281372"/>
    <w:rsid w:val="00304A8F"/>
    <w:rsid w:val="00304D0F"/>
    <w:rsid w:val="00310F89"/>
    <w:rsid w:val="00325E18"/>
    <w:rsid w:val="00341DBB"/>
    <w:rsid w:val="00381A3D"/>
    <w:rsid w:val="00390A91"/>
    <w:rsid w:val="00414F14"/>
    <w:rsid w:val="00423A0B"/>
    <w:rsid w:val="00435D88"/>
    <w:rsid w:val="00441EBF"/>
    <w:rsid w:val="004455D4"/>
    <w:rsid w:val="00463EE7"/>
    <w:rsid w:val="00494234"/>
    <w:rsid w:val="004E4021"/>
    <w:rsid w:val="0055002F"/>
    <w:rsid w:val="00552D52"/>
    <w:rsid w:val="00555FF5"/>
    <w:rsid w:val="005763A1"/>
    <w:rsid w:val="0059533D"/>
    <w:rsid w:val="005C1E8C"/>
    <w:rsid w:val="005D722F"/>
    <w:rsid w:val="00604552"/>
    <w:rsid w:val="006101B6"/>
    <w:rsid w:val="00627981"/>
    <w:rsid w:val="0065544E"/>
    <w:rsid w:val="006833B7"/>
    <w:rsid w:val="0068640E"/>
    <w:rsid w:val="006A5464"/>
    <w:rsid w:val="006A5E07"/>
    <w:rsid w:val="006D511C"/>
    <w:rsid w:val="00732B38"/>
    <w:rsid w:val="007356CB"/>
    <w:rsid w:val="0077081C"/>
    <w:rsid w:val="007D2A0F"/>
    <w:rsid w:val="007D7459"/>
    <w:rsid w:val="00801B2A"/>
    <w:rsid w:val="00846818"/>
    <w:rsid w:val="00846E8A"/>
    <w:rsid w:val="008A11FC"/>
    <w:rsid w:val="008E568C"/>
    <w:rsid w:val="008F2E42"/>
    <w:rsid w:val="00934A3F"/>
    <w:rsid w:val="00960508"/>
    <w:rsid w:val="009B2473"/>
    <w:rsid w:val="009D036D"/>
    <w:rsid w:val="009E4FE0"/>
    <w:rsid w:val="009E501F"/>
    <w:rsid w:val="00A67186"/>
    <w:rsid w:val="00AA52CD"/>
    <w:rsid w:val="00AE4A1F"/>
    <w:rsid w:val="00AF17B2"/>
    <w:rsid w:val="00B12850"/>
    <w:rsid w:val="00B44718"/>
    <w:rsid w:val="00B54D89"/>
    <w:rsid w:val="00B557D4"/>
    <w:rsid w:val="00B63465"/>
    <w:rsid w:val="00B826A4"/>
    <w:rsid w:val="00BC7ACE"/>
    <w:rsid w:val="00BD0E9E"/>
    <w:rsid w:val="00C00B0B"/>
    <w:rsid w:val="00C131C9"/>
    <w:rsid w:val="00C13BF4"/>
    <w:rsid w:val="00C250F0"/>
    <w:rsid w:val="00C76BEF"/>
    <w:rsid w:val="00CB37C3"/>
    <w:rsid w:val="00CC066B"/>
    <w:rsid w:val="00CF336F"/>
    <w:rsid w:val="00D669B7"/>
    <w:rsid w:val="00D757CB"/>
    <w:rsid w:val="00D835C3"/>
    <w:rsid w:val="00DB3FF9"/>
    <w:rsid w:val="00DF1E39"/>
    <w:rsid w:val="00DF6186"/>
    <w:rsid w:val="00E04C82"/>
    <w:rsid w:val="00EE674A"/>
    <w:rsid w:val="00EF67DB"/>
    <w:rsid w:val="00F01CAB"/>
    <w:rsid w:val="00F12281"/>
    <w:rsid w:val="00F125FA"/>
    <w:rsid w:val="00F14A52"/>
    <w:rsid w:val="00F74D94"/>
    <w:rsid w:val="00F877F1"/>
    <w:rsid w:val="00FA279E"/>
    <w:rsid w:val="00FA65FE"/>
    <w:rsid w:val="00FE087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paragraph" w:customStyle="1" w:styleId="ds-markdown-paragraph">
    <w:name w:val="ds-markdown-paragraph"/>
    <w:basedOn w:val="Normal"/>
    <w:rsid w:val="008A11FC"/>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Emphasis">
    <w:name w:val="Emphasis"/>
    <w:basedOn w:val="DefaultParagraphFont"/>
    <w:uiPriority w:val="20"/>
    <w:qFormat/>
    <w:rsid w:val="008A11FC"/>
    <w:rPr>
      <w:i/>
      <w:iCs/>
    </w:rPr>
  </w:style>
  <w:style w:type="character" w:customStyle="1" w:styleId="button-container">
    <w:name w:val="button-container"/>
    <w:basedOn w:val="DefaultParagraphFont"/>
    <w:rsid w:val="00304D0F"/>
  </w:style>
  <w:style w:type="character" w:styleId="HTMLCode">
    <w:name w:val="HTML Code"/>
    <w:basedOn w:val="DefaultParagraphFont"/>
    <w:uiPriority w:val="99"/>
    <w:semiHidden/>
    <w:unhideWhenUsed/>
    <w:rsid w:val="00017A4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bc.net.au/news/2025-02-27/snowy-hydro-stop-work-flying-shrapnel-fan-malfunction/104988132?utm_source=chatgpt.com" TargetMode="External"/><Relationship Id="rId18" Type="http://schemas.openxmlformats.org/officeDocument/2006/relationships/hyperlink" Target="https://www.abc.net.au/news/2025-02-27/snowy-hydro-stop-work-flying-shrapnel-fan-malfunction/104988132?utm_source=chatgpt.com" TargetMode="External"/><Relationship Id="rId26" Type="http://schemas.openxmlformats.org/officeDocument/2006/relationships/hyperlink" Target="https://www.snowyhydro.com.au/news/securing-the-future-of-critical-energy-transformation-resets/?utm_source=chatgpt.com" TargetMode="External"/><Relationship Id="rId39" Type="http://schemas.openxmlformats.org/officeDocument/2006/relationships/footer" Target="footer1.xml"/><Relationship Id="rId21" Type="http://schemas.openxmlformats.org/officeDocument/2006/relationships/hyperlink" Target="https://www.abc.net.au/news/2025-02-27/snowy-hydro-stop-work-flying-shrapnel-fan-malfunction/104988132?utm_source=chatgpt.com" TargetMode="External"/><Relationship Id="rId34" Type="http://schemas.openxmlformats.org/officeDocument/2006/relationships/hyperlink" Target="https://esdnews.com.au/flying-shrapnel-from-giant-fan-forces-snowy-2-0-shutdown/?utm_source=chatgpt.com" TargetMode="External"/><Relationship Id="rId7" Type="http://schemas.openxmlformats.org/officeDocument/2006/relationships/hyperlink" Target="https://www.snowyhydro.com.au/news/securing-the-future-of-critical-energy-transformation-resets/?utm_source=chatgpt.com" TargetMode="External"/><Relationship Id="rId2" Type="http://schemas.openxmlformats.org/officeDocument/2006/relationships/styles" Target="styles.xml"/><Relationship Id="rId16" Type="http://schemas.openxmlformats.org/officeDocument/2006/relationships/hyperlink" Target="https://www.abc.net.au/news/2024-05-22/tunnel-boring-machine-florence-stuck-again/103875910?utm_source=chatgpt.com" TargetMode="External"/><Relationship Id="rId20" Type="http://schemas.openxmlformats.org/officeDocument/2006/relationships/hyperlink" Target="https://www.abc.net.au/news/2024-05-22/tunnel-boring-machine-florence-stuck-again/103875910?utm_source=chatgpt.com" TargetMode="External"/><Relationship Id="rId29" Type="http://schemas.openxmlformats.org/officeDocument/2006/relationships/hyperlink" Target="https://www.abc.net.au/news/2025-02-27/snowy-hydro-stop-work-flying-shrapnel-fan-malfunction/104988132?utm_source=chatgpt.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newableenergyworld.com/energy-storage/pumped-storage/when-will-australias-huge-snowy-2-0-pumped-storage-project-be-completed/?utm_source=chatgpt.com" TargetMode="External"/><Relationship Id="rId24" Type="http://schemas.openxmlformats.org/officeDocument/2006/relationships/image" Target="media/image4.jpeg"/><Relationship Id="rId32" Type="http://schemas.openxmlformats.org/officeDocument/2006/relationships/hyperlink" Target="https://www.abc.net.au/news/2024-12-19/humelink-transmission-line-project-approved-snowy-hydro/104743166?utm_source=chatgpt.com" TargetMode="External"/><Relationship Id="rId37" Type="http://schemas.openxmlformats.org/officeDocument/2006/relationships/hyperlink" Target="https://www.snowyhydro.com.au/news/securing-the-future-of-critical-energy-transformation-resets/?utm_source=chatgpt.co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www.abc.net.au/news/2024-12-19/humelink-transmission-line-project-approved-snowy-hydro/104743166?utm_source=chatgpt.com" TargetMode="External"/><Relationship Id="rId28" Type="http://schemas.openxmlformats.org/officeDocument/2006/relationships/hyperlink" Target="https://www.abc.net.au/news/2024-12-19/humelink-transmission-line-project-approved-snowy-hydro/104743166?utm_source=chatgpt.com" TargetMode="External"/><Relationship Id="rId36" Type="http://schemas.openxmlformats.org/officeDocument/2006/relationships/hyperlink" Target="https://www.renewableenergyworld.com/energy-storage/pumped-storage/when-will-australias-huge-snowy-2-0-pumped-storage-project-be-completed/?utm_source=chatgpt.com" TargetMode="External"/><Relationship Id="rId10" Type="http://schemas.openxmlformats.org/officeDocument/2006/relationships/hyperlink" Target="https://www.abc.net.au/news/2024-05-22/tunnel-boring-machine-florence-stuck-again/103875910?utm_source=chatgpt.com" TargetMode="External"/><Relationship Id="rId19" Type="http://schemas.openxmlformats.org/officeDocument/2006/relationships/hyperlink" Target="https://www.abc.net.au/news/2024-12-19/humelink-transmission-line-project-approved-snowy-hydro/104743166?utm_source=chatgpt.com" TargetMode="External"/><Relationship Id="rId31" Type="http://schemas.openxmlformats.org/officeDocument/2006/relationships/hyperlink" Target="https://www.abc.net.au/news/2024-05-22/tunnel-boring-machine-florence-stuck-again/103875910?utm_source=chatgpt.com"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abc.net.au/news/2024-12-19/humelink-transmission-line-project-approved-snowy-hydro/104743166?utm_source=chatgpt.com" TargetMode="External"/><Relationship Id="rId22" Type="http://schemas.openxmlformats.org/officeDocument/2006/relationships/image" Target="media/image3.png"/><Relationship Id="rId27" Type="http://schemas.openxmlformats.org/officeDocument/2006/relationships/hyperlink" Target="https://www.abc.net.au/news/2025-02-27/snowy-hydro-stop-work-flying-shrapnel-fan-malfunction/104988132?utm_source=chatgpt.com" TargetMode="External"/><Relationship Id="rId30" Type="http://schemas.openxmlformats.org/officeDocument/2006/relationships/hyperlink" Target="https://www.snowyhydro.com.au/news/securing-the-future-of-critical-energy-transformation-resets/?utm_source=chatgpt.com" TargetMode="External"/><Relationship Id="rId35" Type="http://schemas.openxmlformats.org/officeDocument/2006/relationships/hyperlink" Target="https://www.geoengineer.org/news/snowy-20-tunnel-boring-machine-remains-stuck-after-a-month?utm_source=chatgpt.com" TargetMode="External"/><Relationship Id="rId8" Type="http://schemas.openxmlformats.org/officeDocument/2006/relationships/hyperlink" Target="https://www.snowyhydro.com.au/news/securing-the-future-of-critical-energy-transformation-resets/?utm_source=chatgpt.com" TargetMode="External"/><Relationship Id="rId3" Type="http://schemas.openxmlformats.org/officeDocument/2006/relationships/settings" Target="settings.xml"/><Relationship Id="rId12" Type="http://schemas.openxmlformats.org/officeDocument/2006/relationships/hyperlink" Target="https://www.snowyhydro.com.au/news/securing-the-future-of-critical-energy-transformation-resets/?utm_source=chatgpt.com" TargetMode="External"/><Relationship Id="rId17" Type="http://schemas.openxmlformats.org/officeDocument/2006/relationships/hyperlink" Target="https://www.renewableenergyworld.com/energy-storage/pumped-storage/when-will-australias-huge-snowy-2-0-pumped-storage-project-be-completed/?utm_source=chatgpt.com" TargetMode="External"/><Relationship Id="rId25" Type="http://schemas.openxmlformats.org/officeDocument/2006/relationships/hyperlink" Target="https://www.snowyhydro.com.au/news/snowy-2-0-and-tbm-florence-update-june-2024/?utm_source=chatgpt.com" TargetMode="External"/><Relationship Id="rId33" Type="http://schemas.openxmlformats.org/officeDocument/2006/relationships/hyperlink" Target="https://www.abc.net.au/news/2025-02-27/snowy-hydro-stop-work-flying-shrapnel-fan-malfunction/104988132?utm_source=chatgpt.com" TargetMode="External"/><Relationship Id="rId38" Type="http://schemas.openxmlformats.org/officeDocument/2006/relationships/hyperlink" Target="https://www.snowyhydro.com.au/news/snowy-2-0-and-tbm-florence-update-june-202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1843</Words>
  <Characters>11321</Characters>
  <Application>Microsoft Office Word</Application>
  <DocSecurity>0</DocSecurity>
  <Lines>331</Lines>
  <Paragraphs>161</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56</cp:revision>
  <dcterms:created xsi:type="dcterms:W3CDTF">2025-10-12T05:00:00Z</dcterms:created>
  <dcterms:modified xsi:type="dcterms:W3CDTF">2025-10-26T04:32:00Z</dcterms:modified>
</cp:coreProperties>
</file>