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71AC5" w14:textId="77777777" w:rsidR="00C37E85" w:rsidRDefault="00C37E85" w:rsidP="00C37E85">
      <w:pPr>
        <w:pStyle w:val="Heading1"/>
      </w:pPr>
      <w:r>
        <w:t>CVEN9723 Group Assignment</w:t>
      </w:r>
    </w:p>
    <w:p w14:paraId="193596E6" w14:textId="77777777" w:rsidR="00104F41" w:rsidRDefault="00104F41" w:rsidP="00104F41">
      <w:pPr>
        <w:pStyle w:val="Heading2"/>
        <w:rPr>
          <w:rFonts w:ascii="Times New Roman" w:hAnsi="Times New Roman" w:cs="Times New Roman"/>
          <w:b/>
          <w:bCs/>
          <w:color w:val="auto"/>
          <w:kern w:val="0"/>
          <w:sz w:val="24"/>
          <w:szCs w:val="24"/>
          <w:lang w:eastAsia="en-AU"/>
          <w14:ligatures w14:val="none"/>
        </w:rPr>
      </w:pPr>
      <w:r w:rsidRPr="00104F41">
        <w:rPr>
          <w:rFonts w:ascii="Times New Roman" w:hAnsi="Times New Roman" w:cs="Times New Roman"/>
          <w:b/>
          <w:bCs/>
          <w:color w:val="auto"/>
          <w:kern w:val="0"/>
          <w:sz w:val="24"/>
          <w:szCs w:val="24"/>
          <w:lang w:eastAsia="en-AU"/>
          <w14:ligatures w14:val="none"/>
        </w:rPr>
        <w:t>Title: Navigating Complexity and Sustainability: A Critical Analysis of the New Sydney Fish Market Project and its Implications for the Australian Construction Industry</w:t>
      </w:r>
    </w:p>
    <w:p w14:paraId="215A2854" w14:textId="6B683E94" w:rsidR="00C37E85" w:rsidRDefault="00C37E85" w:rsidP="00104F41">
      <w:pPr>
        <w:pStyle w:val="Heading2"/>
      </w:pPr>
      <w:r>
        <w:t>Executive summary</w:t>
      </w:r>
    </w:p>
    <w:p w14:paraId="1AC9E4CD" w14:textId="2AD82270" w:rsidR="00C37E85" w:rsidRDefault="005D1780" w:rsidP="005D1780">
      <w:pPr>
        <w:pStyle w:val="NormalWeb"/>
      </w:pPr>
      <w:r w:rsidRPr="005D1780">
        <w:t xml:space="preserve">The redevelopment of the Sydney Fish Market represents a seminal project at the intersection of urban renewal, operational complexity, and environmental sustainability. This report provides a critical investigation into the grand challenges encountered during the delivery of this landmark infrastructure. The analysis identifies three core, interconnected challenges: (1) the logistical complexity of maintaining uninterrupted global-scale seafood operations during construction, (2) profound stakeholder management intricacies involving government entities, commercial tenants, and the community, and (3) the imperative to achieve world-leading sustainability outcomes in a working industrial port environment. A critical examination reveals that these challenges are intrinsically linked, where decisions impacting operational continuity directly influence stakeholder satisfaction and the project’s ability to meet its sustainability aspirations. A review of international best practices, drawing from the Billingsgate Market redevelopment in London and the Rotterdam Market Hall, highlights successful strategies in phased decanting, integrated digital delivery, and architectural innovation. The report concludes by presenting a suite of constructive future development opportunities for the Australian industry, advocating for the mainstream adoption of Integrated Project Delivery (IPD) contracts, advanced Digital Twin technology, and a regulatory shift towards mandatory circular economy principles. This case study underscores that the future success of complex Australian urban projects hinges on moving beyond traditional siloed approaches towards holistic, </w:t>
      </w:r>
      <w:proofErr w:type="gramStart"/>
      <w:r w:rsidRPr="005D1780">
        <w:t>digitally-enabled</w:t>
      </w:r>
      <w:proofErr w:type="gramEnd"/>
      <w:r w:rsidRPr="005D1780">
        <w:t xml:space="preserve">, and </w:t>
      </w:r>
      <w:proofErr w:type="gramStart"/>
      <w:r w:rsidRPr="005D1780">
        <w:t>collaboratively-driven</w:t>
      </w:r>
      <w:proofErr w:type="gramEnd"/>
      <w:r w:rsidRPr="005D1780">
        <w:t xml:space="preserve"> delivery models</w:t>
      </w:r>
      <w:r w:rsidR="00C37E85">
        <w:t>.</w:t>
      </w:r>
    </w:p>
    <w:p w14:paraId="4E5B4E7C" w14:textId="77777777" w:rsidR="00C37E85" w:rsidRDefault="00C37E85" w:rsidP="00C37E85">
      <w:pPr>
        <w:pStyle w:val="Heading2"/>
      </w:pPr>
      <w:r>
        <w:t>1. Introduction</w:t>
      </w:r>
    </w:p>
    <w:p w14:paraId="71D12FAE" w14:textId="77777777" w:rsidR="005D1780" w:rsidRPr="005D1780" w:rsidRDefault="005D1780" w:rsidP="005D1780">
      <w:pPr>
        <w:pStyle w:val="NormalWeb"/>
      </w:pPr>
      <w:r w:rsidRPr="005D1780">
        <w:t>The Australian construction industry is increasingly tasked with delivering projects that are not only functionally complex but also serve as catalysts for urban transformation and embody principles of environmental stewardship. Such projects encapsulate what are termed ‘grand challenges’—systemic issues that are difficult to solve due to their interconnected nature, numerous stakeholders, and inherent uncertainties (Flyvbjerg, 2017). The New Sydney Fish Market (NSFM) project at Blackwattle Bay is a quintessential example of this new paradigm. Conceived as the world’s largest fish market under a single roof, the project aims to transform a dated industrial facility into a vibrant public precinct featuring state-of-the-art seafood auction facilities, retail outlets, hospitality venues, and significant public domain spaces (Infrastructure NSW, 2023).</w:t>
      </w:r>
    </w:p>
    <w:p w14:paraId="1FDEC5DD" w14:textId="017F1F34" w:rsidR="00C37E85" w:rsidRDefault="005D1780" w:rsidP="005D1780">
      <w:pPr>
        <w:pStyle w:val="NormalWeb"/>
      </w:pPr>
      <w:r w:rsidRPr="005D1780">
        <w:t xml:space="preserve">While the vision is ambitious, the pathway to realisation is fraught with multifaceted challenges. The project must be constructed on a constrained, operational waterfront site, demanding an unprecedented level of logistical planning to ensure the continued functioning of a critical piece of economic infrastructure. Furthermore, it must satisfy a diverse array of stakeholders, from multi-generational fish merchants to global tourists, while simultaneously setting a new benchmark for sustainable design. This report presents a detailed case study of </w:t>
      </w:r>
      <w:r w:rsidRPr="005D1780">
        <w:lastRenderedPageBreak/>
        <w:t>the NSFM project, critically investigating its principal challenges, analysing the intrinsic connections between them, and reviewing relevant international best practices. Finally, it discusses emerging opportunities and provides constructive suggestions to enhance the delivery of similar complex urban projects in the future, thereby contributing to the advancement of the Australian construction industry</w:t>
      </w:r>
      <w:r w:rsidR="00C37E85">
        <w:t>.</w:t>
      </w:r>
    </w:p>
    <w:p w14:paraId="40596875" w14:textId="7D953B4B" w:rsidR="00C37E85" w:rsidRDefault="00C37E85" w:rsidP="00C37E85">
      <w:pPr>
        <w:pStyle w:val="Heading2"/>
      </w:pPr>
      <w:r>
        <w:t xml:space="preserve">2. </w:t>
      </w:r>
      <w:r w:rsidR="005D1780" w:rsidRPr="005D1780">
        <w:t>Project Challenges and Critical Analysis</w:t>
      </w:r>
    </w:p>
    <w:p w14:paraId="5511BABC" w14:textId="77777777" w:rsidR="00171665" w:rsidRPr="00171665" w:rsidRDefault="00171665" w:rsidP="00171665">
      <w:pPr>
        <w:pStyle w:val="NormalWeb"/>
      </w:pPr>
      <w:r w:rsidRPr="00171665">
        <w:t xml:space="preserve">The delivery of the NSFM is </w:t>
      </w:r>
      <w:proofErr w:type="gramStart"/>
      <w:r w:rsidRPr="00171665">
        <w:t>a</w:t>
      </w:r>
      <w:proofErr w:type="gramEnd"/>
      <w:r w:rsidRPr="00171665">
        <w:t xml:space="preserve"> exercise in managing competing priorities within a highly dynamic and constrained environment. The project’s grand challenges can be categorised into three primary, deeply intertwined domains.</w:t>
      </w:r>
    </w:p>
    <w:p w14:paraId="2435B150" w14:textId="77777777" w:rsidR="00171665" w:rsidRPr="00171665" w:rsidRDefault="00171665" w:rsidP="00171665">
      <w:pPr>
        <w:pStyle w:val="NormalWeb"/>
      </w:pPr>
      <w:r w:rsidRPr="00171665">
        <w:rPr>
          <w:b/>
          <w:bCs/>
        </w:rPr>
        <w:t>2.1 Identification of Main Challenges</w:t>
      </w:r>
    </w:p>
    <w:p w14:paraId="3AE01CEF" w14:textId="77777777" w:rsidR="00171665" w:rsidRPr="00171665" w:rsidRDefault="00171665" w:rsidP="00171665">
      <w:pPr>
        <w:pStyle w:val="NormalWeb"/>
        <w:numPr>
          <w:ilvl w:val="0"/>
          <w:numId w:val="6"/>
        </w:numPr>
      </w:pPr>
      <w:r w:rsidRPr="00171665">
        <w:rPr>
          <w:b/>
          <w:bCs/>
        </w:rPr>
        <w:t>Challenge 1: Logistical Complexity of Maintaining Operational Continuity</w:t>
      </w:r>
      <w:r w:rsidRPr="00171665">
        <w:br/>
        <w:t>The fundamental requirement to keep the existing fish market operational throughout the construction period presents a monumental logistical challenge. The existing facility handles over 14,500 tonnes of seafood annually, with daily auctions that commence in the early hours of the morning (Sydney Fish Market, 2024). Construction activities, including piling, heavy vehicle movement, and crane operations, must be meticulously scheduled to avoid disrupting sensitive auction processes, refrigeration systems, and the cold chain logistics. The constrained site offers minimal laydown area for materials, requiring a just-in-time delivery system that itself conflicts with traffic management and public access. This "building over a live heart" scenario creates a constant risk of costly operational shutdowns, making construction sequencing and site logistics a primary challenge.</w:t>
      </w:r>
    </w:p>
    <w:p w14:paraId="42C2D29E" w14:textId="77777777" w:rsidR="00171665" w:rsidRPr="00171665" w:rsidRDefault="00171665" w:rsidP="00171665">
      <w:pPr>
        <w:pStyle w:val="NormalWeb"/>
        <w:numPr>
          <w:ilvl w:val="0"/>
          <w:numId w:val="6"/>
        </w:numPr>
      </w:pPr>
      <w:r w:rsidRPr="00171665">
        <w:rPr>
          <w:b/>
          <w:bCs/>
        </w:rPr>
        <w:t>Challenge 2: Multi-tiered Stakeholder Management and Conflicting Expectations</w:t>
      </w:r>
      <w:r w:rsidRPr="00171665">
        <w:br/>
        <w:t>The project navigates a complex stakeholder landscape. Key groups include:</w:t>
      </w:r>
    </w:p>
    <w:p w14:paraId="4716D06A" w14:textId="77777777" w:rsidR="00171665" w:rsidRPr="00171665" w:rsidRDefault="00171665" w:rsidP="00171665">
      <w:pPr>
        <w:pStyle w:val="NormalWeb"/>
        <w:numPr>
          <w:ilvl w:val="1"/>
          <w:numId w:val="6"/>
        </w:numPr>
      </w:pPr>
      <w:r w:rsidRPr="00171665">
        <w:rPr>
          <w:b/>
          <w:bCs/>
        </w:rPr>
        <w:t>Commercial Tenants:</w:t>
      </w:r>
      <w:r w:rsidRPr="00171665">
        <w:t> The existing fish merchants, whose livelihoods depend on minimal disruption, and who have specific operational requirements for the new facility.</w:t>
      </w:r>
    </w:p>
    <w:p w14:paraId="51464441" w14:textId="77777777" w:rsidR="00171665" w:rsidRPr="00171665" w:rsidRDefault="00171665" w:rsidP="00171665">
      <w:pPr>
        <w:pStyle w:val="NormalWeb"/>
        <w:numPr>
          <w:ilvl w:val="1"/>
          <w:numId w:val="6"/>
        </w:numPr>
      </w:pPr>
      <w:r w:rsidRPr="00171665">
        <w:rPr>
          <w:b/>
          <w:bCs/>
        </w:rPr>
        <w:t>Government Agencies:</w:t>
      </w:r>
      <w:r w:rsidRPr="00171665">
        <w:t> Multiple entities such as Transport for NSW (road and light rail integration), the Environment Protection Authority (water quality), and Placemaking NSW (public domain design).</w:t>
      </w:r>
    </w:p>
    <w:p w14:paraId="0FB551F9" w14:textId="77777777" w:rsidR="00171665" w:rsidRPr="00171665" w:rsidRDefault="00171665" w:rsidP="00171665">
      <w:pPr>
        <w:pStyle w:val="NormalWeb"/>
        <w:numPr>
          <w:ilvl w:val="1"/>
          <w:numId w:val="6"/>
        </w:numPr>
      </w:pPr>
      <w:r w:rsidRPr="00171665">
        <w:rPr>
          <w:b/>
          <w:bCs/>
        </w:rPr>
        <w:t>Local Community:</w:t>
      </w:r>
      <w:r w:rsidRPr="00171665">
        <w:t> Residents concerned with construction impacts like noise, dust, traffic congestion, and the future character of the precinct.</w:t>
      </w:r>
    </w:p>
    <w:p w14:paraId="3A168790" w14:textId="77777777" w:rsidR="00171665" w:rsidRPr="00171665" w:rsidRDefault="00171665" w:rsidP="00171665">
      <w:pPr>
        <w:pStyle w:val="NormalWeb"/>
        <w:numPr>
          <w:ilvl w:val="1"/>
          <w:numId w:val="6"/>
        </w:numPr>
      </w:pPr>
      <w:r w:rsidRPr="00171665">
        <w:rPr>
          <w:b/>
          <w:bCs/>
        </w:rPr>
        <w:t>End Users:</w:t>
      </w:r>
      <w:r w:rsidRPr="00171665">
        <w:t> From wholesale buyers to tourists, each with different expectations for the final asset.</w:t>
      </w:r>
      <w:r w:rsidRPr="00171665">
        <w:br/>
        <w:t xml:space="preserve">Aligning these diverse, and often conflicting, expectations </w:t>
      </w:r>
      <w:proofErr w:type="gramStart"/>
      <w:r w:rsidRPr="00171665">
        <w:t>requires</w:t>
      </w:r>
      <w:proofErr w:type="gramEnd"/>
      <w:r w:rsidRPr="00171665">
        <w:t xml:space="preserve"> a sophisticated and proactive stakeholder engagement strategy, where communication failures can lead to significant delays, reputational damage, and legal disputes.</w:t>
      </w:r>
    </w:p>
    <w:p w14:paraId="07359683" w14:textId="77777777" w:rsidR="00171665" w:rsidRPr="00171665" w:rsidRDefault="00171665" w:rsidP="00171665">
      <w:pPr>
        <w:pStyle w:val="NormalWeb"/>
        <w:numPr>
          <w:ilvl w:val="0"/>
          <w:numId w:val="7"/>
        </w:numPr>
      </w:pPr>
      <w:r w:rsidRPr="00171665">
        <w:rPr>
          <w:b/>
          <w:bCs/>
        </w:rPr>
        <w:t>Challenge 3: Achieving World-Leading Environmental Sustainability</w:t>
      </w:r>
      <w:r w:rsidRPr="00171665">
        <w:br/>
        <w:t xml:space="preserve">The project is mandated to achieve a 6-Star Green Star Design and As Built rating, positioning it as a global leader in sustainable construction (Green Building Council of Australia, 2023). This ambition introduces significant technical challenges. These include implementing advanced water treatment and recycling systems to manage </w:t>
      </w:r>
      <w:r w:rsidRPr="00171665">
        <w:lastRenderedPageBreak/>
        <w:t>runoff from fish processing areas, integrating large-scale solar power generation in a maritime environment, and using sustainable materials with low embodied carbon. Furthermore, the project aims to enhance the ecological value of Blackwattle Bay through the creation of new rocky reefs and seagrass beds, requiring marine construction techniques that minimise sedimentation and protect aquatic life. Balancing these ambitious environmental goals with budget, programme, and operational constraints is a persistent challenge.</w:t>
      </w:r>
    </w:p>
    <w:p w14:paraId="2DDBC581" w14:textId="77777777" w:rsidR="00171665" w:rsidRPr="00171665" w:rsidRDefault="00171665" w:rsidP="00171665">
      <w:pPr>
        <w:pStyle w:val="NormalWeb"/>
      </w:pPr>
      <w:r w:rsidRPr="00171665">
        <w:rPr>
          <w:b/>
          <w:bCs/>
        </w:rPr>
        <w:t>2.2 Critical Analysis of Intrinsic Connections</w:t>
      </w:r>
    </w:p>
    <w:p w14:paraId="6334BC41" w14:textId="77777777" w:rsidR="00171665" w:rsidRPr="00171665" w:rsidRDefault="00171665" w:rsidP="00171665">
      <w:pPr>
        <w:pStyle w:val="NormalWeb"/>
      </w:pPr>
      <w:r w:rsidRPr="00171665">
        <w:t>A superficial view might treat these challenges as separate; however, a critical analysis reveals a web of causal and reinforcing relationships, as illustrated in Figure 1.</w:t>
      </w:r>
    </w:p>
    <w:p w14:paraId="7926F402" w14:textId="77777777" w:rsidR="00171665" w:rsidRPr="00171665" w:rsidRDefault="00171665" w:rsidP="00171665">
      <w:pPr>
        <w:pStyle w:val="NormalWeb"/>
        <w:numPr>
          <w:ilvl w:val="0"/>
          <w:numId w:val="8"/>
        </w:numPr>
      </w:pPr>
      <w:r w:rsidRPr="00171665">
        <w:rPr>
          <w:b/>
          <w:bCs/>
        </w:rPr>
        <w:t>The Operational-Stakeholder Nexus:</w:t>
      </w:r>
      <w:r w:rsidRPr="00171665">
        <w:t xml:space="preserve"> The logistical imperative of maintaining operations (Challenge 1) is the primary driver of stakeholder dynamics (Challenge 2). For instance, a decision to conduct noisy piling work outside auction hours may appease tenants but could lead to extended construction programmes and night-time noise that angers the local community. Conversely, acceding to community demands for restricted work hours could directly threaten operational continuity by delaying critical path activities. This creates a stakeholder management tightrope </w:t>
      </w:r>
      <w:proofErr w:type="gramStart"/>
      <w:r w:rsidRPr="00171665">
        <w:t>where</w:t>
      </w:r>
      <w:proofErr w:type="gramEnd"/>
      <w:r w:rsidRPr="00171665">
        <w:t xml:space="preserve"> satisfying one group often risks alienating another. The constraints of the operational site also directly impact stakeholder experience, manifesting as increased traffic congestion from construction vehicles sharing limited access routes with customers and suppliers.</w:t>
      </w:r>
    </w:p>
    <w:p w14:paraId="666BEE3B" w14:textId="77777777" w:rsidR="00171665" w:rsidRPr="00171665" w:rsidRDefault="00171665" w:rsidP="00171665">
      <w:pPr>
        <w:pStyle w:val="NormalWeb"/>
        <w:numPr>
          <w:ilvl w:val="0"/>
          <w:numId w:val="8"/>
        </w:numPr>
      </w:pPr>
      <w:r w:rsidRPr="00171665">
        <w:rPr>
          <w:b/>
          <w:bCs/>
        </w:rPr>
        <w:t>The Sustainability-Operations Trade-off:</w:t>
      </w:r>
      <w:r w:rsidRPr="00171665">
        <w:t> The pursuit of premium sustainability outcomes (Challenge 3) often introduces complexity and cost that can conflict with operational and logistical goals (Challenge 1). For example, sourcing specialised low-carbon concrete or installing a complex blackwater treatment plant may have longer lead times and higher initial costs, potentially straining the project budget and schedule. The sophisticated building services required for a 6-Star rating demand more space and more complex coordination in an already congested site, complicating the logistical puzzle. The marine remediation works, while environmentally beneficial, represent a high-risk activity that must be perfectly sequenced to avoid impacting the sensitive operations of the adjacent live market.</w:t>
      </w:r>
    </w:p>
    <w:p w14:paraId="559F30DD" w14:textId="77777777" w:rsidR="00171665" w:rsidRPr="00171665" w:rsidRDefault="00171665" w:rsidP="00171665">
      <w:pPr>
        <w:pStyle w:val="NormalWeb"/>
        <w:numPr>
          <w:ilvl w:val="0"/>
          <w:numId w:val="8"/>
        </w:numPr>
      </w:pPr>
      <w:r w:rsidRPr="00171665">
        <w:rPr>
          <w:b/>
          <w:bCs/>
        </w:rPr>
        <w:t>The Interdependence of Sustainability and Social Licence:</w:t>
      </w:r>
      <w:r w:rsidRPr="00171665">
        <w:t> The project’s "social licence to operate" is heavily influenced by its environmental credentials (Challenge 3). Proactive communication of sustainability benefits, such as public domain enhancements and water quality improvements, can be a powerful tool in building community support and mitigating opposition related to construction disruptions (Challenge 2). In this sense, the sustainability agenda is not just a technical challenge but a critical component of stakeholder management and risk mitigation.</w:t>
      </w:r>
    </w:p>
    <w:p w14:paraId="5722698C" w14:textId="77777777" w:rsidR="00171665" w:rsidRPr="00171665" w:rsidRDefault="00171665" w:rsidP="00171665">
      <w:pPr>
        <w:pStyle w:val="NormalWeb"/>
      </w:pPr>
      <w:r w:rsidRPr="00171665">
        <w:t>This analysis demonstrates that the challenges are not isolated silos but a deeply interconnected system. Effective project management, therefore, requires a systems-thinking approach that anticipates and manages these interactions, rather than optimising for one challenge at the expense of the others.</w:t>
      </w:r>
    </w:p>
    <w:p w14:paraId="15517EAC" w14:textId="58EB15F7" w:rsidR="00C37E85" w:rsidRDefault="00C37E85" w:rsidP="00C37E85">
      <w:pPr>
        <w:pStyle w:val="Heading2"/>
      </w:pPr>
      <w:r>
        <w:lastRenderedPageBreak/>
        <w:t xml:space="preserve">3. </w:t>
      </w:r>
      <w:r w:rsidR="001F3836" w:rsidRPr="001F3836">
        <w:t>Review of Local and International Best Practice</w:t>
      </w:r>
    </w:p>
    <w:p w14:paraId="66AE6A4A" w14:textId="77777777" w:rsidR="001F3836" w:rsidRPr="001F3836" w:rsidRDefault="001F3836" w:rsidP="001F3836">
      <w:pPr>
        <w:pStyle w:val="NormalWeb"/>
      </w:pPr>
      <w:r w:rsidRPr="001F3836">
        <w:t>Examining how analogous projects have navigated similar challenges provides a valuable repository of strategies and lessons for the Australian construction industry.</w:t>
      </w:r>
    </w:p>
    <w:p w14:paraId="4C307425" w14:textId="77777777" w:rsidR="001F3836" w:rsidRPr="001F3836" w:rsidRDefault="001F3836" w:rsidP="001F3836">
      <w:pPr>
        <w:pStyle w:val="NormalWeb"/>
      </w:pPr>
      <w:r w:rsidRPr="001F3836">
        <w:rPr>
          <w:b/>
          <w:bCs/>
        </w:rPr>
        <w:t>3.1 International Best Practice: Billingsgate Market Redevelopment, London</w:t>
      </w:r>
    </w:p>
    <w:p w14:paraId="79E4926B" w14:textId="77777777" w:rsidR="001F3836" w:rsidRPr="001F3836" w:rsidRDefault="001F3836" w:rsidP="001F3836">
      <w:pPr>
        <w:pStyle w:val="NormalWeb"/>
      </w:pPr>
      <w:r w:rsidRPr="001F3836">
        <w:t xml:space="preserve">The relocation and redevelopment of London's historic Billingsgate Market </w:t>
      </w:r>
      <w:proofErr w:type="gramStart"/>
      <w:r w:rsidRPr="001F3836">
        <w:t>offers</w:t>
      </w:r>
      <w:proofErr w:type="gramEnd"/>
      <w:r w:rsidRPr="001F3836">
        <w:t xml:space="preserve"> a directly comparable case study in managing operational continuity. Faced with a dilapidated facility, the project involved a carefully orchestrated decanting strategy. The new market was constructed on a separate, prepared site at Dagenham Dock before the old market was closed, allowing for a single, planned transition over a weekend (City of London Corporation, 2021). This approach </w:t>
      </w:r>
      <w:proofErr w:type="gramStart"/>
      <w:r w:rsidRPr="001F3836">
        <w:t>completely eliminated</w:t>
      </w:r>
      <w:proofErr w:type="gramEnd"/>
      <w:r w:rsidRPr="001F3836">
        <w:t xml:space="preserve"> the challenge of building on a live site, albeit at the cost of requiring and securing a separate parcel of land. For the NSFM, where relocation was not feasible, the lesson is the criticality of </w:t>
      </w:r>
      <w:r w:rsidRPr="001F3836">
        <w:rPr>
          <w:b/>
          <w:bCs/>
        </w:rPr>
        <w:t>phased construction and temporal sequencing</w:t>
      </w:r>
      <w:r w:rsidRPr="001F3836">
        <w:t>. The Billingsgate example underscores the value of exploring all options for decanting, even partial, to create "breathing space" for major construction activities, thereby de-risking the programme and reducing logistical complexity.</w:t>
      </w:r>
    </w:p>
    <w:p w14:paraId="50D2110D" w14:textId="77777777" w:rsidR="001F3836" w:rsidRPr="001F3836" w:rsidRDefault="001F3836" w:rsidP="001F3836">
      <w:pPr>
        <w:pStyle w:val="NormalWeb"/>
      </w:pPr>
      <w:r w:rsidRPr="001F3836">
        <w:rPr>
          <w:b/>
          <w:bCs/>
        </w:rPr>
        <w:t>3.2 International Best Practice: Rotterdam Market Hall, Netherlands</w:t>
      </w:r>
    </w:p>
    <w:p w14:paraId="25E4F511" w14:textId="77777777" w:rsidR="001F3836" w:rsidRPr="001F3836" w:rsidRDefault="001F3836" w:rsidP="001F3836">
      <w:pPr>
        <w:pStyle w:val="NormalWeb"/>
      </w:pPr>
      <w:r w:rsidRPr="001F3836">
        <w:t>While not a fish market, the Rotterdam Markthal is a stellar example of integrating complex functions and managing stakeholder expectations through visionary design. The project combines a large public market, a residential apartment block, retail, and parking within a single, iconic arch-shaped structure (MVRDV, 2014). Its success lies in its fully integrated design, where the architectural form itself became a tool for mitigating stakeholder concerns (e.g., soundproofing for residents) and creating a landmark that garnered widespread public support. The extensive use of Building Information Modelling (BIM) to coordinate the immensely complex structure, including its famed artwork on the interior ceiling, was a key enabler. This case demonstrates for the NSFM the power of </w:t>
      </w:r>
      <w:r w:rsidRPr="001F3836">
        <w:rPr>
          <w:b/>
          <w:bCs/>
        </w:rPr>
        <w:t>architectural innovation and integrated digital delivery</w:t>
      </w:r>
      <w:r w:rsidRPr="001F3836">
        <w:t> in resolving functional conflicts and building a strong, positive narrative that can outweigh transient construction-phase complaints.</w:t>
      </w:r>
    </w:p>
    <w:p w14:paraId="5B9A62BE" w14:textId="77777777" w:rsidR="001F3836" w:rsidRPr="001F3836" w:rsidRDefault="001F3836" w:rsidP="001F3836">
      <w:pPr>
        <w:pStyle w:val="NormalWeb"/>
      </w:pPr>
      <w:r w:rsidRPr="001F3836">
        <w:rPr>
          <w:b/>
          <w:bCs/>
        </w:rPr>
        <w:t>Page 6</w:t>
      </w:r>
    </w:p>
    <w:p w14:paraId="4CCAFD7F" w14:textId="77777777" w:rsidR="001F3836" w:rsidRPr="001F3836" w:rsidRDefault="001F3836" w:rsidP="001F3836">
      <w:pPr>
        <w:pStyle w:val="NormalWeb"/>
      </w:pPr>
      <w:r w:rsidRPr="001F3836">
        <w:rPr>
          <w:b/>
          <w:bCs/>
        </w:rPr>
        <w:t>3.3 Local Best Practice: Barangaroo South Redevelopment, Sydney</w:t>
      </w:r>
    </w:p>
    <w:p w14:paraId="727550D1" w14:textId="48E4DD6F" w:rsidR="00C37E85" w:rsidRDefault="001F3836" w:rsidP="001F3836">
      <w:pPr>
        <w:pStyle w:val="NormalWeb"/>
      </w:pPr>
      <w:r w:rsidRPr="001F3836">
        <w:t>The Barangaroo South precinct in Sydney provides a relevant local benchmark for achieving sustainability and managing stakeholder interests on a constrained waterfront site. The project achieved a 6-Star Green Star – Precinct rating, partly through the implementation of a centralised water recycling plant and tri-generation energy system (Lendlease, 2016). The key lesson is the move towards </w:t>
      </w:r>
      <w:r w:rsidRPr="001F3836">
        <w:rPr>
          <w:b/>
          <w:bCs/>
        </w:rPr>
        <w:t>centralised, precinct-scale infrastructure</w:t>
      </w:r>
      <w:r w:rsidRPr="001F3836">
        <w:t>, which can be more efficient and resilient than individual building systems. For the NSFM, this suggests exploring opportunities for sharing energy or water treatment infrastructure with future developments in the Blackwattle Bay precinct. Furthermore, Barangaroo’s success was underpinned by a sophisticated stakeholder engagement plan that included a "Community Engagement Panel" with independent chairs, providing a transparent forum for addressing concerns (Barangaroo Delivery Authority, 2015). This model of </w:t>
      </w:r>
      <w:r w:rsidRPr="001F3836">
        <w:rPr>
          <w:b/>
          <w:bCs/>
        </w:rPr>
        <w:t>structured, independent-</w:t>
      </w:r>
      <w:r w:rsidRPr="001F3836">
        <w:rPr>
          <w:b/>
          <w:bCs/>
        </w:rPr>
        <w:lastRenderedPageBreak/>
        <w:t>facilitated engagement</w:t>
      </w:r>
      <w:r w:rsidRPr="001F3836">
        <w:t> could be effectively applied to the complex stakeholder landscape of the Fish Market project.</w:t>
      </w:r>
    </w:p>
    <w:p w14:paraId="19AA54F2" w14:textId="1D78F422" w:rsidR="00C37E85" w:rsidRDefault="00C37E85" w:rsidP="00C37E85">
      <w:pPr>
        <w:pStyle w:val="Heading2"/>
      </w:pPr>
      <w:r>
        <w:t xml:space="preserve">4. </w:t>
      </w:r>
      <w:r w:rsidR="00152F50" w:rsidRPr="00152F50">
        <w:t>Emerging Opportunities and Future Development</w:t>
      </w:r>
    </w:p>
    <w:p w14:paraId="75945BA1" w14:textId="77777777" w:rsidR="00152F50" w:rsidRPr="00152F50" w:rsidRDefault="00152F50" w:rsidP="00152F50">
      <w:pPr>
        <w:pStyle w:val="NormalWeb"/>
      </w:pPr>
      <w:r w:rsidRPr="00152F50">
        <w:t>The challenges of the NSFM project, while formidable, illuminate a clear pathway for the evolution of the Australian construction industry. By embracing emerging opportunities, future projects can transform similar complexities from risks into sources of value.</w:t>
      </w:r>
    </w:p>
    <w:p w14:paraId="578C2D85" w14:textId="77777777" w:rsidR="00152F50" w:rsidRPr="00152F50" w:rsidRDefault="00152F50" w:rsidP="00152F50">
      <w:pPr>
        <w:pStyle w:val="NormalWeb"/>
      </w:pPr>
      <w:r w:rsidRPr="00152F50">
        <w:rPr>
          <w:b/>
          <w:bCs/>
        </w:rPr>
        <w:t>4.1 Adoption of Collaborative Contracting Models</w:t>
      </w:r>
    </w:p>
    <w:p w14:paraId="37BB1D1C" w14:textId="77777777" w:rsidR="00152F50" w:rsidRPr="00152F50" w:rsidRDefault="00152F50" w:rsidP="00152F50">
      <w:pPr>
        <w:pStyle w:val="NormalWeb"/>
      </w:pPr>
      <w:r w:rsidRPr="00152F50">
        <w:t>The adversarial nature of traditional design-bid-build contracts is ill-suited for managing the interconnected challenges of projects like the NSFM. The industry must shift towards relational contracting models such as </w:t>
      </w:r>
      <w:r w:rsidRPr="00152F50">
        <w:rPr>
          <w:b/>
          <w:bCs/>
        </w:rPr>
        <w:t>Alliancing or Integrated Project Delivery (IPD)</w:t>
      </w:r>
      <w:r w:rsidRPr="00152F50">
        <w:t>. In an IPD model, the client, designer, and key contractors form a single team early in the design phase, sharing both risks and rewards based on overarching project outcomes (Lahdenperä, 2012). This creates a culture of collaboration, not confrontation. For the NSFM, an alliance could have fostered joint problem-solving between the builders and fish merchants to develop innovative logistical sequences, or between the services engineer and sustainability manager to value-manage the 6-Star Green Star targets without compromising performance. This model directly addresses the intrinsic connections between challenges by incentivising all parties to optimise for the whole project, not their individual silos.</w:t>
      </w:r>
    </w:p>
    <w:p w14:paraId="20589430" w14:textId="77777777" w:rsidR="00152F50" w:rsidRPr="00152F50" w:rsidRDefault="00152F50" w:rsidP="00152F50">
      <w:pPr>
        <w:pStyle w:val="NormalWeb"/>
      </w:pPr>
      <w:r w:rsidRPr="00152F50">
        <w:rPr>
          <w:b/>
          <w:bCs/>
        </w:rPr>
        <w:t>4.2 Implementation of a Living Digital Twin</w:t>
      </w:r>
    </w:p>
    <w:p w14:paraId="0139C730" w14:textId="77777777" w:rsidR="00152F50" w:rsidRPr="00152F50" w:rsidRDefault="00152F50" w:rsidP="00152F50">
      <w:pPr>
        <w:pStyle w:val="NormalWeb"/>
      </w:pPr>
      <w:r w:rsidRPr="00152F50">
        <w:t>While BIM is now commonplace, its evolution into a dynamic "Digital Twin" represents a quantum leap in project control. A Digital Twin is a live, data-connected virtual model of the asset that updates in real-time based on inputs from sensors on site (IoT), construction progress, and operational data (Boje, et al., 2020). For a project like the NSFM, a Digital Twin could be used to:</w:t>
      </w:r>
    </w:p>
    <w:p w14:paraId="209B366F" w14:textId="77777777" w:rsidR="00152F50" w:rsidRPr="00152F50" w:rsidRDefault="00152F50" w:rsidP="00152F50">
      <w:pPr>
        <w:pStyle w:val="NormalWeb"/>
        <w:numPr>
          <w:ilvl w:val="0"/>
          <w:numId w:val="9"/>
        </w:numPr>
      </w:pPr>
      <w:r w:rsidRPr="00152F50">
        <w:rPr>
          <w:b/>
          <w:bCs/>
        </w:rPr>
        <w:t>Simulate Logistics:</w:t>
      </w:r>
      <w:r w:rsidRPr="00152F50">
        <w:t> Run complex simulations of construction vehicle movements, crane lifts, and material delivery schedules against the live auction timetable to identify and mitigate conflicts before they occur on site.</w:t>
      </w:r>
    </w:p>
    <w:p w14:paraId="7D840A6D" w14:textId="77777777" w:rsidR="00152F50" w:rsidRPr="00152F50" w:rsidRDefault="00152F50" w:rsidP="00152F50">
      <w:pPr>
        <w:pStyle w:val="NormalWeb"/>
        <w:numPr>
          <w:ilvl w:val="0"/>
          <w:numId w:val="9"/>
        </w:numPr>
      </w:pPr>
      <w:r w:rsidRPr="00152F50">
        <w:rPr>
          <w:b/>
          <w:bCs/>
        </w:rPr>
        <w:t>Monitor Sustainability Performance:</w:t>
      </w:r>
      <w:r w:rsidRPr="00152F50">
        <w:t> Integrate real-time sensors for water quality, dust, and noise, allowing for immediate corrective action and automated reporting to regulators and the community.</w:t>
      </w:r>
    </w:p>
    <w:p w14:paraId="4D90F597" w14:textId="77777777" w:rsidR="00152F50" w:rsidRPr="00152F50" w:rsidRDefault="00152F50" w:rsidP="00152F50">
      <w:pPr>
        <w:pStyle w:val="NormalWeb"/>
        <w:numPr>
          <w:ilvl w:val="0"/>
          <w:numId w:val="9"/>
        </w:numPr>
      </w:pPr>
      <w:r w:rsidRPr="00152F50">
        <w:rPr>
          <w:b/>
          <w:bCs/>
        </w:rPr>
        <w:t>Manage Stakeholder Communication:</w:t>
      </w:r>
      <w:r w:rsidRPr="00152F50">
        <w:t> Use the visually intuitive model in public forums to clearly explain construction impacts and the benefits of the final design, building trust and transparency.</w:t>
      </w:r>
    </w:p>
    <w:p w14:paraId="4D2A78FF" w14:textId="77777777" w:rsidR="00152F50" w:rsidRPr="00152F50" w:rsidRDefault="00152F50" w:rsidP="00152F50">
      <w:pPr>
        <w:pStyle w:val="NormalWeb"/>
      </w:pPr>
      <w:r w:rsidRPr="00152F50">
        <w:rPr>
          <w:b/>
          <w:bCs/>
        </w:rPr>
        <w:t>Page 7</w:t>
      </w:r>
    </w:p>
    <w:p w14:paraId="7170B1FD" w14:textId="77777777" w:rsidR="00152F50" w:rsidRPr="00152F50" w:rsidRDefault="00152F50" w:rsidP="00152F50">
      <w:pPr>
        <w:pStyle w:val="NormalWeb"/>
      </w:pPr>
      <w:r w:rsidRPr="00152F50">
        <w:t>The implementation of a Digital Twin moves project management from a reactive to a predictive and proactive stance, directly enhancing the ability to manage intertwined logistical, environmental, and stakeholder challenges.</w:t>
      </w:r>
    </w:p>
    <w:p w14:paraId="0B693192" w14:textId="77777777" w:rsidR="00152F50" w:rsidRPr="00152F50" w:rsidRDefault="00152F50" w:rsidP="00152F50">
      <w:pPr>
        <w:pStyle w:val="NormalWeb"/>
      </w:pPr>
      <w:r w:rsidRPr="00152F50">
        <w:rPr>
          <w:b/>
          <w:bCs/>
        </w:rPr>
        <w:t>4.3 Embracing Circular Economy Principles</w:t>
      </w:r>
    </w:p>
    <w:p w14:paraId="5D9F6EDA" w14:textId="77777777" w:rsidR="00152F50" w:rsidRPr="00152F50" w:rsidRDefault="00152F50" w:rsidP="00152F50">
      <w:pPr>
        <w:pStyle w:val="NormalWeb"/>
      </w:pPr>
      <w:r w:rsidRPr="00152F50">
        <w:lastRenderedPageBreak/>
        <w:t>The construction industry is a major consumer of raw materials and generator of waste. The NSFM project, with its high sustainability ambitions, presents an ideal opportunity to champion the circular economy. This involves moving beyond recycling to a paradigm of "designing out waste." Opportunities include:</w:t>
      </w:r>
    </w:p>
    <w:p w14:paraId="486C7F9B" w14:textId="77777777" w:rsidR="00152F50" w:rsidRPr="00152F50" w:rsidRDefault="00152F50" w:rsidP="00152F50">
      <w:pPr>
        <w:pStyle w:val="NormalWeb"/>
        <w:numPr>
          <w:ilvl w:val="0"/>
          <w:numId w:val="10"/>
        </w:numPr>
      </w:pPr>
      <w:r w:rsidRPr="00152F50">
        <w:rPr>
          <w:b/>
          <w:bCs/>
        </w:rPr>
        <w:t>Mandating Material Passports:</w:t>
      </w:r>
      <w:r w:rsidRPr="00152F50">
        <w:t> Requiring that all major building components have a digital record of their material composition, facilitating future disassembly and reuse (Honic, et al., 2021).</w:t>
      </w:r>
    </w:p>
    <w:p w14:paraId="0568320E" w14:textId="77777777" w:rsidR="00152F50" w:rsidRPr="00152F50" w:rsidRDefault="00152F50" w:rsidP="00152F50">
      <w:pPr>
        <w:pStyle w:val="NormalWeb"/>
        <w:numPr>
          <w:ilvl w:val="0"/>
          <w:numId w:val="10"/>
        </w:numPr>
      </w:pPr>
      <w:r w:rsidRPr="00152F50">
        <w:rPr>
          <w:b/>
          <w:bCs/>
        </w:rPr>
        <w:t>Using Low-Carbon Concrete:</w:t>
      </w:r>
      <w:r w:rsidRPr="00152F50">
        <w:t> Specifying geopolymer or other alternative concrete mixes for the massive substructure, significantly reducing the project's embodied carbon footprint.</w:t>
      </w:r>
    </w:p>
    <w:p w14:paraId="09550746" w14:textId="77777777" w:rsidR="00152F50" w:rsidRPr="00152F50" w:rsidRDefault="00152F50" w:rsidP="00152F50">
      <w:pPr>
        <w:pStyle w:val="NormalWeb"/>
        <w:numPr>
          <w:ilvl w:val="0"/>
          <w:numId w:val="10"/>
        </w:numPr>
      </w:pPr>
      <w:r w:rsidRPr="00152F50">
        <w:rPr>
          <w:b/>
          <w:bCs/>
        </w:rPr>
        <w:t>Sourcing Recycled Content:</w:t>
      </w:r>
      <w:r w:rsidRPr="00152F50">
        <w:t> Actively prioritising structural steel with high recycled content and using reclaimed timber for public domain furniture.</w:t>
      </w:r>
    </w:p>
    <w:p w14:paraId="1E04C726" w14:textId="77777777" w:rsidR="00152F50" w:rsidRPr="00152F50" w:rsidRDefault="00152F50" w:rsidP="00152F50">
      <w:pPr>
        <w:pStyle w:val="NormalWeb"/>
      </w:pPr>
      <w:r w:rsidRPr="00152F50">
        <w:t>To incentivise this, governments should update tender evaluation criteria to significantly weight circular economy principles, moving beyond a narrow focus on upfront capital cost. This would drive innovation and make sustainable choices commercially viable.</w:t>
      </w:r>
    </w:p>
    <w:p w14:paraId="3858B18E" w14:textId="77777777" w:rsidR="00152F50" w:rsidRPr="00152F50" w:rsidRDefault="00152F50" w:rsidP="00152F50">
      <w:pPr>
        <w:pStyle w:val="NormalWeb"/>
      </w:pPr>
      <w:r w:rsidRPr="00152F50">
        <w:rPr>
          <w:b/>
          <w:bCs/>
        </w:rPr>
        <w:t>4.4 Enhanced Regulatory and Policy Frameworks</w:t>
      </w:r>
    </w:p>
    <w:p w14:paraId="3DA069A1" w14:textId="77777777" w:rsidR="00152F50" w:rsidRPr="00152F50" w:rsidRDefault="00152F50" w:rsidP="00152F50">
      <w:pPr>
        <w:pStyle w:val="NormalWeb"/>
      </w:pPr>
      <w:r w:rsidRPr="00152F50">
        <w:t>Government can play a transformative role by creating a policy environment that rewards best practice. For complex urban projects, this could involve:</w:t>
      </w:r>
    </w:p>
    <w:p w14:paraId="4E01258C" w14:textId="77777777" w:rsidR="00152F50" w:rsidRPr="00152F50" w:rsidRDefault="00152F50" w:rsidP="00152F50">
      <w:pPr>
        <w:pStyle w:val="NormalWeb"/>
        <w:numPr>
          <w:ilvl w:val="0"/>
          <w:numId w:val="11"/>
        </w:numPr>
      </w:pPr>
      <w:r w:rsidRPr="00152F50">
        <w:rPr>
          <w:b/>
          <w:bCs/>
        </w:rPr>
        <w:t>Streamlined Approvals:</w:t>
      </w:r>
      <w:r w:rsidRPr="00152F50">
        <w:t> Creating a fast-tracked planning pathway for projects that demonstrably exceed sustainability benchmarks and commit to collaborative contracting.</w:t>
      </w:r>
    </w:p>
    <w:p w14:paraId="1D0A4075" w14:textId="77777777" w:rsidR="00152F50" w:rsidRPr="00152F50" w:rsidRDefault="00152F50" w:rsidP="00152F50">
      <w:pPr>
        <w:pStyle w:val="NormalWeb"/>
        <w:numPr>
          <w:ilvl w:val="0"/>
          <w:numId w:val="11"/>
        </w:numPr>
      </w:pPr>
      <w:r w:rsidRPr="00152F50">
        <w:rPr>
          <w:b/>
          <w:bCs/>
        </w:rPr>
        <w:t>Outcome-Based Regulation:</w:t>
      </w:r>
      <w:r w:rsidRPr="00152F50">
        <w:t> Shifting from prescriptive codes (e.g., specifying pipe sizes) to performance-based outcomes (e.g., requiring a 50% reduction in potable water use), giving designers and contractors the freedom to innovate to achieve the best result.</w:t>
      </w:r>
    </w:p>
    <w:p w14:paraId="2D577EC1" w14:textId="77777777" w:rsidR="00152F50" w:rsidRPr="00152F50" w:rsidRDefault="00152F50" w:rsidP="00152F50">
      <w:pPr>
        <w:pStyle w:val="NormalWeb"/>
        <w:numPr>
          <w:ilvl w:val="0"/>
          <w:numId w:val="11"/>
        </w:numPr>
      </w:pPr>
      <w:r w:rsidRPr="00152F50">
        <w:rPr>
          <w:b/>
          <w:bCs/>
        </w:rPr>
        <w:t>Skills Development:</w:t>
      </w:r>
      <w:r w:rsidRPr="00152F50">
        <w:t> Funding industry-wide upskilling in digital technologies (BIM, Digital Twin) and collaborative contracting, ensuring the workforce is equipped to deliver these new project models.</w:t>
      </w:r>
    </w:p>
    <w:p w14:paraId="0E789532" w14:textId="0534E57F" w:rsidR="00C37E85" w:rsidRDefault="00152F50" w:rsidP="001D5BA6">
      <w:pPr>
        <w:pStyle w:val="NormalWeb"/>
      </w:pPr>
      <w:r w:rsidRPr="00152F50">
        <w:t>By aligning policy with industry best practice, government can act as a catalyst for the systemic change required to deliver the next generation of Australia's infrastructure.</w:t>
      </w:r>
      <w:r w:rsidR="00C37E85">
        <w:br/>
      </w:r>
    </w:p>
    <w:p w14:paraId="43005DCE" w14:textId="2B50A5D6" w:rsidR="00C37E85" w:rsidRDefault="001D5BA6" w:rsidP="00C37E85">
      <w:pPr>
        <w:pStyle w:val="Heading2"/>
      </w:pPr>
      <w:r>
        <w:t>5</w:t>
      </w:r>
      <w:r w:rsidR="00C37E85">
        <w:t>. Conclusion</w:t>
      </w:r>
    </w:p>
    <w:p w14:paraId="4C4D32A0" w14:textId="77777777" w:rsidR="005852A7" w:rsidRPr="005852A7" w:rsidRDefault="005852A7" w:rsidP="005852A7">
      <w:pPr>
        <w:pStyle w:val="NormalWeb"/>
      </w:pPr>
      <w:r w:rsidRPr="005852A7">
        <w:t>The New Sydney Fish Market project serves as a powerful microcosm of the grand challenges facing the Australian construction industry. It demonstrates with stark clarity that the complexities of modern mega-projects are not merely technical or logistical, but are deeply systemic, arising from the intricate interplay between operational imperatives, multifaceted stakeholder relationships, and ambitious sustainability goals. The analysis confirms that these challenges are intrinsically linked; a solution in one domain can inadvertently create a problem in another, demanding a holistic, systems-thinking approach to project management.</w:t>
      </w:r>
    </w:p>
    <w:p w14:paraId="001B7BFC" w14:textId="6443826F" w:rsidR="00C37E85" w:rsidRDefault="005852A7" w:rsidP="005852A7">
      <w:pPr>
        <w:pStyle w:val="NormalWeb"/>
      </w:pPr>
      <w:r w:rsidRPr="005852A7">
        <w:lastRenderedPageBreak/>
        <w:t xml:space="preserve">This case study illuminates a viable path forward. By learning from international best practices in phased decanting and integrated design, and by courageously embracing emerging opportunities in collaborative contracting, digital twin technology, and the circular economy, the industry can fundamentally enhance its capability and capacity. The successful delivery of the nation's future infrastructure portfolio—be it urban renewal, energy transition, or transport links—depends on this evolution. The lessons from Blackwattle Bay are clear: the era of siloed, transactional project delivery is ending. The future belongs to integrated, </w:t>
      </w:r>
      <w:proofErr w:type="gramStart"/>
      <w:r w:rsidRPr="005852A7">
        <w:t>digitally-enabled</w:t>
      </w:r>
      <w:proofErr w:type="gramEnd"/>
      <w:r w:rsidRPr="005852A7">
        <w:t xml:space="preserve">, and </w:t>
      </w:r>
      <w:proofErr w:type="gramStart"/>
      <w:r w:rsidRPr="005852A7">
        <w:t>collaboratively-driven</w:t>
      </w:r>
      <w:proofErr w:type="gramEnd"/>
      <w:r w:rsidRPr="005852A7">
        <w:t xml:space="preserve"> models that </w:t>
      </w:r>
      <w:proofErr w:type="gramStart"/>
      <w:r w:rsidRPr="005852A7">
        <w:t>are capable of turning</w:t>
      </w:r>
      <w:proofErr w:type="gramEnd"/>
      <w:r w:rsidRPr="005852A7">
        <w:t xml:space="preserve"> the grandest of challenges into lasting legacies of value, sustainability, and community benefit.</w:t>
      </w:r>
    </w:p>
    <w:p w14:paraId="39702559" w14:textId="77777777" w:rsidR="00C37E85" w:rsidRDefault="005852A7" w:rsidP="00C37E85">
      <w:r>
        <w:pict w14:anchorId="1568EBC4">
          <v:rect id="_x0000_i1025" style="width:0;height:1.5pt" o:hralign="center" o:hrstd="t" o:hr="t" fillcolor="#a0a0a0" stroked="f"/>
        </w:pict>
      </w:r>
    </w:p>
    <w:p w14:paraId="1E55A705" w14:textId="77777777" w:rsidR="00C37E85" w:rsidRDefault="00C37E85" w:rsidP="00C37E85">
      <w:pPr>
        <w:pStyle w:val="Heading2"/>
      </w:pPr>
      <w:r>
        <w:t>References</w:t>
      </w:r>
    </w:p>
    <w:p w14:paraId="1C3B1D80" w14:textId="77777777" w:rsidR="005852A7" w:rsidRPr="005852A7" w:rsidRDefault="005852A7" w:rsidP="005852A7">
      <w:pPr>
        <w:pStyle w:val="NormalWeb"/>
      </w:pPr>
      <w:r w:rsidRPr="005852A7">
        <w:t>Barangaroo Delivery Authority. (2015). *Annual Report 2014-15*. [Online] Available at: </w:t>
      </w:r>
      <w:hyperlink r:id="rId7" w:tgtFrame="_blank" w:history="1">
        <w:r w:rsidRPr="005852A7">
          <w:rPr>
            <w:rStyle w:val="Hyperlink"/>
          </w:rPr>
          <w:t>https://www.barangaroo.com/</w:t>
        </w:r>
      </w:hyperlink>
      <w:r w:rsidRPr="005852A7">
        <w:t> (Accessed: 18 October 2025).</w:t>
      </w:r>
    </w:p>
    <w:p w14:paraId="22E77697" w14:textId="77777777" w:rsidR="005852A7" w:rsidRPr="005852A7" w:rsidRDefault="005852A7" w:rsidP="005852A7">
      <w:pPr>
        <w:pStyle w:val="NormalWeb"/>
      </w:pPr>
      <w:r w:rsidRPr="005852A7">
        <w:t>Boje, C., Guerriero, A., Kubicki, S. &amp; Rezgui, Y. (2020). 'Towards a semantic Digital Twin: Lessons learned from industry 4.0', </w:t>
      </w:r>
      <w:r w:rsidRPr="005852A7">
        <w:rPr>
          <w:i/>
          <w:iCs/>
        </w:rPr>
        <w:t>Automation in Construction</w:t>
      </w:r>
      <w:r w:rsidRPr="005852A7">
        <w:t>, 114, p. 103187.</w:t>
      </w:r>
    </w:p>
    <w:p w14:paraId="24BD5673" w14:textId="77777777" w:rsidR="005852A7" w:rsidRPr="005852A7" w:rsidRDefault="005852A7" w:rsidP="005852A7">
      <w:pPr>
        <w:pStyle w:val="NormalWeb"/>
      </w:pPr>
      <w:r w:rsidRPr="005852A7">
        <w:t>City of London Corporation. (2021). </w:t>
      </w:r>
      <w:r w:rsidRPr="005852A7">
        <w:rPr>
          <w:i/>
          <w:iCs/>
        </w:rPr>
        <w:t>Billingsgate Market: The Future</w:t>
      </w:r>
      <w:r w:rsidRPr="005852A7">
        <w:t>. [Online] Available at: </w:t>
      </w:r>
      <w:hyperlink r:id="rId8" w:tgtFrame="_blank" w:history="1">
        <w:r w:rsidRPr="005852A7">
          <w:rPr>
            <w:rStyle w:val="Hyperlink"/>
          </w:rPr>
          <w:t>https://www.cityoflondon.gov.uk/</w:t>
        </w:r>
      </w:hyperlink>
      <w:r w:rsidRPr="005852A7">
        <w:t> (Accessed: 17 October 2025).</w:t>
      </w:r>
    </w:p>
    <w:p w14:paraId="0EAA3A38" w14:textId="77777777" w:rsidR="005852A7" w:rsidRPr="005852A7" w:rsidRDefault="005852A7" w:rsidP="005852A7">
      <w:pPr>
        <w:pStyle w:val="NormalWeb"/>
      </w:pPr>
      <w:r w:rsidRPr="005852A7">
        <w:t>Flyvbjerg, B. (2017). </w:t>
      </w:r>
      <w:r w:rsidRPr="005852A7">
        <w:rPr>
          <w:i/>
          <w:iCs/>
        </w:rPr>
        <w:t>The Oxford Handbook of Megaproject Management</w:t>
      </w:r>
      <w:r w:rsidRPr="005852A7">
        <w:t>. Oxford: Oxford University Press.</w:t>
      </w:r>
    </w:p>
    <w:p w14:paraId="338831EA" w14:textId="77777777" w:rsidR="005852A7" w:rsidRPr="005852A7" w:rsidRDefault="005852A7" w:rsidP="005852A7">
      <w:pPr>
        <w:pStyle w:val="NormalWeb"/>
      </w:pPr>
      <w:r w:rsidRPr="005852A7">
        <w:t>Green Building Council of Australia (GBCA). (2023). *Green Star - Design &amp; As Built v1.3*. [Online] Available at: </w:t>
      </w:r>
      <w:hyperlink r:id="rId9" w:tgtFrame="_blank" w:history="1">
        <w:r w:rsidRPr="005852A7">
          <w:rPr>
            <w:rStyle w:val="Hyperlink"/>
          </w:rPr>
          <w:t>https://new.gbca.org.au/</w:t>
        </w:r>
      </w:hyperlink>
      <w:r w:rsidRPr="005852A7">
        <w:t> (Accessed: 19 October 2025).</w:t>
      </w:r>
    </w:p>
    <w:p w14:paraId="0AEFA0FF" w14:textId="77777777" w:rsidR="005852A7" w:rsidRPr="005852A7" w:rsidRDefault="005852A7" w:rsidP="005852A7">
      <w:pPr>
        <w:pStyle w:val="NormalWeb"/>
      </w:pPr>
      <w:r w:rsidRPr="005852A7">
        <w:t>Honic, M., Kovacic, I. &amp; Rechberger, H. (2021). 'Material passports for refurbishment and renovation - A case study with a modular, reversible facade system', </w:t>
      </w:r>
      <w:r w:rsidRPr="005852A7">
        <w:rPr>
          <w:i/>
          <w:iCs/>
        </w:rPr>
        <w:t>Journal of Cleaner Production</w:t>
      </w:r>
      <w:r w:rsidRPr="005852A7">
        <w:t>, 278, p. 123433.</w:t>
      </w:r>
    </w:p>
    <w:p w14:paraId="260018F3" w14:textId="77777777" w:rsidR="005852A7" w:rsidRPr="005852A7" w:rsidRDefault="005852A7" w:rsidP="005852A7">
      <w:pPr>
        <w:pStyle w:val="NormalWeb"/>
      </w:pPr>
      <w:r w:rsidRPr="005852A7">
        <w:t>Infrastructure NSW. (2023). </w:t>
      </w:r>
      <w:r w:rsidRPr="005852A7">
        <w:rPr>
          <w:i/>
          <w:iCs/>
        </w:rPr>
        <w:t>New Sydney Fish Market: Project Overview</w:t>
      </w:r>
      <w:r w:rsidRPr="005852A7">
        <w:t>. [Online] Available at: </w:t>
      </w:r>
      <w:hyperlink r:id="rId10" w:tgtFrame="_blank" w:history="1">
        <w:r w:rsidRPr="005852A7">
          <w:rPr>
            <w:rStyle w:val="Hyperlink"/>
          </w:rPr>
          <w:t>https://www.infrastructure.nsw.gov.au/</w:t>
        </w:r>
      </w:hyperlink>
      <w:r w:rsidRPr="005852A7">
        <w:t> (Accessed: 15 October 2025).</w:t>
      </w:r>
    </w:p>
    <w:p w14:paraId="6CC9F299" w14:textId="77777777" w:rsidR="005852A7" w:rsidRPr="005852A7" w:rsidRDefault="005852A7" w:rsidP="005852A7">
      <w:pPr>
        <w:pStyle w:val="NormalWeb"/>
      </w:pPr>
      <w:r w:rsidRPr="005852A7">
        <w:t>Lahdenperä, P. (2012). 'Making sense of the multi-party contractual arrangements of project partnering, project alliancing and integrated project delivery', </w:t>
      </w:r>
      <w:r w:rsidRPr="005852A7">
        <w:rPr>
          <w:i/>
          <w:iCs/>
        </w:rPr>
        <w:t>Construction Management and Economics</w:t>
      </w:r>
      <w:r w:rsidRPr="005852A7">
        <w:t>, 30(1), pp. 57-79.</w:t>
      </w:r>
    </w:p>
    <w:p w14:paraId="1A6CCCFF" w14:textId="77777777" w:rsidR="005852A7" w:rsidRPr="005852A7" w:rsidRDefault="005852A7" w:rsidP="005852A7">
      <w:pPr>
        <w:pStyle w:val="NormalWeb"/>
      </w:pPr>
      <w:r w:rsidRPr="005852A7">
        <w:t>Lendlease. (2016). </w:t>
      </w:r>
      <w:r w:rsidRPr="005852A7">
        <w:rPr>
          <w:i/>
          <w:iCs/>
        </w:rPr>
        <w:t>Barangaroo South Sustainability Report 2016</w:t>
      </w:r>
      <w:r w:rsidRPr="005852A7">
        <w:t>. Sydney: Lendlease.</w:t>
      </w:r>
    </w:p>
    <w:p w14:paraId="5B011E63" w14:textId="77777777" w:rsidR="005852A7" w:rsidRPr="005852A7" w:rsidRDefault="005852A7" w:rsidP="005852A7">
      <w:pPr>
        <w:pStyle w:val="NormalWeb"/>
      </w:pPr>
      <w:r w:rsidRPr="005852A7">
        <w:t>MVRDV. (2014). </w:t>
      </w:r>
      <w:r w:rsidRPr="005852A7">
        <w:rPr>
          <w:i/>
          <w:iCs/>
        </w:rPr>
        <w:t>Markthal Rotterdam</w:t>
      </w:r>
      <w:r w:rsidRPr="005852A7">
        <w:t>. [Online] Available at: </w:t>
      </w:r>
      <w:hyperlink r:id="rId11" w:tgtFrame="_blank" w:history="1">
        <w:r w:rsidRPr="005852A7">
          <w:rPr>
            <w:rStyle w:val="Hyperlink"/>
          </w:rPr>
          <w:t>https://www.mvrdv.com/projects/</w:t>
        </w:r>
      </w:hyperlink>
      <w:r w:rsidRPr="005852A7">
        <w:t> (Accessed: 18 October 2025).</w:t>
      </w:r>
    </w:p>
    <w:p w14:paraId="56F52AF4" w14:textId="226B987C" w:rsidR="00C37E85" w:rsidRDefault="005852A7" w:rsidP="005852A7">
      <w:pPr>
        <w:pStyle w:val="NormalWeb"/>
      </w:pPr>
      <w:r w:rsidRPr="005852A7">
        <w:t>Sydney Fish Market. (2024). </w:t>
      </w:r>
      <w:r w:rsidRPr="005852A7">
        <w:rPr>
          <w:i/>
          <w:iCs/>
        </w:rPr>
        <w:t>Annual Report 2023</w:t>
      </w:r>
      <w:r w:rsidRPr="005852A7">
        <w:t>. Sydney: Sydney Fish Market Pty Ltd.</w:t>
      </w:r>
    </w:p>
    <w:p w14:paraId="054AB280" w14:textId="6920449F" w:rsidR="00C13BF4" w:rsidRPr="00B60B59" w:rsidRDefault="00C13BF4" w:rsidP="00B60B59"/>
    <w:sectPr w:rsidR="00C13BF4" w:rsidRPr="00B60B59">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01FB8" w14:textId="77777777" w:rsidR="009E501F" w:rsidRDefault="009E501F" w:rsidP="00A67186">
      <w:pPr>
        <w:spacing w:after="0" w:line="240" w:lineRule="auto"/>
      </w:pPr>
      <w:r>
        <w:separator/>
      </w:r>
    </w:p>
  </w:endnote>
  <w:endnote w:type="continuationSeparator" w:id="0">
    <w:p w14:paraId="5B1F0D1E" w14:textId="77777777" w:rsidR="009E501F" w:rsidRDefault="009E501F" w:rsidP="00A67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013672"/>
      <w:docPartObj>
        <w:docPartGallery w:val="Page Numbers (Bottom of Page)"/>
        <w:docPartUnique/>
      </w:docPartObj>
    </w:sdtPr>
    <w:sdtEndPr>
      <w:rPr>
        <w:noProof/>
      </w:rPr>
    </w:sdtEndPr>
    <w:sdtContent>
      <w:p w14:paraId="3308C6E6" w14:textId="30D378DE" w:rsidR="00A67186" w:rsidRDefault="00A671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AEB2E8" w14:textId="77777777" w:rsidR="00A67186" w:rsidRDefault="00A671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80B0F" w14:textId="77777777" w:rsidR="009E501F" w:rsidRDefault="009E501F" w:rsidP="00A67186">
      <w:pPr>
        <w:spacing w:after="0" w:line="240" w:lineRule="auto"/>
      </w:pPr>
      <w:r>
        <w:separator/>
      </w:r>
    </w:p>
  </w:footnote>
  <w:footnote w:type="continuationSeparator" w:id="0">
    <w:p w14:paraId="2205A292" w14:textId="77777777" w:rsidR="009E501F" w:rsidRDefault="009E501F" w:rsidP="00A67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0AD6"/>
    <w:multiLevelType w:val="multilevel"/>
    <w:tmpl w:val="AB0A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A24294"/>
    <w:multiLevelType w:val="multilevel"/>
    <w:tmpl w:val="BA4E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51E19"/>
    <w:multiLevelType w:val="multilevel"/>
    <w:tmpl w:val="C9D69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503711"/>
    <w:multiLevelType w:val="multilevel"/>
    <w:tmpl w:val="CB981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DC36FD"/>
    <w:multiLevelType w:val="multilevel"/>
    <w:tmpl w:val="B30C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01461F"/>
    <w:multiLevelType w:val="multilevel"/>
    <w:tmpl w:val="BCD0F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892E3A"/>
    <w:multiLevelType w:val="multilevel"/>
    <w:tmpl w:val="6B7E2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340FB2"/>
    <w:multiLevelType w:val="multilevel"/>
    <w:tmpl w:val="C942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671964"/>
    <w:multiLevelType w:val="multilevel"/>
    <w:tmpl w:val="91CE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CD1127"/>
    <w:multiLevelType w:val="multilevel"/>
    <w:tmpl w:val="7B8E6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EC1439"/>
    <w:multiLevelType w:val="multilevel"/>
    <w:tmpl w:val="EBF0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506195">
    <w:abstractNumId w:val="3"/>
  </w:num>
  <w:num w:numId="2" w16cid:durableId="821698845">
    <w:abstractNumId w:val="9"/>
  </w:num>
  <w:num w:numId="3" w16cid:durableId="1500922540">
    <w:abstractNumId w:val="2"/>
  </w:num>
  <w:num w:numId="4" w16cid:durableId="207767914">
    <w:abstractNumId w:val="0"/>
  </w:num>
  <w:num w:numId="5" w16cid:durableId="1618871916">
    <w:abstractNumId w:val="5"/>
  </w:num>
  <w:num w:numId="6" w16cid:durableId="1242982953">
    <w:abstractNumId w:val="6"/>
  </w:num>
  <w:num w:numId="7" w16cid:durableId="1798332540">
    <w:abstractNumId w:val="10"/>
  </w:num>
  <w:num w:numId="8" w16cid:durableId="821580881">
    <w:abstractNumId w:val="7"/>
  </w:num>
  <w:num w:numId="9" w16cid:durableId="89468157">
    <w:abstractNumId w:val="8"/>
  </w:num>
  <w:num w:numId="10" w16cid:durableId="892036803">
    <w:abstractNumId w:val="4"/>
  </w:num>
  <w:num w:numId="11" w16cid:durableId="14957597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3tLAwMzCxNDG1MDRV0lEKTi0uzszPAykwrQUASnRZnSwAAAA="/>
  </w:docVars>
  <w:rsids>
    <w:rsidRoot w:val="00AE4A1F"/>
    <w:rsid w:val="000333AF"/>
    <w:rsid w:val="000772F3"/>
    <w:rsid w:val="000A09D0"/>
    <w:rsid w:val="000F6683"/>
    <w:rsid w:val="00104F41"/>
    <w:rsid w:val="00152F50"/>
    <w:rsid w:val="00171665"/>
    <w:rsid w:val="0018356D"/>
    <w:rsid w:val="001D5BA6"/>
    <w:rsid w:val="001F3836"/>
    <w:rsid w:val="00212101"/>
    <w:rsid w:val="00233DAC"/>
    <w:rsid w:val="00276A26"/>
    <w:rsid w:val="00281372"/>
    <w:rsid w:val="00381A3D"/>
    <w:rsid w:val="00390A91"/>
    <w:rsid w:val="003F004B"/>
    <w:rsid w:val="004031FF"/>
    <w:rsid w:val="00414F14"/>
    <w:rsid w:val="00435D88"/>
    <w:rsid w:val="00441EBF"/>
    <w:rsid w:val="00494234"/>
    <w:rsid w:val="00570F73"/>
    <w:rsid w:val="005852A7"/>
    <w:rsid w:val="005D1780"/>
    <w:rsid w:val="005D722F"/>
    <w:rsid w:val="007155F2"/>
    <w:rsid w:val="00801B2A"/>
    <w:rsid w:val="00826FA7"/>
    <w:rsid w:val="00846E8A"/>
    <w:rsid w:val="00875AB3"/>
    <w:rsid w:val="008B29EE"/>
    <w:rsid w:val="008E7884"/>
    <w:rsid w:val="008F2E42"/>
    <w:rsid w:val="00934A3F"/>
    <w:rsid w:val="00960508"/>
    <w:rsid w:val="009E501F"/>
    <w:rsid w:val="00A67186"/>
    <w:rsid w:val="00A902A8"/>
    <w:rsid w:val="00AC4489"/>
    <w:rsid w:val="00AE4A1F"/>
    <w:rsid w:val="00B54D89"/>
    <w:rsid w:val="00B60B59"/>
    <w:rsid w:val="00BC7ACE"/>
    <w:rsid w:val="00C00B0B"/>
    <w:rsid w:val="00C13BF4"/>
    <w:rsid w:val="00C37E85"/>
    <w:rsid w:val="00C76BEF"/>
    <w:rsid w:val="00CE051C"/>
    <w:rsid w:val="00E747C3"/>
    <w:rsid w:val="00ED75A6"/>
    <w:rsid w:val="00F01CAB"/>
    <w:rsid w:val="00F14A52"/>
    <w:rsid w:val="00F66CA7"/>
    <w:rsid w:val="00F877F1"/>
    <w:rsid w:val="00FA279E"/>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448026E"/>
  <w15:chartTrackingRefBased/>
  <w15:docId w15:val="{6BB7E37E-4310-4629-BD2D-BDD76DA51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4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4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4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4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A1F"/>
    <w:rPr>
      <w:rFonts w:eastAsiaTheme="majorEastAsia" w:cstheme="majorBidi"/>
      <w:color w:val="272727" w:themeColor="text1" w:themeTint="D8"/>
    </w:rPr>
  </w:style>
  <w:style w:type="paragraph" w:styleId="Title">
    <w:name w:val="Title"/>
    <w:basedOn w:val="Normal"/>
    <w:next w:val="Normal"/>
    <w:link w:val="TitleChar"/>
    <w:uiPriority w:val="10"/>
    <w:qFormat/>
    <w:rsid w:val="00AE4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A1F"/>
    <w:pPr>
      <w:spacing w:before="160"/>
      <w:jc w:val="center"/>
    </w:pPr>
    <w:rPr>
      <w:i/>
      <w:iCs/>
      <w:color w:val="404040" w:themeColor="text1" w:themeTint="BF"/>
    </w:rPr>
  </w:style>
  <w:style w:type="character" w:customStyle="1" w:styleId="QuoteChar">
    <w:name w:val="Quote Char"/>
    <w:basedOn w:val="DefaultParagraphFont"/>
    <w:link w:val="Quote"/>
    <w:uiPriority w:val="29"/>
    <w:rsid w:val="00AE4A1F"/>
    <w:rPr>
      <w:i/>
      <w:iCs/>
      <w:color w:val="404040" w:themeColor="text1" w:themeTint="BF"/>
    </w:rPr>
  </w:style>
  <w:style w:type="paragraph" w:styleId="ListParagraph">
    <w:name w:val="List Paragraph"/>
    <w:basedOn w:val="Normal"/>
    <w:uiPriority w:val="34"/>
    <w:qFormat/>
    <w:rsid w:val="00AE4A1F"/>
    <w:pPr>
      <w:ind w:left="720"/>
      <w:contextualSpacing/>
    </w:pPr>
  </w:style>
  <w:style w:type="character" w:styleId="IntenseEmphasis">
    <w:name w:val="Intense Emphasis"/>
    <w:basedOn w:val="DefaultParagraphFont"/>
    <w:uiPriority w:val="21"/>
    <w:qFormat/>
    <w:rsid w:val="00AE4A1F"/>
    <w:rPr>
      <w:i/>
      <w:iCs/>
      <w:color w:val="0F4761" w:themeColor="accent1" w:themeShade="BF"/>
    </w:rPr>
  </w:style>
  <w:style w:type="paragraph" w:styleId="IntenseQuote">
    <w:name w:val="Intense Quote"/>
    <w:basedOn w:val="Normal"/>
    <w:next w:val="Normal"/>
    <w:link w:val="IntenseQuoteChar"/>
    <w:uiPriority w:val="30"/>
    <w:qFormat/>
    <w:rsid w:val="00AE4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A1F"/>
    <w:rPr>
      <w:i/>
      <w:iCs/>
      <w:color w:val="0F4761" w:themeColor="accent1" w:themeShade="BF"/>
    </w:rPr>
  </w:style>
  <w:style w:type="character" w:styleId="IntenseReference">
    <w:name w:val="Intense Reference"/>
    <w:basedOn w:val="DefaultParagraphFont"/>
    <w:uiPriority w:val="32"/>
    <w:qFormat/>
    <w:rsid w:val="00AE4A1F"/>
    <w:rPr>
      <w:b/>
      <w:bCs/>
      <w:smallCaps/>
      <w:color w:val="0F4761" w:themeColor="accent1" w:themeShade="BF"/>
      <w:spacing w:val="5"/>
    </w:rPr>
  </w:style>
  <w:style w:type="paragraph" w:styleId="NormalWeb">
    <w:name w:val="Normal (Web)"/>
    <w:basedOn w:val="Normal"/>
    <w:uiPriority w:val="99"/>
    <w:unhideWhenUsed/>
    <w:rsid w:val="000772F3"/>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styleId="Header">
    <w:name w:val="header"/>
    <w:basedOn w:val="Normal"/>
    <w:link w:val="HeaderChar"/>
    <w:uiPriority w:val="99"/>
    <w:unhideWhenUsed/>
    <w:rsid w:val="00A671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186"/>
  </w:style>
  <w:style w:type="paragraph" w:styleId="Footer">
    <w:name w:val="footer"/>
    <w:basedOn w:val="Normal"/>
    <w:link w:val="FooterChar"/>
    <w:uiPriority w:val="99"/>
    <w:unhideWhenUsed/>
    <w:rsid w:val="00A671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186"/>
  </w:style>
  <w:style w:type="character" w:styleId="Strong">
    <w:name w:val="Strong"/>
    <w:basedOn w:val="DefaultParagraphFont"/>
    <w:uiPriority w:val="22"/>
    <w:qFormat/>
    <w:rsid w:val="005D722F"/>
    <w:rPr>
      <w:b/>
      <w:bCs/>
    </w:rPr>
  </w:style>
  <w:style w:type="character" w:styleId="Hyperlink">
    <w:name w:val="Hyperlink"/>
    <w:basedOn w:val="DefaultParagraphFont"/>
    <w:uiPriority w:val="99"/>
    <w:unhideWhenUsed/>
    <w:rsid w:val="005D722F"/>
    <w:rPr>
      <w:color w:val="0000FF"/>
      <w:u w:val="single"/>
    </w:rPr>
  </w:style>
  <w:style w:type="character" w:styleId="Emphasis">
    <w:name w:val="Emphasis"/>
    <w:basedOn w:val="DefaultParagraphFont"/>
    <w:uiPriority w:val="20"/>
    <w:qFormat/>
    <w:rsid w:val="007155F2"/>
    <w:rPr>
      <w:i/>
      <w:iCs/>
    </w:rPr>
  </w:style>
  <w:style w:type="character" w:styleId="UnresolvedMention">
    <w:name w:val="Unresolved Mention"/>
    <w:basedOn w:val="DefaultParagraphFont"/>
    <w:uiPriority w:val="99"/>
    <w:semiHidden/>
    <w:unhideWhenUsed/>
    <w:rsid w:val="005852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ityoflondon.gov.uk/"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arangaroo.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vrdv.com/projects/" TargetMode="External"/><Relationship Id="rId5" Type="http://schemas.openxmlformats.org/officeDocument/2006/relationships/footnotes" Target="footnotes.xml"/><Relationship Id="rId10" Type="http://schemas.openxmlformats.org/officeDocument/2006/relationships/hyperlink" Target="https://www.infrastructure.nsw.gov.au/" TargetMode="External"/><Relationship Id="rId4" Type="http://schemas.openxmlformats.org/officeDocument/2006/relationships/webSettings" Target="webSettings.xml"/><Relationship Id="rId9" Type="http://schemas.openxmlformats.org/officeDocument/2006/relationships/hyperlink" Target="https://new.gbca.org.a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7</Pages>
  <Words>3597</Words>
  <Characters>17701</Characters>
  <Application>Microsoft Office Word</Application>
  <DocSecurity>0</DocSecurity>
  <Lines>316</Lines>
  <Paragraphs>110</Paragraphs>
  <ScaleCrop>false</ScaleCrop>
  <Company/>
  <LinksUpToDate>false</LinksUpToDate>
  <CharactersWithSpaces>21188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Milad Mousavi</dc:creator>
  <cp:keywords/>
  <dc:description/>
  <cp:lastModifiedBy>Mohammadsaeed Heidary</cp:lastModifiedBy>
  <cp:revision>29</cp:revision>
  <dcterms:created xsi:type="dcterms:W3CDTF">2025-10-12T05:00:00Z</dcterms:created>
  <dcterms:modified xsi:type="dcterms:W3CDTF">2025-10-26T06:56:00Z</dcterms:modified>
</cp:coreProperties>
</file>