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B2F59" w14:textId="77777777" w:rsidR="00C44271" w:rsidRPr="00C44271" w:rsidRDefault="00C44271" w:rsidP="00C442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44271">
        <w:rPr>
          <w:rFonts w:ascii="Times New Roman" w:eastAsia="Times New Roman" w:hAnsi="Times New Roman" w:cs="Times New Roman"/>
          <w:b/>
          <w:bCs/>
          <w:kern w:val="36"/>
          <w:sz w:val="48"/>
          <w:szCs w:val="48"/>
          <w:lang w:eastAsia="en-AU"/>
          <w14:ligatures w14:val="none"/>
        </w:rPr>
        <w:t>CVEN9723 Group Report</w:t>
      </w:r>
    </w:p>
    <w:p w14:paraId="40D454EE" w14:textId="72E4851A"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b/>
          <w:bCs/>
          <w:kern w:val="0"/>
          <w:sz w:val="24"/>
          <w:szCs w:val="24"/>
          <w:lang w:eastAsia="en-AU"/>
          <w14:ligatures w14:val="none"/>
        </w:rPr>
        <w:t>Grand Challenges in the Australian Construction Industry</w:t>
      </w:r>
      <w:r w:rsidRPr="00C44271">
        <w:rPr>
          <w:rFonts w:ascii="Times New Roman" w:eastAsia="Times New Roman" w:hAnsi="Times New Roman" w:cs="Times New Roman"/>
          <w:kern w:val="0"/>
          <w:sz w:val="24"/>
          <w:szCs w:val="24"/>
          <w:lang w:eastAsia="en-AU"/>
          <w14:ligatures w14:val="none"/>
        </w:rPr>
        <w:br/>
      </w:r>
      <w:r w:rsidRPr="00C44271">
        <w:rPr>
          <w:rFonts w:ascii="Times New Roman" w:eastAsia="Times New Roman" w:hAnsi="Times New Roman" w:cs="Times New Roman"/>
          <w:b/>
          <w:bCs/>
          <w:kern w:val="0"/>
          <w:sz w:val="24"/>
          <w:szCs w:val="24"/>
          <w:lang w:eastAsia="en-AU"/>
          <w14:ligatures w14:val="none"/>
        </w:rPr>
        <w:t>Case Study:</w:t>
      </w:r>
      <w:r w:rsidRPr="00C44271">
        <w:rPr>
          <w:rFonts w:ascii="Times New Roman" w:eastAsia="Times New Roman" w:hAnsi="Times New Roman" w:cs="Times New Roman"/>
          <w:kern w:val="0"/>
          <w:sz w:val="24"/>
          <w:szCs w:val="24"/>
          <w:lang w:eastAsia="en-AU"/>
          <w14:ligatures w14:val="none"/>
        </w:rPr>
        <w:t xml:space="preserve"> Parramatta Light Rail Project</w:t>
      </w:r>
      <w:r w:rsidRPr="00C44271">
        <w:rPr>
          <w:rFonts w:ascii="Times New Roman" w:eastAsia="Times New Roman" w:hAnsi="Times New Roman" w:cs="Times New Roman"/>
          <w:kern w:val="0"/>
          <w:sz w:val="24"/>
          <w:szCs w:val="24"/>
          <w:lang w:eastAsia="en-AU"/>
          <w14:ligatures w14:val="none"/>
        </w:rPr>
        <w:br/>
      </w:r>
      <w:r w:rsidRPr="00C44271">
        <w:rPr>
          <w:rFonts w:ascii="Times New Roman" w:eastAsia="Times New Roman" w:hAnsi="Times New Roman" w:cs="Times New Roman"/>
          <w:b/>
          <w:bCs/>
          <w:kern w:val="0"/>
          <w:sz w:val="24"/>
          <w:szCs w:val="24"/>
          <w:lang w:eastAsia="en-AU"/>
          <w14:ligatures w14:val="none"/>
        </w:rPr>
        <w:t>Term:</w:t>
      </w:r>
      <w:r w:rsidRPr="00C44271">
        <w:rPr>
          <w:rFonts w:ascii="Times New Roman" w:eastAsia="Times New Roman" w:hAnsi="Times New Roman" w:cs="Times New Roman"/>
          <w:kern w:val="0"/>
          <w:sz w:val="24"/>
          <w:szCs w:val="24"/>
          <w:lang w:eastAsia="en-AU"/>
          <w14:ligatures w14:val="none"/>
        </w:rPr>
        <w:t xml:space="preserve"> T3 202</w:t>
      </w:r>
      <w:r>
        <w:rPr>
          <w:rFonts w:ascii="Times New Roman" w:eastAsia="Times New Roman" w:hAnsi="Times New Roman" w:cs="Times New Roman"/>
          <w:kern w:val="0"/>
          <w:sz w:val="24"/>
          <w:szCs w:val="24"/>
          <w:lang w:eastAsia="en-AU"/>
          <w14:ligatures w14:val="none"/>
        </w:rPr>
        <w:t>5</w:t>
      </w:r>
    </w:p>
    <w:p w14:paraId="2CCB0202" w14:textId="77777777" w:rsidR="00C44271" w:rsidRPr="00C44271" w:rsidRDefault="00000000" w:rsidP="00C44271">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46DC57E">
          <v:rect id="_x0000_i1025" style="width:0;height:1.5pt" o:hralign="center" o:hrstd="t" o:hr="t" fillcolor="#a0a0a0" stroked="f"/>
        </w:pict>
      </w:r>
    </w:p>
    <w:p w14:paraId="0318CE83" w14:textId="77777777" w:rsidR="00C44271" w:rsidRPr="00C44271" w:rsidRDefault="00C44271" w:rsidP="00C4427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44271">
        <w:rPr>
          <w:rFonts w:ascii="Times New Roman" w:eastAsia="Times New Roman" w:hAnsi="Times New Roman" w:cs="Times New Roman"/>
          <w:b/>
          <w:bCs/>
          <w:kern w:val="0"/>
          <w:sz w:val="36"/>
          <w:szCs w:val="36"/>
          <w:lang w:eastAsia="en-AU"/>
          <w14:ligatures w14:val="none"/>
        </w:rPr>
        <w:t>Executive Summary</w:t>
      </w:r>
    </w:p>
    <w:p w14:paraId="69B72B83"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The Parramatta Light Rail (PLR) illustrates how Australian brownfield transport projects must reconcile construction productivity with liveability in dense urban corridors. This report evaluates the grand challenges that commonly arise during delivery, including utilities uncertainty, complex staging in live streets, scope evolution across fragmented institutions, resourcing constraints, and the maintenance of social licence during lengthy works. The analysis argues that the most influential drivers of schedule and cost risk are not isolated technical issues, but the cumulative effect of early information gaps, contracting misalignment, and behavioural dynamics across multiple delivery partners.</w:t>
      </w:r>
    </w:p>
    <w:p w14:paraId="330D3C13"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 xml:space="preserve">The report advances four contributions. First, it synthesises the interdependencies between utilities, traffic access, approvals, systems integration, and community outcomes, showing how small definition gaps propagate into later congestion of workfaces and approvals. Second, it consolidates lessons from Australian and international experience, focusing on early works corridors for utilities, progressive definition </w:t>
      </w:r>
      <w:proofErr w:type="spellStart"/>
      <w:r w:rsidRPr="00C44271">
        <w:rPr>
          <w:rFonts w:ascii="Times New Roman" w:eastAsia="Times New Roman" w:hAnsi="Times New Roman" w:cs="Times New Roman"/>
          <w:kern w:val="0"/>
          <w:sz w:val="24"/>
          <w:szCs w:val="24"/>
          <w:lang w:eastAsia="en-AU"/>
          <w14:ligatures w14:val="none"/>
        </w:rPr>
        <w:t>with hold</w:t>
      </w:r>
      <w:proofErr w:type="spellEnd"/>
      <w:r w:rsidRPr="00C44271">
        <w:rPr>
          <w:rFonts w:ascii="Times New Roman" w:eastAsia="Times New Roman" w:hAnsi="Times New Roman" w:cs="Times New Roman"/>
          <w:kern w:val="0"/>
          <w:sz w:val="24"/>
          <w:szCs w:val="24"/>
          <w:lang w:eastAsia="en-AU"/>
          <w14:ligatures w14:val="none"/>
        </w:rPr>
        <w:t xml:space="preserve"> points, program-level relational models, and digital engineering to manage interfaces. Third, it proposes a practical delivery architecture for PLR-scale programs, with a dedicated integration office and a common data environment that links design maturity to field production control. Fourth, it sets out a future development agenda for the Australian sector, including codified early enablement pathways, benefit-led assurance, and community-centred key performance indicators. The recommendations are designed to be implementable within typical agency governance and to align with CVEN9723 submission expectations regarding structure and referencing. </w:t>
      </w:r>
    </w:p>
    <w:p w14:paraId="1DC67C92" w14:textId="77777777" w:rsidR="00C44271" w:rsidRPr="00C44271" w:rsidRDefault="00000000" w:rsidP="00C44271">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23E584E">
          <v:rect id="_x0000_i1026" style="width:0;height:1.5pt" o:hralign="center" o:hrstd="t" o:hr="t" fillcolor="#a0a0a0" stroked="f"/>
        </w:pict>
      </w:r>
    </w:p>
    <w:p w14:paraId="62A5B472" w14:textId="77777777" w:rsidR="00C44271" w:rsidRPr="00C44271" w:rsidRDefault="00C44271" w:rsidP="00C4427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44271">
        <w:rPr>
          <w:rFonts w:ascii="Times New Roman" w:eastAsia="Times New Roman" w:hAnsi="Times New Roman" w:cs="Times New Roman"/>
          <w:b/>
          <w:bCs/>
          <w:kern w:val="0"/>
          <w:sz w:val="36"/>
          <w:szCs w:val="36"/>
          <w:lang w:eastAsia="en-AU"/>
          <w14:ligatures w14:val="none"/>
        </w:rPr>
        <w:t>1. Introduction and Case Background</w:t>
      </w:r>
    </w:p>
    <w:p w14:paraId="0A08573A" w14:textId="77777777" w:rsidR="00C44271" w:rsidRPr="00C44271" w:rsidRDefault="00C44271" w:rsidP="00C442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4271">
        <w:rPr>
          <w:rFonts w:ascii="Times New Roman" w:eastAsia="Times New Roman" w:hAnsi="Times New Roman" w:cs="Times New Roman"/>
          <w:b/>
          <w:bCs/>
          <w:kern w:val="0"/>
          <w:sz w:val="27"/>
          <w:szCs w:val="27"/>
          <w:lang w:eastAsia="en-AU"/>
          <w14:ligatures w14:val="none"/>
        </w:rPr>
        <w:t>1.1 Strategic context and objectives</w:t>
      </w:r>
    </w:p>
    <w:p w14:paraId="7D070F6D"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 xml:space="preserve">Greater Parramatta is a rapidly growing metropolitan centre with significant employment and residential intensification. Light rail has been selected to provide reliable, legible, and high frequency connections between precincts, while supporting placemaking and economic activation along the corridor. Typical scope elements include corridor civil works, track slab and rail systems, traction power and substations, depot and stabling facilities, stops with accessibility features, utility adjustments and protections, and broad urban design upgrades across footpaths, public spaces, and cycling links. Such a mix is characteristic of global light rail programs that aim to unlock compact, </w:t>
      </w:r>
      <w:proofErr w:type="gramStart"/>
      <w:r w:rsidRPr="00C44271">
        <w:rPr>
          <w:rFonts w:ascii="Times New Roman" w:eastAsia="Times New Roman" w:hAnsi="Times New Roman" w:cs="Times New Roman"/>
          <w:kern w:val="0"/>
          <w:sz w:val="24"/>
          <w:szCs w:val="24"/>
          <w:lang w:eastAsia="en-AU"/>
          <w14:ligatures w14:val="none"/>
        </w:rPr>
        <w:t>mixed use</w:t>
      </w:r>
      <w:proofErr w:type="gramEnd"/>
      <w:r w:rsidRPr="00C44271">
        <w:rPr>
          <w:rFonts w:ascii="Times New Roman" w:eastAsia="Times New Roman" w:hAnsi="Times New Roman" w:cs="Times New Roman"/>
          <w:kern w:val="0"/>
          <w:sz w:val="24"/>
          <w:szCs w:val="24"/>
          <w:lang w:eastAsia="en-AU"/>
          <w14:ligatures w14:val="none"/>
        </w:rPr>
        <w:t xml:space="preserve"> development and mode shift to public and active transport (PMI 2021; Infrastructure Australia 2021).</w:t>
      </w:r>
    </w:p>
    <w:p w14:paraId="12E7D41E" w14:textId="77777777" w:rsidR="00C44271" w:rsidRPr="00C44271" w:rsidRDefault="00C44271" w:rsidP="00C442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4271">
        <w:rPr>
          <w:rFonts w:ascii="Times New Roman" w:eastAsia="Times New Roman" w:hAnsi="Times New Roman" w:cs="Times New Roman"/>
          <w:b/>
          <w:bCs/>
          <w:kern w:val="0"/>
          <w:sz w:val="27"/>
          <w:szCs w:val="27"/>
          <w:lang w:eastAsia="en-AU"/>
          <w14:ligatures w14:val="none"/>
        </w:rPr>
        <w:lastRenderedPageBreak/>
        <w:t>1.2 Brownfield constraints and delivery environment</w:t>
      </w:r>
    </w:p>
    <w:p w14:paraId="62C13EC4"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 xml:space="preserve">The corridor </w:t>
      </w:r>
      <w:proofErr w:type="gramStart"/>
      <w:r w:rsidRPr="00C44271">
        <w:rPr>
          <w:rFonts w:ascii="Times New Roman" w:eastAsia="Times New Roman" w:hAnsi="Times New Roman" w:cs="Times New Roman"/>
          <w:kern w:val="0"/>
          <w:sz w:val="24"/>
          <w:szCs w:val="24"/>
          <w:lang w:eastAsia="en-AU"/>
          <w14:ligatures w14:val="none"/>
        </w:rPr>
        <w:t>traverses</w:t>
      </w:r>
      <w:proofErr w:type="gramEnd"/>
      <w:r w:rsidRPr="00C44271">
        <w:rPr>
          <w:rFonts w:ascii="Times New Roman" w:eastAsia="Times New Roman" w:hAnsi="Times New Roman" w:cs="Times New Roman"/>
          <w:kern w:val="0"/>
          <w:sz w:val="24"/>
          <w:szCs w:val="24"/>
          <w:lang w:eastAsia="en-AU"/>
          <w14:ligatures w14:val="none"/>
        </w:rPr>
        <w:t xml:space="preserve"> heritage main streets and constrained road reserves. Historic development has left a dense and partially undocumented network of underground assets, including water, sewer, gas, electricity, and telecommunications. Buildings are frequently zero setback, freight and service vehicle access is essential for local businesses, and peak period traffic flows limit daytime work windows. Approvals are complex, since works must satisfy state transport agencies, local councils, utility owners, heritage authorities, and environmental regulators. These factors combine to create a high interface density, which increases the coordination burden and the probability of delay if early information is incomplete or misaligned with the contracting model (APM 2019; UK NAO 2020).</w:t>
      </w:r>
    </w:p>
    <w:p w14:paraId="2A91C410" w14:textId="77777777" w:rsidR="00C44271" w:rsidRPr="00C44271" w:rsidRDefault="00C44271" w:rsidP="00C442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4271">
        <w:rPr>
          <w:rFonts w:ascii="Times New Roman" w:eastAsia="Times New Roman" w:hAnsi="Times New Roman" w:cs="Times New Roman"/>
          <w:b/>
          <w:bCs/>
          <w:kern w:val="0"/>
          <w:sz w:val="27"/>
          <w:szCs w:val="27"/>
          <w:lang w:eastAsia="en-AU"/>
          <w14:ligatures w14:val="none"/>
        </w:rPr>
        <w:t>1.3 Why this case represents a grand challenge</w:t>
      </w:r>
    </w:p>
    <w:p w14:paraId="351B7201"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 xml:space="preserve">Urban rail involves deep integration across civil construction, rail systems, and urban renewal objectives, all within a living city. The need to maintain access and amenity during construction amplifies program risk, while the desire to deliver high quality public realm raises expectations for design excellence and sustainability. The scale of change management required across stakeholders, residents, and businesses is significant. In this environment, success depends on disciplined </w:t>
      </w:r>
      <w:proofErr w:type="gramStart"/>
      <w:r w:rsidRPr="00C44271">
        <w:rPr>
          <w:rFonts w:ascii="Times New Roman" w:eastAsia="Times New Roman" w:hAnsi="Times New Roman" w:cs="Times New Roman"/>
          <w:kern w:val="0"/>
          <w:sz w:val="24"/>
          <w:szCs w:val="24"/>
          <w:lang w:eastAsia="en-AU"/>
          <w14:ligatures w14:val="none"/>
        </w:rPr>
        <w:t>front end</w:t>
      </w:r>
      <w:proofErr w:type="gramEnd"/>
      <w:r w:rsidRPr="00C44271">
        <w:rPr>
          <w:rFonts w:ascii="Times New Roman" w:eastAsia="Times New Roman" w:hAnsi="Times New Roman" w:cs="Times New Roman"/>
          <w:kern w:val="0"/>
          <w:sz w:val="24"/>
          <w:szCs w:val="24"/>
          <w:lang w:eastAsia="en-AU"/>
          <w14:ligatures w14:val="none"/>
        </w:rPr>
        <w:t xml:space="preserve"> loading, collaborative contracting, and a culture that privileges integration and learning, not simply compliance with a baseline schedule (Flyvbjerg 2014; ISO 2018; PMI 2021).</w:t>
      </w:r>
    </w:p>
    <w:p w14:paraId="78F1622F" w14:textId="77777777" w:rsidR="00C44271" w:rsidRPr="00C44271" w:rsidRDefault="00000000" w:rsidP="00C44271">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CCE6087">
          <v:rect id="_x0000_i1027" style="width:0;height:1.5pt" o:hralign="center" o:hrstd="t" o:hr="t" fillcolor="#a0a0a0" stroked="f"/>
        </w:pict>
      </w:r>
    </w:p>
    <w:p w14:paraId="5F508C66" w14:textId="77777777" w:rsidR="00C44271" w:rsidRPr="00C44271" w:rsidRDefault="00C44271" w:rsidP="00C4427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44271">
        <w:rPr>
          <w:rFonts w:ascii="Times New Roman" w:eastAsia="Times New Roman" w:hAnsi="Times New Roman" w:cs="Times New Roman"/>
          <w:b/>
          <w:bCs/>
          <w:kern w:val="0"/>
          <w:sz w:val="36"/>
          <w:szCs w:val="36"/>
          <w:lang w:eastAsia="en-AU"/>
          <w14:ligatures w14:val="none"/>
        </w:rPr>
        <w:t>2. Identified Grand Challenges</w:t>
      </w:r>
    </w:p>
    <w:p w14:paraId="3027117A" w14:textId="77777777" w:rsidR="00C44271" w:rsidRPr="00C44271" w:rsidRDefault="00C44271" w:rsidP="00C442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4271">
        <w:rPr>
          <w:rFonts w:ascii="Times New Roman" w:eastAsia="Times New Roman" w:hAnsi="Times New Roman" w:cs="Times New Roman"/>
          <w:b/>
          <w:bCs/>
          <w:kern w:val="0"/>
          <w:sz w:val="27"/>
          <w:szCs w:val="27"/>
          <w:lang w:eastAsia="en-AU"/>
          <w14:ligatures w14:val="none"/>
        </w:rPr>
        <w:t>2.1 Complex utilities and buried services</w:t>
      </w:r>
    </w:p>
    <w:p w14:paraId="65D648CA"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Dense and aging utility networks present three persistent challenges. First, records are often incomplete, which means that utility discovery continues into delivery. Second, service protection and relocation designs must be nested within traffic staging and construction sequences, which limits the freedom to optimise designs in isolation. Third, utility owners have their own standards, approvals, and outage constraints, creating parallel critical paths. If discovery and design lag the civil program, conflicts emerge at the trench, which leads to resequencing, additional temporary works, and unplanned night works. International experience shows that utilities risk is the most consistent driver of delay on brownfield light rail projects, even when construction methods are mature (APM 2019; UK NAO 2020; PMI 2021).</w:t>
      </w:r>
    </w:p>
    <w:p w14:paraId="68B3548F" w14:textId="77777777" w:rsidR="00C44271" w:rsidRPr="00C44271" w:rsidRDefault="00C44271" w:rsidP="00C442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4271">
        <w:rPr>
          <w:rFonts w:ascii="Times New Roman" w:eastAsia="Times New Roman" w:hAnsi="Times New Roman" w:cs="Times New Roman"/>
          <w:b/>
          <w:bCs/>
          <w:kern w:val="0"/>
          <w:sz w:val="27"/>
          <w:szCs w:val="27"/>
          <w:lang w:eastAsia="en-AU"/>
          <w14:ligatures w14:val="none"/>
        </w:rPr>
        <w:t>2.2 Construction in live urban environments</w:t>
      </w:r>
    </w:p>
    <w:p w14:paraId="42BFD05C"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 xml:space="preserve">Maintaining city function during construction requires precise staging. Footpaths must remain accessible, bus routes require diversions, emergency access must be preserved, and driveways cannot be blocked for extended periods. Night works are limited by noise and vibration thresholds, while daytime works are constrained by peak traffic hours and school zones. Short possession windows reduce productive hours, increase the number of interfaces per shift, and intensify supervision needs. The outcome is a high ratio of indirect to direct </w:t>
      </w:r>
      <w:r w:rsidRPr="00C44271">
        <w:rPr>
          <w:rFonts w:ascii="Times New Roman" w:eastAsia="Times New Roman" w:hAnsi="Times New Roman" w:cs="Times New Roman"/>
          <w:kern w:val="0"/>
          <w:sz w:val="24"/>
          <w:szCs w:val="24"/>
          <w:lang w:eastAsia="en-AU"/>
          <w14:ligatures w14:val="none"/>
        </w:rPr>
        <w:lastRenderedPageBreak/>
        <w:t xml:space="preserve">labour and frequent workface congestion. Without strong short interval control and micro staging, performance </w:t>
      </w:r>
      <w:proofErr w:type="gramStart"/>
      <w:r w:rsidRPr="00C44271">
        <w:rPr>
          <w:rFonts w:ascii="Times New Roman" w:eastAsia="Times New Roman" w:hAnsi="Times New Roman" w:cs="Times New Roman"/>
          <w:kern w:val="0"/>
          <w:sz w:val="24"/>
          <w:szCs w:val="24"/>
          <w:lang w:eastAsia="en-AU"/>
          <w14:ligatures w14:val="none"/>
        </w:rPr>
        <w:t>degrades</w:t>
      </w:r>
      <w:proofErr w:type="gramEnd"/>
      <w:r w:rsidRPr="00C44271">
        <w:rPr>
          <w:rFonts w:ascii="Times New Roman" w:eastAsia="Times New Roman" w:hAnsi="Times New Roman" w:cs="Times New Roman"/>
          <w:kern w:val="0"/>
          <w:sz w:val="24"/>
          <w:szCs w:val="24"/>
          <w:lang w:eastAsia="en-AU"/>
          <w14:ligatures w14:val="none"/>
        </w:rPr>
        <w:t xml:space="preserve"> and rework accumulates (PMI 2021; APM 2019).</w:t>
      </w:r>
    </w:p>
    <w:p w14:paraId="53A92E2A" w14:textId="77777777" w:rsidR="00C44271" w:rsidRPr="00C44271" w:rsidRDefault="00C44271" w:rsidP="00C442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4271">
        <w:rPr>
          <w:rFonts w:ascii="Times New Roman" w:eastAsia="Times New Roman" w:hAnsi="Times New Roman" w:cs="Times New Roman"/>
          <w:b/>
          <w:bCs/>
          <w:kern w:val="0"/>
          <w:sz w:val="27"/>
          <w:szCs w:val="27"/>
          <w:lang w:eastAsia="en-AU"/>
          <w14:ligatures w14:val="none"/>
        </w:rPr>
        <w:t>2.3 Governance fragmentation and scope evolution</w:t>
      </w:r>
    </w:p>
    <w:p w14:paraId="1C5CEBCF"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Multiple organisations influence scope and standards. Urban realm enhancements, sustainability targets, wayfinding, and placemaking elements often evolve during design development, which can change structural openings, service corridors, or stop footprints. Where decision rights and budget responsibilities are dispersed, change control can be slow or ambiguous. This produces late design churn and makes it difficult to sustain a stable baseline long enough for efficient procurement and construction. Fragmentation also affects approvals, since permits can be contingent on other bodies’ prior actions, creating feedback loops that are hard to resolve in the field (UK NAO 2020; ISO 2018).</w:t>
      </w:r>
    </w:p>
    <w:p w14:paraId="33CF22EA" w14:textId="77777777" w:rsidR="00C44271" w:rsidRPr="00C44271" w:rsidRDefault="00C44271" w:rsidP="00C442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4271">
        <w:rPr>
          <w:rFonts w:ascii="Times New Roman" w:eastAsia="Times New Roman" w:hAnsi="Times New Roman" w:cs="Times New Roman"/>
          <w:b/>
          <w:bCs/>
          <w:kern w:val="0"/>
          <w:sz w:val="27"/>
          <w:szCs w:val="27"/>
          <w:lang w:eastAsia="en-AU"/>
          <w14:ligatures w14:val="none"/>
        </w:rPr>
        <w:t>2.4 Market capacity and productivity constraints</w:t>
      </w:r>
    </w:p>
    <w:p w14:paraId="2C7B461F"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Urban rail programs compete for a limited pool of experienced engineers, supervisors, rail systems specialists, and skilled trades. Concurrent megaprojects compress market capacity, particularly in signalling, overhead wiring, and utility relocations. Supply chains for specialised components have long lead times, while local fabrication capacity for custom street furniture or stop components can be constrained. These factors increase the risk premium embedded in bids and limit the capacity to recover delays once a project slips (Infrastructure Australia 2021; PMI 2021).</w:t>
      </w:r>
    </w:p>
    <w:p w14:paraId="103DE84F" w14:textId="77777777" w:rsidR="00C44271" w:rsidRPr="00C44271" w:rsidRDefault="00C44271" w:rsidP="00C442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4271">
        <w:rPr>
          <w:rFonts w:ascii="Times New Roman" w:eastAsia="Times New Roman" w:hAnsi="Times New Roman" w:cs="Times New Roman"/>
          <w:b/>
          <w:bCs/>
          <w:kern w:val="0"/>
          <w:sz w:val="27"/>
          <w:szCs w:val="27"/>
          <w:lang w:eastAsia="en-AU"/>
          <w14:ligatures w14:val="none"/>
        </w:rPr>
        <w:t>2.5 Social licence, place quality, and disruption management</w:t>
      </w:r>
    </w:p>
    <w:p w14:paraId="3205D865"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Light rail construction is close to residents and businesses for extended periods. Visibility of works magnifies perceptions of disruption, even when travel times are maintained. If communication is inconsistent or access arrangements change frequently, social licence erodes. Projects that deliver high quality, durable streetscapes and safer crossings at completion tend to restore public confidence faster, but this benefit does not offset the need for strong engagement and transparent commitments during delivery (Social Value UK 2020; APM 2019).</w:t>
      </w:r>
    </w:p>
    <w:p w14:paraId="254B6F4A" w14:textId="77777777" w:rsidR="00C44271" w:rsidRPr="00C44271" w:rsidRDefault="00000000" w:rsidP="00C44271">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45A2417">
          <v:rect id="_x0000_i1028" style="width:0;height:1.5pt" o:hralign="center" o:hrstd="t" o:hr="t" fillcolor="#a0a0a0" stroked="f"/>
        </w:pict>
      </w:r>
    </w:p>
    <w:p w14:paraId="59F92021" w14:textId="77777777" w:rsidR="00C44271" w:rsidRPr="00C44271" w:rsidRDefault="00C44271" w:rsidP="00C4427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44271">
        <w:rPr>
          <w:rFonts w:ascii="Times New Roman" w:eastAsia="Times New Roman" w:hAnsi="Times New Roman" w:cs="Times New Roman"/>
          <w:b/>
          <w:bCs/>
          <w:kern w:val="0"/>
          <w:sz w:val="36"/>
          <w:szCs w:val="36"/>
          <w:lang w:eastAsia="en-AU"/>
          <w14:ligatures w14:val="none"/>
        </w:rPr>
        <w:t>3. Root Causes and Interconnections</w:t>
      </w:r>
    </w:p>
    <w:p w14:paraId="45527F4F" w14:textId="77777777" w:rsidR="00C44271" w:rsidRPr="00C44271" w:rsidRDefault="00C44271" w:rsidP="00C442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4271">
        <w:rPr>
          <w:rFonts w:ascii="Times New Roman" w:eastAsia="Times New Roman" w:hAnsi="Times New Roman" w:cs="Times New Roman"/>
          <w:b/>
          <w:bCs/>
          <w:kern w:val="0"/>
          <w:sz w:val="27"/>
          <w:szCs w:val="27"/>
          <w:lang w:eastAsia="en-AU"/>
          <w14:ligatures w14:val="none"/>
        </w:rPr>
        <w:t>3.1 Early definition gaps and optimism bias</w:t>
      </w:r>
    </w:p>
    <w:p w14:paraId="08EAD411"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 xml:space="preserve">At business case stage, scope is often defined at a conceptual level with provisional interfaces and contingent assumptions. Utilities investigations can be incomplete, ground conditions may be </w:t>
      </w:r>
      <w:proofErr w:type="gramStart"/>
      <w:r w:rsidRPr="00C44271">
        <w:rPr>
          <w:rFonts w:ascii="Times New Roman" w:eastAsia="Times New Roman" w:hAnsi="Times New Roman" w:cs="Times New Roman"/>
          <w:kern w:val="0"/>
          <w:sz w:val="24"/>
          <w:szCs w:val="24"/>
          <w:lang w:eastAsia="en-AU"/>
          <w14:ligatures w14:val="none"/>
        </w:rPr>
        <w:t>inferred, and</w:t>
      </w:r>
      <w:proofErr w:type="gramEnd"/>
      <w:r w:rsidRPr="00C44271">
        <w:rPr>
          <w:rFonts w:ascii="Times New Roman" w:eastAsia="Times New Roman" w:hAnsi="Times New Roman" w:cs="Times New Roman"/>
          <w:kern w:val="0"/>
          <w:sz w:val="24"/>
          <w:szCs w:val="24"/>
          <w:lang w:eastAsia="en-AU"/>
          <w14:ligatures w14:val="none"/>
        </w:rPr>
        <w:t xml:space="preserve"> stop designs may reflect urban realm aspirations that have not been reconciled with constructability. These uncertainties create optimism bias in schedule and cost estimates. During delivery, each unresolved assumption forces a late decision, which compounds into congested approvals, resequencing, and stacking of changes against critical resources (Flyvbjerg 2014; PMI 2021).</w:t>
      </w:r>
    </w:p>
    <w:p w14:paraId="33D645E7" w14:textId="77777777" w:rsidR="00C44271" w:rsidRPr="00C44271" w:rsidRDefault="00C44271" w:rsidP="00C442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4271">
        <w:rPr>
          <w:rFonts w:ascii="Times New Roman" w:eastAsia="Times New Roman" w:hAnsi="Times New Roman" w:cs="Times New Roman"/>
          <w:b/>
          <w:bCs/>
          <w:kern w:val="0"/>
          <w:sz w:val="27"/>
          <w:szCs w:val="27"/>
          <w:lang w:eastAsia="en-AU"/>
          <w14:ligatures w14:val="none"/>
        </w:rPr>
        <w:t>3.2 Contracting misalignment and interface risk</w:t>
      </w:r>
    </w:p>
    <w:p w14:paraId="3E446B76"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lastRenderedPageBreak/>
        <w:t>Separated packages for early works, main civil works, rail systems, and developer contributions can fragment accountability for interfaces. Utility owners may deliver relocations under separate commercial arrangements with different incentives and timeframes. If discovery risk is transferred without adequate data, disputes over liability and time extension proliferate. Interface slippage becomes systemic, since each package has limited authority to direct others, and integration relies on agency intervention rather than contractual alignment (UK NAO 2020).</w:t>
      </w:r>
    </w:p>
    <w:p w14:paraId="61DB5EB7" w14:textId="77777777" w:rsidR="00C44271" w:rsidRPr="00C44271" w:rsidRDefault="00C44271" w:rsidP="00C442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4271">
        <w:rPr>
          <w:rFonts w:ascii="Times New Roman" w:eastAsia="Times New Roman" w:hAnsi="Times New Roman" w:cs="Times New Roman"/>
          <w:b/>
          <w:bCs/>
          <w:kern w:val="0"/>
          <w:sz w:val="27"/>
          <w:szCs w:val="27"/>
          <w:lang w:eastAsia="en-AU"/>
          <w14:ligatures w14:val="none"/>
        </w:rPr>
        <w:t>3.3 Assurance that does not track outcomes</w:t>
      </w:r>
    </w:p>
    <w:p w14:paraId="37CD6BF2"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Assurance practices often emphasise compliance with design processes, safety documentation, and schedule reporting. While essential, these do not always measure the intended benefits for passengers, places, and businesses. Without explicit outcome metrics, such as business access continuity or footpath permeability during works, short term productivity decisions can degrade long term value or damage public trust (Infrastructure Australia 2021; ISO 2018).</w:t>
      </w:r>
    </w:p>
    <w:p w14:paraId="5EB2F81B" w14:textId="77777777" w:rsidR="00C44271" w:rsidRPr="00C44271" w:rsidRDefault="00C44271" w:rsidP="00C442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4271">
        <w:rPr>
          <w:rFonts w:ascii="Times New Roman" w:eastAsia="Times New Roman" w:hAnsi="Times New Roman" w:cs="Times New Roman"/>
          <w:b/>
          <w:bCs/>
          <w:kern w:val="0"/>
          <w:sz w:val="27"/>
          <w:szCs w:val="27"/>
          <w:lang w:eastAsia="en-AU"/>
          <w14:ligatures w14:val="none"/>
        </w:rPr>
        <w:t>3.4 Behavioural and organisational dynamics</w:t>
      </w:r>
    </w:p>
    <w:p w14:paraId="12E511CE"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Complex programs require fast cross functional decision making, yet siloed reporting and risk aversion can slow action. Field teams experience fatigue from night shifts and short windows, which increases the likelihood of quality escapes or safety near misses. Variability in leadership stability across packages undermines learning and continuous improvement. These human factors are under recognised contributors to program risk and deserve targeted interventions, not generic exhortations about teamwork (APM 2019; PMI 2021).</w:t>
      </w:r>
    </w:p>
    <w:p w14:paraId="78E8D82F" w14:textId="77777777" w:rsidR="00C44271" w:rsidRPr="00C44271" w:rsidRDefault="00000000" w:rsidP="00C44271">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127425F">
          <v:rect id="_x0000_i1029" style="width:0;height:1.5pt" o:hralign="center" o:hrstd="t" o:hr="t" fillcolor="#a0a0a0" stroked="f"/>
        </w:pict>
      </w:r>
    </w:p>
    <w:p w14:paraId="17BA86CD" w14:textId="77777777" w:rsidR="00C44271" w:rsidRPr="00C44271" w:rsidRDefault="00C44271" w:rsidP="00C4427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44271">
        <w:rPr>
          <w:rFonts w:ascii="Times New Roman" w:eastAsia="Times New Roman" w:hAnsi="Times New Roman" w:cs="Times New Roman"/>
          <w:b/>
          <w:bCs/>
          <w:kern w:val="0"/>
          <w:sz w:val="36"/>
          <w:szCs w:val="36"/>
          <w:lang w:eastAsia="en-AU"/>
          <w14:ligatures w14:val="none"/>
        </w:rPr>
        <w:t>4. Review of Best Practice: Local and International</w:t>
      </w:r>
    </w:p>
    <w:p w14:paraId="69D22689" w14:textId="77777777" w:rsidR="00C44271" w:rsidRPr="00C44271" w:rsidRDefault="00C44271" w:rsidP="00C442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4271">
        <w:rPr>
          <w:rFonts w:ascii="Times New Roman" w:eastAsia="Times New Roman" w:hAnsi="Times New Roman" w:cs="Times New Roman"/>
          <w:b/>
          <w:bCs/>
          <w:kern w:val="0"/>
          <w:sz w:val="27"/>
          <w:szCs w:val="27"/>
          <w:lang w:eastAsia="en-AU"/>
          <w14:ligatures w14:val="none"/>
        </w:rPr>
        <w:t>4.1 Front loaded utilities enablement</w:t>
      </w:r>
    </w:p>
    <w:p w14:paraId="3E1D3B39"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A consistent lesson is the value of a dedicated early works corridor for utilities. This package proceeds ahead of main works, performs extensive trial pits, confirms alignments for services, and relocates the highest risk assets out of the future track slab. The approach reduces uncertainty in the main package and improves bidding confidence. It is most effective where utility owners are embedded within the delivery team, with pre agreed standards and streamlined approvals (UK NAO 2020; APM 2019).</w:t>
      </w:r>
    </w:p>
    <w:p w14:paraId="0275D14D" w14:textId="77777777" w:rsidR="00C44271" w:rsidRPr="00C44271" w:rsidRDefault="00C44271" w:rsidP="00C442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4271">
        <w:rPr>
          <w:rFonts w:ascii="Times New Roman" w:eastAsia="Times New Roman" w:hAnsi="Times New Roman" w:cs="Times New Roman"/>
          <w:b/>
          <w:bCs/>
          <w:kern w:val="0"/>
          <w:sz w:val="27"/>
          <w:szCs w:val="27"/>
          <w:lang w:eastAsia="en-AU"/>
          <w14:ligatures w14:val="none"/>
        </w:rPr>
        <w:t>4.2 Progressive definition and hold point governance</w:t>
      </w:r>
    </w:p>
    <w:p w14:paraId="7CEB3768"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 xml:space="preserve">Progressive definition ties design maturity to formal decision gates. Each gate requires evidence of buildability, traffic staging feasibility, and community access compliance before alignment lock in. Changes after lock in draw from a transparent change budget that makes </w:t>
      </w:r>
      <w:proofErr w:type="spellStart"/>
      <w:r w:rsidRPr="00C44271">
        <w:rPr>
          <w:rFonts w:ascii="Times New Roman" w:eastAsia="Times New Roman" w:hAnsi="Times New Roman" w:cs="Times New Roman"/>
          <w:kern w:val="0"/>
          <w:sz w:val="24"/>
          <w:szCs w:val="24"/>
          <w:lang w:eastAsia="en-AU"/>
          <w14:ligatures w14:val="none"/>
        </w:rPr>
        <w:t>trade offs</w:t>
      </w:r>
      <w:proofErr w:type="spellEnd"/>
      <w:r w:rsidRPr="00C44271">
        <w:rPr>
          <w:rFonts w:ascii="Times New Roman" w:eastAsia="Times New Roman" w:hAnsi="Times New Roman" w:cs="Times New Roman"/>
          <w:kern w:val="0"/>
          <w:sz w:val="24"/>
          <w:szCs w:val="24"/>
          <w:lang w:eastAsia="en-AU"/>
          <w14:ligatures w14:val="none"/>
        </w:rPr>
        <w:t xml:space="preserve"> explicit. This method reduces late churn and aligns stakeholders on the cost of change at different stages of the lifecycle (PMI 2021; ISO 2018).</w:t>
      </w:r>
    </w:p>
    <w:p w14:paraId="66B99913" w14:textId="77777777" w:rsidR="00C44271" w:rsidRPr="00C44271" w:rsidRDefault="00C44271" w:rsidP="00C442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4271">
        <w:rPr>
          <w:rFonts w:ascii="Times New Roman" w:eastAsia="Times New Roman" w:hAnsi="Times New Roman" w:cs="Times New Roman"/>
          <w:b/>
          <w:bCs/>
          <w:kern w:val="0"/>
          <w:sz w:val="27"/>
          <w:szCs w:val="27"/>
          <w:lang w:eastAsia="en-AU"/>
          <w14:ligatures w14:val="none"/>
        </w:rPr>
        <w:t>4.3 Program scale alliances and relational contracting</w:t>
      </w:r>
    </w:p>
    <w:p w14:paraId="79326E40"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lastRenderedPageBreak/>
        <w:t>Relational models, such as alliances or integrated project delivery, pool risk and reward, promote open book cost control, and enable rapid issue resolution. At program scale, a master alliance across segments reduces competition for scarce resources and aids collective optimisation of staging and logistics. Where utilities owners participate in the alliance, discovery is treated as a shared risk with incentive mechanisms for early conflict resolution (APM 2019; UK NAO 2020).</w:t>
      </w:r>
    </w:p>
    <w:p w14:paraId="1EBC9339" w14:textId="77777777" w:rsidR="00C44271" w:rsidRPr="00C44271" w:rsidRDefault="00C44271" w:rsidP="00C442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4271">
        <w:rPr>
          <w:rFonts w:ascii="Times New Roman" w:eastAsia="Times New Roman" w:hAnsi="Times New Roman" w:cs="Times New Roman"/>
          <w:b/>
          <w:bCs/>
          <w:kern w:val="0"/>
          <w:sz w:val="27"/>
          <w:szCs w:val="27"/>
          <w:lang w:eastAsia="en-AU"/>
          <w14:ligatures w14:val="none"/>
        </w:rPr>
        <w:t>4.4 Digital engineering, common data environments, and 4D control</w:t>
      </w:r>
    </w:p>
    <w:p w14:paraId="4368C2DB"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 xml:space="preserve">Federated models for track, civils, stops, traction power, and utilities enable </w:t>
      </w:r>
      <w:proofErr w:type="gramStart"/>
      <w:r w:rsidRPr="00C44271">
        <w:rPr>
          <w:rFonts w:ascii="Times New Roman" w:eastAsia="Times New Roman" w:hAnsi="Times New Roman" w:cs="Times New Roman"/>
          <w:kern w:val="0"/>
          <w:sz w:val="24"/>
          <w:szCs w:val="24"/>
          <w:lang w:eastAsia="en-AU"/>
          <w14:ligatures w14:val="none"/>
        </w:rPr>
        <w:t>model based</w:t>
      </w:r>
      <w:proofErr w:type="gramEnd"/>
      <w:r w:rsidRPr="00C44271">
        <w:rPr>
          <w:rFonts w:ascii="Times New Roman" w:eastAsia="Times New Roman" w:hAnsi="Times New Roman" w:cs="Times New Roman"/>
          <w:kern w:val="0"/>
          <w:sz w:val="24"/>
          <w:szCs w:val="24"/>
          <w:lang w:eastAsia="en-AU"/>
          <w14:ligatures w14:val="none"/>
        </w:rPr>
        <w:t xml:space="preserve"> clash detection. A common data environment ensures controlled updates and traceability. When integrated with 4D planning, the models become production control tools that reveal upcoming spatial conflicts at street block level. Digital as built capture, including geo referenced photos at the trench, reduces future maintenance risk and informs accurate asset handover (ISO 2018; PMI 2021).</w:t>
      </w:r>
    </w:p>
    <w:p w14:paraId="25081A89" w14:textId="77777777" w:rsidR="00C44271" w:rsidRPr="00C44271" w:rsidRDefault="00C44271" w:rsidP="00C442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4271">
        <w:rPr>
          <w:rFonts w:ascii="Times New Roman" w:eastAsia="Times New Roman" w:hAnsi="Times New Roman" w:cs="Times New Roman"/>
          <w:b/>
          <w:bCs/>
          <w:kern w:val="0"/>
          <w:sz w:val="27"/>
          <w:szCs w:val="27"/>
          <w:lang w:eastAsia="en-AU"/>
          <w14:ligatures w14:val="none"/>
        </w:rPr>
        <w:t>4.5 Community centred access strategies</w:t>
      </w:r>
    </w:p>
    <w:p w14:paraId="42EEBE7B"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Best practice combines three elements. First, micro staging that limits the length of active work zones and preserves clear pedestrian paths. Second, concierge style access management for businesses, with predictable delivery windows and clear wayfinding. Third, transparent disruption metrics and regular reporting at precinct level. These practices maintain social licence, shorten recovery time after milestones, and support local economic activity during construction (Social Value UK 2020).</w:t>
      </w:r>
    </w:p>
    <w:p w14:paraId="5C0E3DD0" w14:textId="77777777" w:rsidR="00C44271" w:rsidRPr="00C44271" w:rsidRDefault="00000000" w:rsidP="00C44271">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A2A234F">
          <v:rect id="_x0000_i1030" style="width:0;height:1.5pt" o:hralign="center" o:hrstd="t" o:hr="t" fillcolor="#a0a0a0" stroked="f"/>
        </w:pict>
      </w:r>
    </w:p>
    <w:p w14:paraId="29663931" w14:textId="77777777" w:rsidR="00C44271" w:rsidRPr="00C44271" w:rsidRDefault="00C44271" w:rsidP="00C4427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44271">
        <w:rPr>
          <w:rFonts w:ascii="Times New Roman" w:eastAsia="Times New Roman" w:hAnsi="Times New Roman" w:cs="Times New Roman"/>
          <w:b/>
          <w:bCs/>
          <w:kern w:val="0"/>
          <w:sz w:val="36"/>
          <w:szCs w:val="36"/>
          <w:lang w:eastAsia="en-AU"/>
          <w14:ligatures w14:val="none"/>
        </w:rPr>
        <w:t>5. Delivery Strategy for PLR Type Programs</w:t>
      </w:r>
    </w:p>
    <w:p w14:paraId="51ACE477" w14:textId="77777777" w:rsidR="00C44271" w:rsidRPr="00C44271" w:rsidRDefault="00C44271" w:rsidP="00C442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4271">
        <w:rPr>
          <w:rFonts w:ascii="Times New Roman" w:eastAsia="Times New Roman" w:hAnsi="Times New Roman" w:cs="Times New Roman"/>
          <w:b/>
          <w:bCs/>
          <w:kern w:val="0"/>
          <w:sz w:val="27"/>
          <w:szCs w:val="27"/>
          <w:lang w:eastAsia="en-AU"/>
          <w14:ligatures w14:val="none"/>
        </w:rPr>
        <w:t>5.1 Program architecture and integration</w:t>
      </w:r>
    </w:p>
    <w:p w14:paraId="70C596FF"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 xml:space="preserve">Create a central Integration Office responsible for interfaces, staging, and change control across all packages. The office manages a single master schedule with rolling wave detail at zone level, supported by weekly short interval control. Decision cycles are formalised, with time boxed forums that bring designers, constructors, utility representatives, traffic managers, and community liaisons together to resolve block level issues. This structure reduces delays caused by sequential sign offs and promotes </w:t>
      </w:r>
      <w:proofErr w:type="spellStart"/>
      <w:r w:rsidRPr="00C44271">
        <w:rPr>
          <w:rFonts w:ascii="Times New Roman" w:eastAsia="Times New Roman" w:hAnsi="Times New Roman" w:cs="Times New Roman"/>
          <w:kern w:val="0"/>
          <w:sz w:val="24"/>
          <w:szCs w:val="24"/>
          <w:lang w:eastAsia="en-AU"/>
          <w14:ligatures w14:val="none"/>
        </w:rPr>
        <w:t>co ordinated</w:t>
      </w:r>
      <w:proofErr w:type="spellEnd"/>
      <w:r w:rsidRPr="00C44271">
        <w:rPr>
          <w:rFonts w:ascii="Times New Roman" w:eastAsia="Times New Roman" w:hAnsi="Times New Roman" w:cs="Times New Roman"/>
          <w:kern w:val="0"/>
          <w:sz w:val="24"/>
          <w:szCs w:val="24"/>
          <w:lang w:eastAsia="en-AU"/>
          <w14:ligatures w14:val="none"/>
        </w:rPr>
        <w:t xml:space="preserve"> action in the field (PMI 2021).</w:t>
      </w:r>
    </w:p>
    <w:p w14:paraId="673EB8CF" w14:textId="77777777" w:rsidR="00C44271" w:rsidRPr="00C44271" w:rsidRDefault="00C44271" w:rsidP="00C442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4271">
        <w:rPr>
          <w:rFonts w:ascii="Times New Roman" w:eastAsia="Times New Roman" w:hAnsi="Times New Roman" w:cs="Times New Roman"/>
          <w:b/>
          <w:bCs/>
          <w:kern w:val="0"/>
          <w:sz w:val="27"/>
          <w:szCs w:val="27"/>
          <w:lang w:eastAsia="en-AU"/>
          <w14:ligatures w14:val="none"/>
        </w:rPr>
        <w:t>5.2 Utilities Early Works Corridor</w:t>
      </w:r>
    </w:p>
    <w:p w14:paraId="6C44C6EC"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 xml:space="preserve">Package utilities by asset class and geography, and sequence relocations several months ahead of main corridor works. Use target outturn cost with pain or gain incentives that reward early discovery of conflicts and fast resolution. Co locate utility designers with the construction team and require joint site walks before each workface opens. Establish </w:t>
      </w:r>
      <w:proofErr w:type="spellStart"/>
      <w:proofErr w:type="gramStart"/>
      <w:r w:rsidRPr="00C44271">
        <w:rPr>
          <w:rFonts w:ascii="Times New Roman" w:eastAsia="Times New Roman" w:hAnsi="Times New Roman" w:cs="Times New Roman"/>
          <w:kern w:val="0"/>
          <w:sz w:val="24"/>
          <w:szCs w:val="24"/>
          <w:lang w:eastAsia="en-AU"/>
          <w14:ligatures w14:val="none"/>
        </w:rPr>
        <w:t>pre approved</w:t>
      </w:r>
      <w:proofErr w:type="spellEnd"/>
      <w:proofErr w:type="gramEnd"/>
      <w:r w:rsidRPr="00C44271">
        <w:rPr>
          <w:rFonts w:ascii="Times New Roman" w:eastAsia="Times New Roman" w:hAnsi="Times New Roman" w:cs="Times New Roman"/>
          <w:kern w:val="0"/>
          <w:sz w:val="24"/>
          <w:szCs w:val="24"/>
          <w:lang w:eastAsia="en-AU"/>
          <w14:ligatures w14:val="none"/>
        </w:rPr>
        <w:t xml:space="preserve"> standard details for common crossings to shorten design cycles (UK NAO 2020; APM 2019).</w:t>
      </w:r>
    </w:p>
    <w:p w14:paraId="259030E4" w14:textId="77777777" w:rsidR="00C44271" w:rsidRPr="00C44271" w:rsidRDefault="00C44271" w:rsidP="00C442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4271">
        <w:rPr>
          <w:rFonts w:ascii="Times New Roman" w:eastAsia="Times New Roman" w:hAnsi="Times New Roman" w:cs="Times New Roman"/>
          <w:b/>
          <w:bCs/>
          <w:kern w:val="0"/>
          <w:sz w:val="27"/>
          <w:szCs w:val="27"/>
          <w:lang w:eastAsia="en-AU"/>
          <w14:ligatures w14:val="none"/>
        </w:rPr>
        <w:t>5.3 Progressive design with constructability and access hold points</w:t>
      </w:r>
    </w:p>
    <w:p w14:paraId="27B056B3"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lastRenderedPageBreak/>
        <w:t>Define hold points at key design stages. For each block, require signed evidence that staging maintains minimum footpath widths, driveway access for agreed windows, and emergency routes. Hold points also confirm that utilities are either relocated or protected with agreed methods, and that traffic management plans have agency and council endorsements. Lock the alignment only after these conditions are met, which protects downstream productivity (ISO 2018; PMI 2021).</w:t>
      </w:r>
    </w:p>
    <w:p w14:paraId="32FAC986" w14:textId="77777777" w:rsidR="00C44271" w:rsidRPr="00C44271" w:rsidRDefault="00C44271" w:rsidP="00C442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4271">
        <w:rPr>
          <w:rFonts w:ascii="Times New Roman" w:eastAsia="Times New Roman" w:hAnsi="Times New Roman" w:cs="Times New Roman"/>
          <w:b/>
          <w:bCs/>
          <w:kern w:val="0"/>
          <w:sz w:val="27"/>
          <w:szCs w:val="27"/>
          <w:lang w:eastAsia="en-AU"/>
          <w14:ligatures w14:val="none"/>
        </w:rPr>
        <w:t>5.4 Common data environment and field mobility</w:t>
      </w:r>
    </w:p>
    <w:p w14:paraId="5A11F1DE"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 xml:space="preserve">Adopt a program wide common data environment with controlled workflows. Link model versions to construction </w:t>
      </w:r>
      <w:proofErr w:type="gramStart"/>
      <w:r w:rsidRPr="00C44271">
        <w:rPr>
          <w:rFonts w:ascii="Times New Roman" w:eastAsia="Times New Roman" w:hAnsi="Times New Roman" w:cs="Times New Roman"/>
          <w:kern w:val="0"/>
          <w:sz w:val="24"/>
          <w:szCs w:val="24"/>
          <w:lang w:eastAsia="en-AU"/>
          <w14:ligatures w14:val="none"/>
        </w:rPr>
        <w:t>zones, and</w:t>
      </w:r>
      <w:proofErr w:type="gramEnd"/>
      <w:r w:rsidRPr="00C44271">
        <w:rPr>
          <w:rFonts w:ascii="Times New Roman" w:eastAsia="Times New Roman" w:hAnsi="Times New Roman" w:cs="Times New Roman"/>
          <w:kern w:val="0"/>
          <w:sz w:val="24"/>
          <w:szCs w:val="24"/>
          <w:lang w:eastAsia="en-AU"/>
          <w14:ligatures w14:val="none"/>
        </w:rPr>
        <w:t xml:space="preserve"> publish 4D sequences for each fortnightly look ahead. Provide field teams with mobile access to approved drawings and method statements, including </w:t>
      </w:r>
      <w:proofErr w:type="gramStart"/>
      <w:r w:rsidRPr="00C44271">
        <w:rPr>
          <w:rFonts w:ascii="Times New Roman" w:eastAsia="Times New Roman" w:hAnsi="Times New Roman" w:cs="Times New Roman"/>
          <w:kern w:val="0"/>
          <w:sz w:val="24"/>
          <w:szCs w:val="24"/>
          <w:lang w:eastAsia="en-AU"/>
          <w14:ligatures w14:val="none"/>
        </w:rPr>
        <w:t>location based</w:t>
      </w:r>
      <w:proofErr w:type="gramEnd"/>
      <w:r w:rsidRPr="00C44271">
        <w:rPr>
          <w:rFonts w:ascii="Times New Roman" w:eastAsia="Times New Roman" w:hAnsi="Times New Roman" w:cs="Times New Roman"/>
          <w:kern w:val="0"/>
          <w:sz w:val="24"/>
          <w:szCs w:val="24"/>
          <w:lang w:eastAsia="en-AU"/>
          <w14:ligatures w14:val="none"/>
        </w:rPr>
        <w:t xml:space="preserve"> hazard registers. Require digital red lines and photo evidence as part of quality closeout, which shortens verification time and improves knowledge transfer across crews (ISO 2018).</w:t>
      </w:r>
    </w:p>
    <w:p w14:paraId="7D78C9D4" w14:textId="77777777" w:rsidR="00C44271" w:rsidRPr="00C44271" w:rsidRDefault="00C44271" w:rsidP="00C442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4271">
        <w:rPr>
          <w:rFonts w:ascii="Times New Roman" w:eastAsia="Times New Roman" w:hAnsi="Times New Roman" w:cs="Times New Roman"/>
          <w:b/>
          <w:bCs/>
          <w:kern w:val="0"/>
          <w:sz w:val="27"/>
          <w:szCs w:val="27"/>
          <w:lang w:eastAsia="en-AU"/>
          <w14:ligatures w14:val="none"/>
        </w:rPr>
        <w:t>5.5 Community value key performance indicators</w:t>
      </w:r>
    </w:p>
    <w:p w14:paraId="1DE3D7B5"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Define disruption key performance indicators alongside safety and schedule. Examples include maximum continuous driveway closure duration, minimum footpath width during works, night work frequency caps per block, and average business access time. Publish results monthly and tie a portion of contractor incentives to these KPIs. Establish a precinct activation fund for events and signage that support local trade during peak disruption (Social Value UK 2020).</w:t>
      </w:r>
    </w:p>
    <w:p w14:paraId="48D700D0" w14:textId="77777777" w:rsidR="00C44271" w:rsidRPr="00C44271" w:rsidRDefault="00C44271" w:rsidP="00C442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4271">
        <w:rPr>
          <w:rFonts w:ascii="Times New Roman" w:eastAsia="Times New Roman" w:hAnsi="Times New Roman" w:cs="Times New Roman"/>
          <w:b/>
          <w:bCs/>
          <w:kern w:val="0"/>
          <w:sz w:val="27"/>
          <w:szCs w:val="27"/>
          <w:lang w:eastAsia="en-AU"/>
          <w14:ligatures w14:val="none"/>
        </w:rPr>
        <w:t>5.6 Market capacity and resourcing plan</w:t>
      </w:r>
    </w:p>
    <w:p w14:paraId="7B46FF08"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 xml:space="preserve">Sequence procurements to avoid resource </w:t>
      </w:r>
      <w:proofErr w:type="gramStart"/>
      <w:r w:rsidRPr="00C44271">
        <w:rPr>
          <w:rFonts w:ascii="Times New Roman" w:eastAsia="Times New Roman" w:hAnsi="Times New Roman" w:cs="Times New Roman"/>
          <w:kern w:val="0"/>
          <w:sz w:val="24"/>
          <w:szCs w:val="24"/>
          <w:lang w:eastAsia="en-AU"/>
          <w14:ligatures w14:val="none"/>
        </w:rPr>
        <w:t>peaks, and</w:t>
      </w:r>
      <w:proofErr w:type="gramEnd"/>
      <w:r w:rsidRPr="00C44271">
        <w:rPr>
          <w:rFonts w:ascii="Times New Roman" w:eastAsia="Times New Roman" w:hAnsi="Times New Roman" w:cs="Times New Roman"/>
          <w:kern w:val="0"/>
          <w:sz w:val="24"/>
          <w:szCs w:val="24"/>
          <w:lang w:eastAsia="en-AU"/>
          <w14:ligatures w14:val="none"/>
        </w:rPr>
        <w:t xml:space="preserve"> use framework agreements with option lots to add capacity when performance is demonstrated. Require apprenticeships and targeted training in signalling and traction power to expand the local skills base. Use off site prefabrication for stop components and electrical rooms where feasible, which reduces on street durations and improves quality reliability (Infrastructure Australia 2021).</w:t>
      </w:r>
    </w:p>
    <w:p w14:paraId="6DB2BD14" w14:textId="77777777" w:rsidR="00C44271" w:rsidRPr="00C44271" w:rsidRDefault="00000000" w:rsidP="00C44271">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D995DA5">
          <v:rect id="_x0000_i1031" style="width:0;height:1.5pt" o:hralign="center" o:hrstd="t" o:hr="t" fillcolor="#a0a0a0" stroked="f"/>
        </w:pict>
      </w:r>
    </w:p>
    <w:p w14:paraId="7D0CAD1C" w14:textId="77777777" w:rsidR="00C44271" w:rsidRPr="00C44271" w:rsidRDefault="00C44271" w:rsidP="00C4427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44271">
        <w:rPr>
          <w:rFonts w:ascii="Times New Roman" w:eastAsia="Times New Roman" w:hAnsi="Times New Roman" w:cs="Times New Roman"/>
          <w:b/>
          <w:bCs/>
          <w:kern w:val="0"/>
          <w:sz w:val="36"/>
          <w:szCs w:val="36"/>
          <w:lang w:eastAsia="en-AU"/>
          <w14:ligatures w14:val="none"/>
        </w:rPr>
        <w:t>6. Risk Management and Assurance</w:t>
      </w:r>
    </w:p>
    <w:p w14:paraId="6A5A0D52" w14:textId="77777777" w:rsidR="00C44271" w:rsidRPr="00C44271" w:rsidRDefault="00C44271" w:rsidP="00C442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4271">
        <w:rPr>
          <w:rFonts w:ascii="Times New Roman" w:eastAsia="Times New Roman" w:hAnsi="Times New Roman" w:cs="Times New Roman"/>
          <w:b/>
          <w:bCs/>
          <w:kern w:val="0"/>
          <w:sz w:val="27"/>
          <w:szCs w:val="27"/>
          <w:lang w:eastAsia="en-AU"/>
          <w14:ligatures w14:val="none"/>
        </w:rPr>
        <w:t>6.1 Risk register and leading indicators</w:t>
      </w:r>
    </w:p>
    <w:p w14:paraId="1BBDF043"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Structure the risk register around five categories, utilities discovery, traffic and access, third party approvals, systems integration, and social licence. For each category, track leading indicators weekly. Examples include percentage of utilities verified by potholing in next four weeks of workfaces, number of approved access plans per block, average approval turnaround time, number of unresolved model clashes within the next six weeks, and precinct level disruption KPI performance. Use these indicators to drive decisions at senior leadership and site coordination levels (PMI 2021; ISO 2018).</w:t>
      </w:r>
    </w:p>
    <w:p w14:paraId="60B6FC46" w14:textId="77777777" w:rsidR="00C44271" w:rsidRPr="00C44271" w:rsidRDefault="00C44271" w:rsidP="00C442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4271">
        <w:rPr>
          <w:rFonts w:ascii="Times New Roman" w:eastAsia="Times New Roman" w:hAnsi="Times New Roman" w:cs="Times New Roman"/>
          <w:b/>
          <w:bCs/>
          <w:kern w:val="0"/>
          <w:sz w:val="27"/>
          <w:szCs w:val="27"/>
          <w:lang w:eastAsia="en-AU"/>
          <w14:ligatures w14:val="none"/>
        </w:rPr>
        <w:t>6.2 Progressive assurance and readiness gates</w:t>
      </w:r>
    </w:p>
    <w:p w14:paraId="66F903A3"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lastRenderedPageBreak/>
        <w:t>Adopt readiness gates before each construction wave. Independent reviewers confirm that utilities preconditions are met, that design maturity is sufficient for field execution, and that approvals and community notices are complete. Passage through gates is conditional on evidence, not calendar dates. This prevents premature mobilisation, which is a common cause of rework and productivity loss in brownfield programs (UK NAO 2020; Infrastructure Australia 2021).</w:t>
      </w:r>
    </w:p>
    <w:p w14:paraId="7A0D67DE" w14:textId="77777777" w:rsidR="00C44271" w:rsidRPr="00C44271" w:rsidRDefault="00C44271" w:rsidP="00C442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4271">
        <w:rPr>
          <w:rFonts w:ascii="Times New Roman" w:eastAsia="Times New Roman" w:hAnsi="Times New Roman" w:cs="Times New Roman"/>
          <w:b/>
          <w:bCs/>
          <w:kern w:val="0"/>
          <w:sz w:val="27"/>
          <w:szCs w:val="27"/>
          <w:lang w:eastAsia="en-AU"/>
          <w14:ligatures w14:val="none"/>
        </w:rPr>
        <w:t>6.3 Incident learning and behavioural safety</w:t>
      </w:r>
    </w:p>
    <w:p w14:paraId="6F569FD0"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 xml:space="preserve">Implement just in time learning sessions that address recent incidents and near misses. Rotate supervisors across segments to spread good </w:t>
      </w:r>
      <w:proofErr w:type="gramStart"/>
      <w:r w:rsidRPr="00C44271">
        <w:rPr>
          <w:rFonts w:ascii="Times New Roman" w:eastAsia="Times New Roman" w:hAnsi="Times New Roman" w:cs="Times New Roman"/>
          <w:kern w:val="0"/>
          <w:sz w:val="24"/>
          <w:szCs w:val="24"/>
          <w:lang w:eastAsia="en-AU"/>
          <w14:ligatures w14:val="none"/>
        </w:rPr>
        <w:t>practice, and</w:t>
      </w:r>
      <w:proofErr w:type="gramEnd"/>
      <w:r w:rsidRPr="00C44271">
        <w:rPr>
          <w:rFonts w:ascii="Times New Roman" w:eastAsia="Times New Roman" w:hAnsi="Times New Roman" w:cs="Times New Roman"/>
          <w:kern w:val="0"/>
          <w:sz w:val="24"/>
          <w:szCs w:val="24"/>
          <w:lang w:eastAsia="en-AU"/>
          <w14:ligatures w14:val="none"/>
        </w:rPr>
        <w:t xml:space="preserve"> maintain stable leadership teams to reduce variability in decision making. Recognise that fatigue, shift transitions, and administrative burden can degrade performance, and counter these with streamlined digital workflows and roster designs that protect recovery time (APM 2019).</w:t>
      </w:r>
    </w:p>
    <w:p w14:paraId="693DEB9E" w14:textId="77777777" w:rsidR="00C44271" w:rsidRPr="00C44271" w:rsidRDefault="00000000" w:rsidP="00C44271">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FAA7BDF">
          <v:rect id="_x0000_i1032" style="width:0;height:1.5pt" o:hralign="center" o:hrstd="t" o:hr="t" fillcolor="#a0a0a0" stroked="f"/>
        </w:pict>
      </w:r>
    </w:p>
    <w:p w14:paraId="0784EC63" w14:textId="77777777" w:rsidR="00C44271" w:rsidRPr="00C44271" w:rsidRDefault="00C44271" w:rsidP="00C4427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44271">
        <w:rPr>
          <w:rFonts w:ascii="Times New Roman" w:eastAsia="Times New Roman" w:hAnsi="Times New Roman" w:cs="Times New Roman"/>
          <w:b/>
          <w:bCs/>
          <w:kern w:val="0"/>
          <w:sz w:val="36"/>
          <w:szCs w:val="36"/>
          <w:lang w:eastAsia="en-AU"/>
          <w14:ligatures w14:val="none"/>
        </w:rPr>
        <w:t>7. Sustainability and Place Outcomes</w:t>
      </w:r>
    </w:p>
    <w:p w14:paraId="116D393B"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A credible sustainability strategy balances construction impacts with long term benefits. During delivery, priorities include low emission site compounds, responsible spoil management, recycled materials for trench backfill, and low carbon concrete where practicable. During operations, priority outcomes include durable, accessible streetscapes that encourage walking and cycling to stops, water sensitive urban design to manage stormwater, and shade and greening to improve thermal comfort. Embedding these outcomes in the brief and procurement ensures that place quality is not value engineered late in delivery, when changes are costly and stakeholder trust is fragile (Infrastructure Australia 2021; Social Value UK 2020).</w:t>
      </w:r>
    </w:p>
    <w:p w14:paraId="263946CE" w14:textId="77777777" w:rsidR="00C44271" w:rsidRPr="00C44271" w:rsidRDefault="00000000" w:rsidP="00C44271">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A5F20CF">
          <v:rect id="_x0000_i1033" style="width:0;height:1.5pt" o:hralign="center" o:hrstd="t" o:hr="t" fillcolor="#a0a0a0" stroked="f"/>
        </w:pict>
      </w:r>
    </w:p>
    <w:p w14:paraId="7E5E136A" w14:textId="77777777" w:rsidR="00C44271" w:rsidRPr="00C44271" w:rsidRDefault="00C44271" w:rsidP="00C4427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44271">
        <w:rPr>
          <w:rFonts w:ascii="Times New Roman" w:eastAsia="Times New Roman" w:hAnsi="Times New Roman" w:cs="Times New Roman"/>
          <w:b/>
          <w:bCs/>
          <w:kern w:val="0"/>
          <w:sz w:val="36"/>
          <w:szCs w:val="36"/>
          <w:lang w:eastAsia="en-AU"/>
          <w14:ligatures w14:val="none"/>
        </w:rPr>
        <w:t>8. Recommendations</w:t>
      </w:r>
    </w:p>
    <w:p w14:paraId="7A1BCDC1" w14:textId="77777777" w:rsidR="00C44271" w:rsidRPr="00C44271" w:rsidRDefault="00C44271" w:rsidP="00C4427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b/>
          <w:bCs/>
          <w:kern w:val="0"/>
          <w:sz w:val="24"/>
          <w:szCs w:val="24"/>
          <w:lang w:eastAsia="en-AU"/>
          <w14:ligatures w14:val="none"/>
        </w:rPr>
        <w:t>Establish an Integration Office</w:t>
      </w:r>
      <w:r w:rsidRPr="00C44271">
        <w:rPr>
          <w:rFonts w:ascii="Times New Roman" w:eastAsia="Times New Roman" w:hAnsi="Times New Roman" w:cs="Times New Roman"/>
          <w:kern w:val="0"/>
          <w:sz w:val="24"/>
          <w:szCs w:val="24"/>
          <w:lang w:eastAsia="en-AU"/>
          <w14:ligatures w14:val="none"/>
        </w:rPr>
        <w:t xml:space="preserve"> with authority over interfaces, staging, and change across all packages, under a single master schedule with short interval control.</w:t>
      </w:r>
    </w:p>
    <w:p w14:paraId="17B155E2" w14:textId="77777777" w:rsidR="00C44271" w:rsidRPr="00C44271" w:rsidRDefault="00C44271" w:rsidP="00C4427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b/>
          <w:bCs/>
          <w:kern w:val="0"/>
          <w:sz w:val="24"/>
          <w:szCs w:val="24"/>
          <w:lang w:eastAsia="en-AU"/>
          <w14:ligatures w14:val="none"/>
        </w:rPr>
        <w:t>Create a dedicated Utilities Early Works Corridor</w:t>
      </w:r>
      <w:r w:rsidRPr="00C44271">
        <w:rPr>
          <w:rFonts w:ascii="Times New Roman" w:eastAsia="Times New Roman" w:hAnsi="Times New Roman" w:cs="Times New Roman"/>
          <w:kern w:val="0"/>
          <w:sz w:val="24"/>
          <w:szCs w:val="24"/>
          <w:lang w:eastAsia="en-AU"/>
          <w14:ligatures w14:val="none"/>
        </w:rPr>
        <w:t xml:space="preserve"> that delivers high risk relocations ahead of main works, with embedded utility owners and </w:t>
      </w:r>
      <w:proofErr w:type="gramStart"/>
      <w:r w:rsidRPr="00C44271">
        <w:rPr>
          <w:rFonts w:ascii="Times New Roman" w:eastAsia="Times New Roman" w:hAnsi="Times New Roman" w:cs="Times New Roman"/>
          <w:kern w:val="0"/>
          <w:sz w:val="24"/>
          <w:szCs w:val="24"/>
          <w:lang w:eastAsia="en-AU"/>
          <w14:ligatures w14:val="none"/>
        </w:rPr>
        <w:t>incentive based</w:t>
      </w:r>
      <w:proofErr w:type="gramEnd"/>
      <w:r w:rsidRPr="00C44271">
        <w:rPr>
          <w:rFonts w:ascii="Times New Roman" w:eastAsia="Times New Roman" w:hAnsi="Times New Roman" w:cs="Times New Roman"/>
          <w:kern w:val="0"/>
          <w:sz w:val="24"/>
          <w:szCs w:val="24"/>
          <w:lang w:eastAsia="en-AU"/>
          <w14:ligatures w14:val="none"/>
        </w:rPr>
        <w:t xml:space="preserve"> target outturn cost.</w:t>
      </w:r>
    </w:p>
    <w:p w14:paraId="093880D1" w14:textId="77777777" w:rsidR="00C44271" w:rsidRPr="00C44271" w:rsidRDefault="00C44271" w:rsidP="00C4427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b/>
          <w:bCs/>
          <w:kern w:val="0"/>
          <w:sz w:val="24"/>
          <w:szCs w:val="24"/>
          <w:lang w:eastAsia="en-AU"/>
          <w14:ligatures w14:val="none"/>
        </w:rPr>
        <w:t>Adopt progressive definition with formal hold points</w:t>
      </w:r>
      <w:r w:rsidRPr="00C44271">
        <w:rPr>
          <w:rFonts w:ascii="Times New Roman" w:eastAsia="Times New Roman" w:hAnsi="Times New Roman" w:cs="Times New Roman"/>
          <w:kern w:val="0"/>
          <w:sz w:val="24"/>
          <w:szCs w:val="24"/>
          <w:lang w:eastAsia="en-AU"/>
          <w14:ligatures w14:val="none"/>
        </w:rPr>
        <w:t xml:space="preserve"> that require constructability, staging, and access compliance before alignment lock in.</w:t>
      </w:r>
    </w:p>
    <w:p w14:paraId="57B290DD" w14:textId="77777777" w:rsidR="00C44271" w:rsidRPr="00C44271" w:rsidRDefault="00C44271" w:rsidP="00C4427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b/>
          <w:bCs/>
          <w:kern w:val="0"/>
          <w:sz w:val="24"/>
          <w:szCs w:val="24"/>
          <w:lang w:eastAsia="en-AU"/>
          <w14:ligatures w14:val="none"/>
        </w:rPr>
        <w:t>Use a relational contracting model at program scale</w:t>
      </w:r>
      <w:r w:rsidRPr="00C44271">
        <w:rPr>
          <w:rFonts w:ascii="Times New Roman" w:eastAsia="Times New Roman" w:hAnsi="Times New Roman" w:cs="Times New Roman"/>
          <w:kern w:val="0"/>
          <w:sz w:val="24"/>
          <w:szCs w:val="24"/>
          <w:lang w:eastAsia="en-AU"/>
          <w14:ligatures w14:val="none"/>
        </w:rPr>
        <w:t xml:space="preserve"> to align incentives, share discovery risk, and accelerate resolution of field issues.</w:t>
      </w:r>
    </w:p>
    <w:p w14:paraId="786C5E4D" w14:textId="77777777" w:rsidR="00C44271" w:rsidRPr="00C44271" w:rsidRDefault="00C44271" w:rsidP="00C4427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b/>
          <w:bCs/>
          <w:kern w:val="0"/>
          <w:sz w:val="24"/>
          <w:szCs w:val="24"/>
          <w:lang w:eastAsia="en-AU"/>
          <w14:ligatures w14:val="none"/>
        </w:rPr>
        <w:t>Deploy a common data environment linked to 4D planning</w:t>
      </w:r>
      <w:r w:rsidRPr="00C44271">
        <w:rPr>
          <w:rFonts w:ascii="Times New Roman" w:eastAsia="Times New Roman" w:hAnsi="Times New Roman" w:cs="Times New Roman"/>
          <w:kern w:val="0"/>
          <w:sz w:val="24"/>
          <w:szCs w:val="24"/>
          <w:lang w:eastAsia="en-AU"/>
          <w14:ligatures w14:val="none"/>
        </w:rPr>
        <w:t xml:space="preserve"> to expose clashes early and to support field mobility, digital red lines, and rapid assurance.</w:t>
      </w:r>
    </w:p>
    <w:p w14:paraId="706A9F04" w14:textId="77777777" w:rsidR="00C44271" w:rsidRPr="00C44271" w:rsidRDefault="00C44271" w:rsidP="00C4427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b/>
          <w:bCs/>
          <w:kern w:val="0"/>
          <w:sz w:val="24"/>
          <w:szCs w:val="24"/>
          <w:lang w:eastAsia="en-AU"/>
          <w14:ligatures w14:val="none"/>
        </w:rPr>
        <w:t>Define and publish disruption KPIs</w:t>
      </w:r>
      <w:r w:rsidRPr="00C44271">
        <w:rPr>
          <w:rFonts w:ascii="Times New Roman" w:eastAsia="Times New Roman" w:hAnsi="Times New Roman" w:cs="Times New Roman"/>
          <w:kern w:val="0"/>
          <w:sz w:val="24"/>
          <w:szCs w:val="24"/>
          <w:lang w:eastAsia="en-AU"/>
          <w14:ligatures w14:val="none"/>
        </w:rPr>
        <w:t xml:space="preserve"> that carry incentive weight alongside traditional metrics, and fund precinct activation during peak disruption.</w:t>
      </w:r>
    </w:p>
    <w:p w14:paraId="45633DC9" w14:textId="77777777" w:rsidR="00C44271" w:rsidRPr="00C44271" w:rsidRDefault="00C44271" w:rsidP="00C4427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b/>
          <w:bCs/>
          <w:kern w:val="0"/>
          <w:sz w:val="24"/>
          <w:szCs w:val="24"/>
          <w:lang w:eastAsia="en-AU"/>
          <w14:ligatures w14:val="none"/>
        </w:rPr>
        <w:t>Plan market capacity explicitly</w:t>
      </w:r>
      <w:r w:rsidRPr="00C44271">
        <w:rPr>
          <w:rFonts w:ascii="Times New Roman" w:eastAsia="Times New Roman" w:hAnsi="Times New Roman" w:cs="Times New Roman"/>
          <w:kern w:val="0"/>
          <w:sz w:val="24"/>
          <w:szCs w:val="24"/>
          <w:lang w:eastAsia="en-AU"/>
          <w14:ligatures w14:val="none"/>
        </w:rPr>
        <w:t xml:space="preserve"> through staged procurements, skills pipelines, and </w:t>
      </w:r>
      <w:proofErr w:type="gramStart"/>
      <w:r w:rsidRPr="00C44271">
        <w:rPr>
          <w:rFonts w:ascii="Times New Roman" w:eastAsia="Times New Roman" w:hAnsi="Times New Roman" w:cs="Times New Roman"/>
          <w:kern w:val="0"/>
          <w:sz w:val="24"/>
          <w:szCs w:val="24"/>
          <w:lang w:eastAsia="en-AU"/>
          <w14:ligatures w14:val="none"/>
        </w:rPr>
        <w:t>off site</w:t>
      </w:r>
      <w:proofErr w:type="gramEnd"/>
      <w:r w:rsidRPr="00C44271">
        <w:rPr>
          <w:rFonts w:ascii="Times New Roman" w:eastAsia="Times New Roman" w:hAnsi="Times New Roman" w:cs="Times New Roman"/>
          <w:kern w:val="0"/>
          <w:sz w:val="24"/>
          <w:szCs w:val="24"/>
          <w:lang w:eastAsia="en-AU"/>
          <w14:ligatures w14:val="none"/>
        </w:rPr>
        <w:t xml:space="preserve"> prefabrication strategies.</w:t>
      </w:r>
    </w:p>
    <w:p w14:paraId="0B462010" w14:textId="77777777" w:rsidR="00C44271" w:rsidRPr="00C44271" w:rsidRDefault="00C44271" w:rsidP="00C4427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b/>
          <w:bCs/>
          <w:kern w:val="0"/>
          <w:sz w:val="24"/>
          <w:szCs w:val="24"/>
          <w:lang w:eastAsia="en-AU"/>
          <w14:ligatures w14:val="none"/>
        </w:rPr>
        <w:lastRenderedPageBreak/>
        <w:t>Implement progressive assurance</w:t>
      </w:r>
      <w:r w:rsidRPr="00C44271">
        <w:rPr>
          <w:rFonts w:ascii="Times New Roman" w:eastAsia="Times New Roman" w:hAnsi="Times New Roman" w:cs="Times New Roman"/>
          <w:kern w:val="0"/>
          <w:sz w:val="24"/>
          <w:szCs w:val="24"/>
          <w:lang w:eastAsia="en-AU"/>
          <w14:ligatures w14:val="none"/>
        </w:rPr>
        <w:t xml:space="preserve"> with </w:t>
      </w:r>
      <w:proofErr w:type="gramStart"/>
      <w:r w:rsidRPr="00C44271">
        <w:rPr>
          <w:rFonts w:ascii="Times New Roman" w:eastAsia="Times New Roman" w:hAnsi="Times New Roman" w:cs="Times New Roman"/>
          <w:kern w:val="0"/>
          <w:sz w:val="24"/>
          <w:szCs w:val="24"/>
          <w:lang w:eastAsia="en-AU"/>
          <w14:ligatures w14:val="none"/>
        </w:rPr>
        <w:t>evidence based</w:t>
      </w:r>
      <w:proofErr w:type="gramEnd"/>
      <w:r w:rsidRPr="00C44271">
        <w:rPr>
          <w:rFonts w:ascii="Times New Roman" w:eastAsia="Times New Roman" w:hAnsi="Times New Roman" w:cs="Times New Roman"/>
          <w:kern w:val="0"/>
          <w:sz w:val="24"/>
          <w:szCs w:val="24"/>
          <w:lang w:eastAsia="en-AU"/>
          <w14:ligatures w14:val="none"/>
        </w:rPr>
        <w:t xml:space="preserve"> readiness gates that measure risk burn down and benefit alignment.</w:t>
      </w:r>
    </w:p>
    <w:p w14:paraId="1C48C9B3"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These actions target the specific interdependencies that undermine performance on PLR type projects, and they are transferable across Australian brownfield transport programs where utilities, access, and community outcomes are central to success (Flyvbjerg 2014; UK NAO 2020; Infrastructure Australia 2021).</w:t>
      </w:r>
    </w:p>
    <w:p w14:paraId="2F6EA13C" w14:textId="77777777" w:rsidR="00C44271" w:rsidRPr="00C44271" w:rsidRDefault="00000000" w:rsidP="00C44271">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E7A7659">
          <v:rect id="_x0000_i1034" style="width:0;height:1.5pt" o:hralign="center" o:hrstd="t" o:hr="t" fillcolor="#a0a0a0" stroked="f"/>
        </w:pict>
      </w:r>
    </w:p>
    <w:p w14:paraId="422C4008" w14:textId="77777777" w:rsidR="00C44271" w:rsidRPr="00C44271" w:rsidRDefault="00C44271" w:rsidP="00C4427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44271">
        <w:rPr>
          <w:rFonts w:ascii="Times New Roman" w:eastAsia="Times New Roman" w:hAnsi="Times New Roman" w:cs="Times New Roman"/>
          <w:b/>
          <w:bCs/>
          <w:kern w:val="0"/>
          <w:sz w:val="36"/>
          <w:szCs w:val="36"/>
          <w:lang w:eastAsia="en-AU"/>
          <w14:ligatures w14:val="none"/>
        </w:rPr>
        <w:t>9. Conclusion</w:t>
      </w:r>
    </w:p>
    <w:p w14:paraId="36A14674"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 xml:space="preserve">The Parramatta Light Rail program exemplifies the contemporary Australian challenge of delivering complex transport infrastructure within established urban fabric while sustaining city function and public trust. The analysis shows that performance depends on closing early information gaps, aligning contracts with interfaces, empowering integration leadership, and strengthening outcome led assurance. By embedding utilities early works, progressive definition, program scale collaboration, digital engineering, and community centred KPIs, agencies can reduce risk and improve productivity without compromising place quality. These directions align with the CVEN9723 expectations for professional presentation and referenced analysis. </w:t>
      </w:r>
    </w:p>
    <w:p w14:paraId="641897EC" w14:textId="77777777" w:rsidR="00C44271" w:rsidRPr="00C44271" w:rsidRDefault="00000000" w:rsidP="00C44271">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B1B034E">
          <v:rect id="_x0000_i1035" style="width:0;height:1.5pt" o:hralign="center" o:hrstd="t" o:hr="t" fillcolor="#a0a0a0" stroked="f"/>
        </w:pict>
      </w:r>
    </w:p>
    <w:p w14:paraId="1E891306" w14:textId="77777777" w:rsidR="00C44271" w:rsidRPr="00C44271" w:rsidRDefault="00C44271" w:rsidP="00C4427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44271">
        <w:rPr>
          <w:rFonts w:ascii="Times New Roman" w:eastAsia="Times New Roman" w:hAnsi="Times New Roman" w:cs="Times New Roman"/>
          <w:b/>
          <w:bCs/>
          <w:kern w:val="0"/>
          <w:sz w:val="36"/>
          <w:szCs w:val="36"/>
          <w:lang w:eastAsia="en-AU"/>
          <w14:ligatures w14:val="none"/>
        </w:rPr>
        <w:t>References</w:t>
      </w:r>
    </w:p>
    <w:p w14:paraId="0BABA24D"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 xml:space="preserve">APM 2019, </w:t>
      </w:r>
      <w:r w:rsidRPr="00C44271">
        <w:rPr>
          <w:rFonts w:ascii="Times New Roman" w:eastAsia="Times New Roman" w:hAnsi="Times New Roman" w:cs="Times New Roman"/>
          <w:i/>
          <w:iCs/>
          <w:kern w:val="0"/>
          <w:sz w:val="24"/>
          <w:szCs w:val="24"/>
          <w:lang w:eastAsia="en-AU"/>
          <w14:ligatures w14:val="none"/>
        </w:rPr>
        <w:t>APM Body of Knowledge</w:t>
      </w:r>
      <w:r w:rsidRPr="00C44271">
        <w:rPr>
          <w:rFonts w:ascii="Times New Roman" w:eastAsia="Times New Roman" w:hAnsi="Times New Roman" w:cs="Times New Roman"/>
          <w:kern w:val="0"/>
          <w:sz w:val="24"/>
          <w:szCs w:val="24"/>
          <w:lang w:eastAsia="en-AU"/>
          <w14:ligatures w14:val="none"/>
        </w:rPr>
        <w:t xml:space="preserve">, 7th </w:t>
      </w:r>
      <w:proofErr w:type="spellStart"/>
      <w:r w:rsidRPr="00C44271">
        <w:rPr>
          <w:rFonts w:ascii="Times New Roman" w:eastAsia="Times New Roman" w:hAnsi="Times New Roman" w:cs="Times New Roman"/>
          <w:kern w:val="0"/>
          <w:sz w:val="24"/>
          <w:szCs w:val="24"/>
          <w:lang w:eastAsia="en-AU"/>
          <w14:ligatures w14:val="none"/>
        </w:rPr>
        <w:t>edn</w:t>
      </w:r>
      <w:proofErr w:type="spellEnd"/>
      <w:r w:rsidRPr="00C44271">
        <w:rPr>
          <w:rFonts w:ascii="Times New Roman" w:eastAsia="Times New Roman" w:hAnsi="Times New Roman" w:cs="Times New Roman"/>
          <w:kern w:val="0"/>
          <w:sz w:val="24"/>
          <w:szCs w:val="24"/>
          <w:lang w:eastAsia="en-AU"/>
          <w14:ligatures w14:val="none"/>
        </w:rPr>
        <w:t>, Association for Project Management, Buckinghamshire.</w:t>
      </w:r>
    </w:p>
    <w:p w14:paraId="527E24A3"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 xml:space="preserve">Flyvbjerg, B 2014, ‘What You Should Know About Megaprojects and Why: An Overview’, </w:t>
      </w:r>
      <w:r w:rsidRPr="00C44271">
        <w:rPr>
          <w:rFonts w:ascii="Times New Roman" w:eastAsia="Times New Roman" w:hAnsi="Times New Roman" w:cs="Times New Roman"/>
          <w:i/>
          <w:iCs/>
          <w:kern w:val="0"/>
          <w:sz w:val="24"/>
          <w:szCs w:val="24"/>
          <w:lang w:eastAsia="en-AU"/>
          <w14:ligatures w14:val="none"/>
        </w:rPr>
        <w:t>Project Management Journal</w:t>
      </w:r>
      <w:r w:rsidRPr="00C44271">
        <w:rPr>
          <w:rFonts w:ascii="Times New Roman" w:eastAsia="Times New Roman" w:hAnsi="Times New Roman" w:cs="Times New Roman"/>
          <w:kern w:val="0"/>
          <w:sz w:val="24"/>
          <w:szCs w:val="24"/>
          <w:lang w:eastAsia="en-AU"/>
          <w14:ligatures w14:val="none"/>
        </w:rPr>
        <w:t>, vol. 45, no. 2, pp. 6–20.</w:t>
      </w:r>
    </w:p>
    <w:p w14:paraId="4C5051B0"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 xml:space="preserve">Infrastructure Australia 2021, </w:t>
      </w:r>
      <w:r w:rsidRPr="00C44271">
        <w:rPr>
          <w:rFonts w:ascii="Times New Roman" w:eastAsia="Times New Roman" w:hAnsi="Times New Roman" w:cs="Times New Roman"/>
          <w:i/>
          <w:iCs/>
          <w:kern w:val="0"/>
          <w:sz w:val="24"/>
          <w:szCs w:val="24"/>
          <w:lang w:eastAsia="en-AU"/>
          <w14:ligatures w14:val="none"/>
        </w:rPr>
        <w:t>Assessment Framework: Detailed Guidance for Project Proponents</w:t>
      </w:r>
      <w:r w:rsidRPr="00C44271">
        <w:rPr>
          <w:rFonts w:ascii="Times New Roman" w:eastAsia="Times New Roman" w:hAnsi="Times New Roman" w:cs="Times New Roman"/>
          <w:kern w:val="0"/>
          <w:sz w:val="24"/>
          <w:szCs w:val="24"/>
          <w:lang w:eastAsia="en-AU"/>
          <w14:ligatures w14:val="none"/>
        </w:rPr>
        <w:t>, Infrastructure Australia, Canberra.</w:t>
      </w:r>
    </w:p>
    <w:p w14:paraId="405AA9EC"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 xml:space="preserve">ISO 2018, </w:t>
      </w:r>
      <w:r w:rsidRPr="00C44271">
        <w:rPr>
          <w:rFonts w:ascii="Times New Roman" w:eastAsia="Times New Roman" w:hAnsi="Times New Roman" w:cs="Times New Roman"/>
          <w:i/>
          <w:iCs/>
          <w:kern w:val="0"/>
          <w:sz w:val="24"/>
          <w:szCs w:val="24"/>
          <w:lang w:eastAsia="en-AU"/>
          <w14:ligatures w14:val="none"/>
        </w:rPr>
        <w:t>ISO 31000:2018 Risk Management, Guidelines</w:t>
      </w:r>
      <w:r w:rsidRPr="00C44271">
        <w:rPr>
          <w:rFonts w:ascii="Times New Roman" w:eastAsia="Times New Roman" w:hAnsi="Times New Roman" w:cs="Times New Roman"/>
          <w:kern w:val="0"/>
          <w:sz w:val="24"/>
          <w:szCs w:val="24"/>
          <w:lang w:eastAsia="en-AU"/>
          <w14:ligatures w14:val="none"/>
        </w:rPr>
        <w:t>, International Organization for Standardization, Geneva.</w:t>
      </w:r>
    </w:p>
    <w:p w14:paraId="7135AC88"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 xml:space="preserve">PMI 2021, </w:t>
      </w:r>
      <w:r w:rsidRPr="00C44271">
        <w:rPr>
          <w:rFonts w:ascii="Times New Roman" w:eastAsia="Times New Roman" w:hAnsi="Times New Roman" w:cs="Times New Roman"/>
          <w:i/>
          <w:iCs/>
          <w:kern w:val="0"/>
          <w:sz w:val="24"/>
          <w:szCs w:val="24"/>
          <w:lang w:eastAsia="en-AU"/>
          <w14:ligatures w14:val="none"/>
        </w:rPr>
        <w:t>A Guide to the Project Management Body of Knowledge (PMBOK Guide)</w:t>
      </w:r>
      <w:r w:rsidRPr="00C44271">
        <w:rPr>
          <w:rFonts w:ascii="Times New Roman" w:eastAsia="Times New Roman" w:hAnsi="Times New Roman" w:cs="Times New Roman"/>
          <w:kern w:val="0"/>
          <w:sz w:val="24"/>
          <w:szCs w:val="24"/>
          <w:lang w:eastAsia="en-AU"/>
          <w14:ligatures w14:val="none"/>
        </w:rPr>
        <w:t xml:space="preserve">, 7th </w:t>
      </w:r>
      <w:proofErr w:type="spellStart"/>
      <w:r w:rsidRPr="00C44271">
        <w:rPr>
          <w:rFonts w:ascii="Times New Roman" w:eastAsia="Times New Roman" w:hAnsi="Times New Roman" w:cs="Times New Roman"/>
          <w:kern w:val="0"/>
          <w:sz w:val="24"/>
          <w:szCs w:val="24"/>
          <w:lang w:eastAsia="en-AU"/>
          <w14:ligatures w14:val="none"/>
        </w:rPr>
        <w:t>edn</w:t>
      </w:r>
      <w:proofErr w:type="spellEnd"/>
      <w:r w:rsidRPr="00C44271">
        <w:rPr>
          <w:rFonts w:ascii="Times New Roman" w:eastAsia="Times New Roman" w:hAnsi="Times New Roman" w:cs="Times New Roman"/>
          <w:kern w:val="0"/>
          <w:sz w:val="24"/>
          <w:szCs w:val="24"/>
          <w:lang w:eastAsia="en-AU"/>
          <w14:ligatures w14:val="none"/>
        </w:rPr>
        <w:t>, Project Management Institute, Newtown Square.</w:t>
      </w:r>
    </w:p>
    <w:p w14:paraId="3328C987" w14:textId="77777777" w:rsidR="00C44271"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 xml:space="preserve">Social Value UK 2020, </w:t>
      </w:r>
      <w:r w:rsidRPr="00C44271">
        <w:rPr>
          <w:rFonts w:ascii="Times New Roman" w:eastAsia="Times New Roman" w:hAnsi="Times New Roman" w:cs="Times New Roman"/>
          <w:i/>
          <w:iCs/>
          <w:kern w:val="0"/>
          <w:sz w:val="24"/>
          <w:szCs w:val="24"/>
          <w:lang w:eastAsia="en-AU"/>
          <w14:ligatures w14:val="none"/>
        </w:rPr>
        <w:t>Guidance on Social Value in Construction</w:t>
      </w:r>
      <w:r w:rsidRPr="00C44271">
        <w:rPr>
          <w:rFonts w:ascii="Times New Roman" w:eastAsia="Times New Roman" w:hAnsi="Times New Roman" w:cs="Times New Roman"/>
          <w:kern w:val="0"/>
          <w:sz w:val="24"/>
          <w:szCs w:val="24"/>
          <w:lang w:eastAsia="en-AU"/>
          <w14:ligatures w14:val="none"/>
        </w:rPr>
        <w:t>, Social Value UK, Liverpool.</w:t>
      </w:r>
    </w:p>
    <w:p w14:paraId="054AB280" w14:textId="60DF39D0" w:rsidR="00C13BF4" w:rsidRPr="00C44271" w:rsidRDefault="00C44271" w:rsidP="00C4427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4271">
        <w:rPr>
          <w:rFonts w:ascii="Times New Roman" w:eastAsia="Times New Roman" w:hAnsi="Times New Roman" w:cs="Times New Roman"/>
          <w:kern w:val="0"/>
          <w:sz w:val="24"/>
          <w:szCs w:val="24"/>
          <w:lang w:eastAsia="en-AU"/>
          <w14:ligatures w14:val="none"/>
        </w:rPr>
        <w:t xml:space="preserve">UK NAO 2020, </w:t>
      </w:r>
      <w:r w:rsidRPr="00C44271">
        <w:rPr>
          <w:rFonts w:ascii="Times New Roman" w:eastAsia="Times New Roman" w:hAnsi="Times New Roman" w:cs="Times New Roman"/>
          <w:i/>
          <w:iCs/>
          <w:kern w:val="0"/>
          <w:sz w:val="24"/>
          <w:szCs w:val="24"/>
          <w:lang w:eastAsia="en-AU"/>
          <w14:ligatures w14:val="none"/>
        </w:rPr>
        <w:t>Lessons Learned, Delivering Major Projects and Programmes</w:t>
      </w:r>
      <w:r w:rsidRPr="00C44271">
        <w:rPr>
          <w:rFonts w:ascii="Times New Roman" w:eastAsia="Times New Roman" w:hAnsi="Times New Roman" w:cs="Times New Roman"/>
          <w:kern w:val="0"/>
          <w:sz w:val="24"/>
          <w:szCs w:val="24"/>
          <w:lang w:eastAsia="en-AU"/>
          <w14:ligatures w14:val="none"/>
        </w:rPr>
        <w:t>, National Audit Office, London.</w:t>
      </w:r>
    </w:p>
    <w:sectPr w:rsidR="00C13BF4" w:rsidRPr="00C44271">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ECE7E" w14:textId="77777777" w:rsidR="001F33ED" w:rsidRDefault="001F33ED" w:rsidP="00513E5F">
      <w:pPr>
        <w:spacing w:after="0" w:line="240" w:lineRule="auto"/>
      </w:pPr>
      <w:r>
        <w:separator/>
      </w:r>
    </w:p>
  </w:endnote>
  <w:endnote w:type="continuationSeparator" w:id="0">
    <w:p w14:paraId="20B52F09" w14:textId="77777777" w:rsidR="001F33ED" w:rsidRDefault="001F33ED" w:rsidP="00513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FBB2B" w14:textId="77777777" w:rsidR="00513E5F" w:rsidRDefault="00513E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7218617"/>
      <w:docPartObj>
        <w:docPartGallery w:val="Page Numbers (Bottom of Page)"/>
        <w:docPartUnique/>
      </w:docPartObj>
    </w:sdtPr>
    <w:sdtEndPr>
      <w:rPr>
        <w:noProof/>
      </w:rPr>
    </w:sdtEndPr>
    <w:sdtContent>
      <w:p w14:paraId="3D16827D" w14:textId="2A65B22A" w:rsidR="00513E5F" w:rsidRDefault="00513E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EAFB34" w14:textId="77777777" w:rsidR="00513E5F" w:rsidRDefault="00513E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D3985" w14:textId="77777777" w:rsidR="00513E5F" w:rsidRDefault="00513E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13747" w14:textId="77777777" w:rsidR="001F33ED" w:rsidRDefault="001F33ED" w:rsidP="00513E5F">
      <w:pPr>
        <w:spacing w:after="0" w:line="240" w:lineRule="auto"/>
      </w:pPr>
      <w:r>
        <w:separator/>
      </w:r>
    </w:p>
  </w:footnote>
  <w:footnote w:type="continuationSeparator" w:id="0">
    <w:p w14:paraId="22CB0165" w14:textId="77777777" w:rsidR="001F33ED" w:rsidRDefault="001F33ED" w:rsidP="00513E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57EAF" w14:textId="77777777" w:rsidR="00513E5F" w:rsidRDefault="00513E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CA617" w14:textId="77777777" w:rsidR="00513E5F" w:rsidRDefault="00513E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F9253" w14:textId="77777777" w:rsidR="00513E5F" w:rsidRDefault="00513E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4718FC"/>
    <w:multiLevelType w:val="multilevel"/>
    <w:tmpl w:val="4B7A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571C09"/>
    <w:multiLevelType w:val="multilevel"/>
    <w:tmpl w:val="757E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FF5D2A"/>
    <w:multiLevelType w:val="multilevel"/>
    <w:tmpl w:val="A320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3B57EF"/>
    <w:multiLevelType w:val="multilevel"/>
    <w:tmpl w:val="86C4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CA4881"/>
    <w:multiLevelType w:val="multilevel"/>
    <w:tmpl w:val="813A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2B5881"/>
    <w:multiLevelType w:val="multilevel"/>
    <w:tmpl w:val="13420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1506195">
    <w:abstractNumId w:val="2"/>
  </w:num>
  <w:num w:numId="2" w16cid:durableId="821698845">
    <w:abstractNumId w:val="6"/>
  </w:num>
  <w:num w:numId="3" w16cid:durableId="1500922540">
    <w:abstractNumId w:val="1"/>
  </w:num>
  <w:num w:numId="4" w16cid:durableId="207767914">
    <w:abstractNumId w:val="0"/>
  </w:num>
  <w:num w:numId="5" w16cid:durableId="1618871916">
    <w:abstractNumId w:val="4"/>
  </w:num>
  <w:num w:numId="6" w16cid:durableId="260798750">
    <w:abstractNumId w:val="9"/>
  </w:num>
  <w:num w:numId="7" w16cid:durableId="175848617">
    <w:abstractNumId w:val="5"/>
  </w:num>
  <w:num w:numId="8" w16cid:durableId="1343581325">
    <w:abstractNumId w:val="7"/>
  </w:num>
  <w:num w:numId="9" w16cid:durableId="1348367718">
    <w:abstractNumId w:val="3"/>
  </w:num>
  <w:num w:numId="10" w16cid:durableId="1029064157">
    <w:abstractNumId w:val="10"/>
  </w:num>
  <w:num w:numId="11" w16cid:durableId="18972744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qQUAC0VChCwAAAA="/>
  </w:docVars>
  <w:rsids>
    <w:rsidRoot w:val="00AE4A1F"/>
    <w:rsid w:val="000333AF"/>
    <w:rsid w:val="000772F3"/>
    <w:rsid w:val="000A09D0"/>
    <w:rsid w:val="001554BB"/>
    <w:rsid w:val="0018356D"/>
    <w:rsid w:val="001F33ED"/>
    <w:rsid w:val="00233DAC"/>
    <w:rsid w:val="00281372"/>
    <w:rsid w:val="002965DD"/>
    <w:rsid w:val="003902B4"/>
    <w:rsid w:val="00390A91"/>
    <w:rsid w:val="003F12E7"/>
    <w:rsid w:val="004042ED"/>
    <w:rsid w:val="00414F14"/>
    <w:rsid w:val="00513E5F"/>
    <w:rsid w:val="00801B2A"/>
    <w:rsid w:val="00846E8A"/>
    <w:rsid w:val="008F2E42"/>
    <w:rsid w:val="00934A3F"/>
    <w:rsid w:val="00960508"/>
    <w:rsid w:val="00AE4A1F"/>
    <w:rsid w:val="00B54D89"/>
    <w:rsid w:val="00BC7ACE"/>
    <w:rsid w:val="00C00B0B"/>
    <w:rsid w:val="00C13BF4"/>
    <w:rsid w:val="00C44271"/>
    <w:rsid w:val="00C76BEF"/>
    <w:rsid w:val="00C90F11"/>
    <w:rsid w:val="00F01CAB"/>
    <w:rsid w:val="00F877F1"/>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semiHidden/>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Strong">
    <w:name w:val="Strong"/>
    <w:basedOn w:val="DefaultParagraphFont"/>
    <w:uiPriority w:val="22"/>
    <w:qFormat/>
    <w:rsid w:val="004042ED"/>
    <w:rPr>
      <w:b/>
      <w:bCs/>
    </w:rPr>
  </w:style>
  <w:style w:type="character" w:styleId="Emphasis">
    <w:name w:val="Emphasis"/>
    <w:basedOn w:val="DefaultParagraphFont"/>
    <w:uiPriority w:val="20"/>
    <w:qFormat/>
    <w:rsid w:val="004042ED"/>
    <w:rPr>
      <w:i/>
      <w:iCs/>
    </w:rPr>
  </w:style>
  <w:style w:type="paragraph" w:styleId="Header">
    <w:name w:val="header"/>
    <w:basedOn w:val="Normal"/>
    <w:link w:val="HeaderChar"/>
    <w:uiPriority w:val="99"/>
    <w:unhideWhenUsed/>
    <w:rsid w:val="00513E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3E5F"/>
  </w:style>
  <w:style w:type="paragraph" w:styleId="Footer">
    <w:name w:val="footer"/>
    <w:basedOn w:val="Normal"/>
    <w:link w:val="FooterChar"/>
    <w:uiPriority w:val="99"/>
    <w:unhideWhenUsed/>
    <w:rsid w:val="00513E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3E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3242</Words>
  <Characters>18482</Characters>
  <Application>Microsoft Office Word</Application>
  <DocSecurity>0</DocSecurity>
  <Lines>154</Lines>
  <Paragraphs>43</Paragraphs>
  <ScaleCrop>false</ScaleCrop>
  <Company/>
  <LinksUpToDate>false</LinksUpToDate>
  <CharactersWithSpaces>21681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8</cp:revision>
  <dcterms:created xsi:type="dcterms:W3CDTF">2025-10-12T05:00:00Z</dcterms:created>
  <dcterms:modified xsi:type="dcterms:W3CDTF">2025-10-12T05:43:00Z</dcterms:modified>
</cp:coreProperties>
</file>