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DE83" w14:textId="77777777" w:rsidR="00F66F27" w:rsidRPr="00F66F27" w:rsidRDefault="00F66F27" w:rsidP="00F66F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F66F27">
        <w:rPr>
          <w:rFonts w:ascii="Times New Roman" w:eastAsia="Times New Roman" w:hAnsi="Times New Roman" w:cs="Times New Roman"/>
          <w:b/>
          <w:bCs/>
          <w:kern w:val="36"/>
          <w:sz w:val="48"/>
          <w:szCs w:val="48"/>
          <w:lang w:eastAsia="en-AU"/>
          <w14:ligatures w14:val="none"/>
        </w:rPr>
        <w:t>CVEN9723 Group Report</w:t>
      </w:r>
    </w:p>
    <w:p w14:paraId="5411FEF6"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Grand Challenges and Emerging Opportunities in the Australian Construction Industry</w:t>
      </w:r>
      <w:r w:rsidRPr="00F66F27">
        <w:rPr>
          <w:rFonts w:ascii="Times New Roman" w:eastAsia="Times New Roman" w:hAnsi="Times New Roman" w:cs="Times New Roman"/>
          <w:kern w:val="0"/>
          <w:sz w:val="24"/>
          <w:szCs w:val="24"/>
          <w:lang w:eastAsia="en-AU"/>
          <w14:ligatures w14:val="none"/>
        </w:rPr>
        <w:br/>
      </w:r>
      <w:r w:rsidRPr="00F66F27">
        <w:rPr>
          <w:rFonts w:ascii="Times New Roman" w:eastAsia="Times New Roman" w:hAnsi="Times New Roman" w:cs="Times New Roman"/>
          <w:b/>
          <w:bCs/>
          <w:kern w:val="0"/>
          <w:sz w:val="24"/>
          <w:szCs w:val="24"/>
          <w:lang w:eastAsia="en-AU"/>
          <w14:ligatures w14:val="none"/>
        </w:rPr>
        <w:t>Case Study, Parramatta Light Rail Stage 1</w:t>
      </w:r>
    </w:p>
    <w:p w14:paraId="516F0620"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Executive Summary</w:t>
      </w:r>
      <w:r w:rsidRPr="00F66F27">
        <w:rPr>
          <w:rFonts w:ascii="Times New Roman" w:eastAsia="Times New Roman" w:hAnsi="Times New Roman" w:cs="Times New Roman"/>
          <w:kern w:val="0"/>
          <w:sz w:val="24"/>
          <w:szCs w:val="24"/>
          <w:lang w:eastAsia="en-AU"/>
          <w14:ligatures w14:val="none"/>
        </w:rPr>
        <w:br/>
        <w:t xml:space="preserve">This report investigates grand challenges encountered on the Parramatta Light Rail Stage 1 and identifies connected root causes and practical pathways to address them. The most material challenges were supply chain volatility, heritage and urban integration constraints, complex stakeholder coordination across a dense activity centre, and </w:t>
      </w:r>
      <w:proofErr w:type="spellStart"/>
      <w:r w:rsidRPr="00F66F27">
        <w:rPr>
          <w:rFonts w:ascii="Times New Roman" w:eastAsia="Times New Roman" w:hAnsi="Times New Roman" w:cs="Times New Roman"/>
          <w:kern w:val="0"/>
          <w:sz w:val="24"/>
          <w:szCs w:val="24"/>
          <w:lang w:eastAsia="en-AU"/>
          <w14:ligatures w14:val="none"/>
        </w:rPr>
        <w:t>workzone</w:t>
      </w:r>
      <w:proofErr w:type="spellEnd"/>
      <w:r w:rsidRPr="00F66F27">
        <w:rPr>
          <w:rFonts w:ascii="Times New Roman" w:eastAsia="Times New Roman" w:hAnsi="Times New Roman" w:cs="Times New Roman"/>
          <w:kern w:val="0"/>
          <w:sz w:val="24"/>
          <w:szCs w:val="24"/>
          <w:lang w:eastAsia="en-AU"/>
          <w14:ligatures w14:val="none"/>
        </w:rPr>
        <w:t xml:space="preserve"> productivity under stringent traffic and service continuity requirements. We review international practice on brownfield light rail delivery and propose an integrated roadmap for the Australian context that combines program-level risk buffering, collaborative planning with utilities and heritage custodians, off-site fabrication for repeatable elements, lean construction for high-constraint workfaces, and a progressive digital twin, using common data environments, 4D schedules, and field-validated as-built capture. A staged benefits-focused implementation plan is offered with an 18-month quick-win tranche and a three-to-five-year maturation tranche. The approach targets improvements in on-site productivity, change responsiveness, and community outcomes, supported by governance that links delivery assurance to real-time evidence streams. The report concludes with eight actionable recommendations and a concise risk and benefits profile.</w:t>
      </w:r>
    </w:p>
    <w:p w14:paraId="2B4AC800"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Keywords:</w:t>
      </w:r>
      <w:r w:rsidRPr="00F66F27">
        <w:rPr>
          <w:rFonts w:ascii="Times New Roman" w:eastAsia="Times New Roman" w:hAnsi="Times New Roman" w:cs="Times New Roman"/>
          <w:kern w:val="0"/>
          <w:sz w:val="24"/>
          <w:szCs w:val="24"/>
          <w:lang w:eastAsia="en-AU"/>
          <w14:ligatures w14:val="none"/>
        </w:rPr>
        <w:t xml:space="preserve"> light rail, brownfield construction, stakeholder coordination, utilities, digital twin, lean construction, off-site manufacturing, program assurance</w:t>
      </w:r>
    </w:p>
    <w:p w14:paraId="6EE781B0"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D31A0F3">
          <v:rect id="_x0000_i1025" style="width:0;height:1.5pt" o:hralign="center" o:hrstd="t" o:hr="t" fillcolor="#a0a0a0" stroked="f"/>
        </w:pict>
      </w:r>
    </w:p>
    <w:p w14:paraId="42672709"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1. Introduction</w:t>
      </w:r>
    </w:p>
    <w:p w14:paraId="0A5165E8"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Parramatta is a major metropolitan centre in Greater Sydney, where urban growth, heritage values, and critical services converge within a constrained corridor. Parramatta Light Rail Stage 1 aims to connect key precincts, catalyse transit-oriented development, and improve mode share. Delivering a rail system in live streets introduces distinctive industry-scale challenges. This report synthesises those challenges into a coherent diagnosis, then translates the analysis into opportunities for improved industry practice in similar Australian projects.</w:t>
      </w:r>
    </w:p>
    <w:p w14:paraId="6FBF1C6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Objectives</w:t>
      </w:r>
    </w:p>
    <w:p w14:paraId="11B1217E" w14:textId="77777777" w:rsidR="00F66F27" w:rsidRPr="00F66F27" w:rsidRDefault="00F66F27" w:rsidP="00F66F2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Identify the principal challenges encountered in brownfield light rail delivery in dense urban centres.</w:t>
      </w:r>
    </w:p>
    <w:p w14:paraId="535E874F" w14:textId="77777777" w:rsidR="00F66F27" w:rsidRPr="00F66F27" w:rsidRDefault="00F66F27" w:rsidP="00F66F2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Analyse the intrinsic connections among the challenges, focusing on how one issue amplifies another.</w:t>
      </w:r>
    </w:p>
    <w:p w14:paraId="6C79C5CD" w14:textId="77777777" w:rsidR="00F66F27" w:rsidRPr="00F66F27" w:rsidRDefault="00F66F27" w:rsidP="00F66F2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Review effective practices from comparable projects internationally and locally.</w:t>
      </w:r>
    </w:p>
    <w:p w14:paraId="16A63D17" w14:textId="77777777" w:rsidR="00F66F27" w:rsidRPr="00F66F27" w:rsidRDefault="00F66F27" w:rsidP="00F66F2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Propose future-oriented opportunities and a practical roadmap that the Australian construction industry can adopt.</w:t>
      </w:r>
    </w:p>
    <w:p w14:paraId="0282595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lastRenderedPageBreak/>
        <w:t>Scope and method</w:t>
      </w:r>
      <w:r w:rsidRPr="00F66F27">
        <w:rPr>
          <w:rFonts w:ascii="Times New Roman" w:eastAsia="Times New Roman" w:hAnsi="Times New Roman" w:cs="Times New Roman"/>
          <w:kern w:val="0"/>
          <w:sz w:val="24"/>
          <w:szCs w:val="24"/>
          <w:lang w:eastAsia="en-AU"/>
          <w14:ligatures w14:val="none"/>
        </w:rPr>
        <w:br/>
        <w:t>A structured desktop review was combined with a notional case synthesis. Sources include guidance documents, peer-reviewed studies on rail delivery, lean construction practice, digital engineering, and utilities management, as well as policy and client-side lessons learned where available, for example Transport for London experience on on-street rail and North American transit programs (Love et al., 2019, Locatelli et al., 2020, Furlong, 2021, Whyte, 2019, O’Reilly and Davison, 2022).</w:t>
      </w:r>
    </w:p>
    <w:p w14:paraId="5DA980F2"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13F83B95">
          <v:rect id="_x0000_i1026" style="width:0;height:1.5pt" o:hralign="center" o:hrstd="t" o:hr="t" fillcolor="#a0a0a0" stroked="f"/>
        </w:pict>
      </w:r>
    </w:p>
    <w:p w14:paraId="4AC49BCF"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2. Case Project Overview and Main Challenges</w:t>
      </w:r>
    </w:p>
    <w:p w14:paraId="739A2126"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2.1 Project overview</w:t>
      </w:r>
    </w:p>
    <w:p w14:paraId="7AF69D8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Parramatta Light Rail Stage 1 is conceived as a predominantly on-street alignment with stops serving civic, education, health, and retail destinations. Typical workfaces include track slab construction, stop platforms, overhead wiring, signalling, utility relocations, urban realm upgrades, and tie-ins at intersections. The corridor passes through areas of archaeological sensitivity and heritage significance and interfaces with high-capacity utilities.</w:t>
      </w:r>
    </w:p>
    <w:p w14:paraId="6206EFAE"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2.2 Main challenges identified</w:t>
      </w:r>
    </w:p>
    <w:p w14:paraId="3F25CEB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C1. Utility congestion and service continuity</w:t>
      </w:r>
      <w:r w:rsidRPr="00F66F27">
        <w:rPr>
          <w:rFonts w:ascii="Times New Roman" w:eastAsia="Times New Roman" w:hAnsi="Times New Roman" w:cs="Times New Roman"/>
          <w:kern w:val="0"/>
          <w:sz w:val="24"/>
          <w:szCs w:val="24"/>
          <w:lang w:eastAsia="en-AU"/>
          <w14:ligatures w14:val="none"/>
        </w:rPr>
        <w:br/>
        <w:t>High-density utilities with limited records accuracy create discovery risks and rework, which, in turn, disrupt traffic staging and business access. Service continuity requirements limit night or weekend outages, compressing productive windows (</w:t>
      </w:r>
      <w:proofErr w:type="spellStart"/>
      <w:r w:rsidRPr="00F66F27">
        <w:rPr>
          <w:rFonts w:ascii="Times New Roman" w:eastAsia="Times New Roman" w:hAnsi="Times New Roman" w:cs="Times New Roman"/>
          <w:kern w:val="0"/>
          <w:sz w:val="24"/>
          <w:szCs w:val="24"/>
          <w:lang w:eastAsia="en-AU"/>
          <w14:ligatures w14:val="none"/>
        </w:rPr>
        <w:t>Halfawy</w:t>
      </w:r>
      <w:proofErr w:type="spellEnd"/>
      <w:r w:rsidRPr="00F66F27">
        <w:rPr>
          <w:rFonts w:ascii="Times New Roman" w:eastAsia="Times New Roman" w:hAnsi="Times New Roman" w:cs="Times New Roman"/>
          <w:kern w:val="0"/>
          <w:sz w:val="24"/>
          <w:szCs w:val="24"/>
          <w:lang w:eastAsia="en-AU"/>
          <w14:ligatures w14:val="none"/>
        </w:rPr>
        <w:t xml:space="preserve"> and Dridi, 2020).</w:t>
      </w:r>
    </w:p>
    <w:p w14:paraId="2878EB0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C2. Heritage and archaeology constraints</w:t>
      </w:r>
      <w:r w:rsidRPr="00F66F27">
        <w:rPr>
          <w:rFonts w:ascii="Times New Roman" w:eastAsia="Times New Roman" w:hAnsi="Times New Roman" w:cs="Times New Roman"/>
          <w:kern w:val="0"/>
          <w:sz w:val="24"/>
          <w:szCs w:val="24"/>
          <w:lang w:eastAsia="en-AU"/>
          <w14:ligatures w14:val="none"/>
        </w:rPr>
        <w:br/>
        <w:t>Investigations and approvals for heritage items and archaeology add process complexity and can alter construction means and methods, particularly around hand excavation, vibration limits, and monitoring (Historic England, 2020).</w:t>
      </w:r>
    </w:p>
    <w:p w14:paraId="41DE02A7"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C3. Stakeholder coordination across a live city</w:t>
      </w:r>
      <w:r w:rsidRPr="00F66F27">
        <w:rPr>
          <w:rFonts w:ascii="Times New Roman" w:eastAsia="Times New Roman" w:hAnsi="Times New Roman" w:cs="Times New Roman"/>
          <w:kern w:val="0"/>
          <w:sz w:val="24"/>
          <w:szCs w:val="24"/>
          <w:lang w:eastAsia="en-AU"/>
          <w14:ligatures w14:val="none"/>
        </w:rPr>
        <w:br/>
        <w:t>Multiple authorities, asset owners, institutions, and local businesses shape the feasible sequence of works. Misaligned calendars, event blackouts, and differing risk tolerances can degrade schedule reliability if not actively harmonised (Miller and Hobbs, 2005).</w:t>
      </w:r>
    </w:p>
    <w:p w14:paraId="7D188B98"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 xml:space="preserve">C4. </w:t>
      </w:r>
      <w:proofErr w:type="spellStart"/>
      <w:r w:rsidRPr="00F66F27">
        <w:rPr>
          <w:rFonts w:ascii="Times New Roman" w:eastAsia="Times New Roman" w:hAnsi="Times New Roman" w:cs="Times New Roman"/>
          <w:b/>
          <w:bCs/>
          <w:kern w:val="0"/>
          <w:sz w:val="24"/>
          <w:szCs w:val="24"/>
          <w:lang w:eastAsia="en-AU"/>
          <w14:ligatures w14:val="none"/>
        </w:rPr>
        <w:t>Workzone</w:t>
      </w:r>
      <w:proofErr w:type="spellEnd"/>
      <w:r w:rsidRPr="00F66F27">
        <w:rPr>
          <w:rFonts w:ascii="Times New Roman" w:eastAsia="Times New Roman" w:hAnsi="Times New Roman" w:cs="Times New Roman"/>
          <w:b/>
          <w:bCs/>
          <w:kern w:val="0"/>
          <w:sz w:val="24"/>
          <w:szCs w:val="24"/>
          <w:lang w:eastAsia="en-AU"/>
          <w14:ligatures w14:val="none"/>
        </w:rPr>
        <w:t xml:space="preserve"> productivity and traffic staging</w:t>
      </w:r>
      <w:r w:rsidRPr="00F66F27">
        <w:rPr>
          <w:rFonts w:ascii="Times New Roman" w:eastAsia="Times New Roman" w:hAnsi="Times New Roman" w:cs="Times New Roman"/>
          <w:kern w:val="0"/>
          <w:sz w:val="24"/>
          <w:szCs w:val="24"/>
          <w:lang w:eastAsia="en-AU"/>
          <w14:ligatures w14:val="none"/>
        </w:rPr>
        <w:br/>
        <w:t>Short, narrow, and frequently interrupted workfaces undermine flow efficiency. Frequent set-up and pack-down, compounded by traffic management and public access obligations, reduces effective tool time (Koskela et al., 2019).</w:t>
      </w:r>
    </w:p>
    <w:p w14:paraId="31B038A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C5. Supply chain and cost volatility</w:t>
      </w:r>
      <w:r w:rsidRPr="00F66F27">
        <w:rPr>
          <w:rFonts w:ascii="Times New Roman" w:eastAsia="Times New Roman" w:hAnsi="Times New Roman" w:cs="Times New Roman"/>
          <w:kern w:val="0"/>
          <w:sz w:val="24"/>
          <w:szCs w:val="24"/>
          <w:lang w:eastAsia="en-AU"/>
          <w14:ligatures w14:val="none"/>
        </w:rPr>
        <w:br/>
        <w:t>Market capacity, long-lead components, exchange rates, and inflation pressure add uncertainty, which, without buffering mechanisms, manifests as claims and change churn (Flyvbjerg, 2023).</w:t>
      </w:r>
    </w:p>
    <w:p w14:paraId="507986C7"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C6. Systems integration and assurance</w:t>
      </w:r>
      <w:r w:rsidRPr="00F66F27">
        <w:rPr>
          <w:rFonts w:ascii="Times New Roman" w:eastAsia="Times New Roman" w:hAnsi="Times New Roman" w:cs="Times New Roman"/>
          <w:kern w:val="0"/>
          <w:sz w:val="24"/>
          <w:szCs w:val="24"/>
          <w:lang w:eastAsia="en-AU"/>
          <w14:ligatures w14:val="none"/>
        </w:rPr>
        <w:br/>
        <w:t xml:space="preserve">On-street light rail integrates track, power, controls, communications, and urban design </w:t>
      </w:r>
      <w:r w:rsidRPr="00F66F27">
        <w:rPr>
          <w:rFonts w:ascii="Times New Roman" w:eastAsia="Times New Roman" w:hAnsi="Times New Roman" w:cs="Times New Roman"/>
          <w:kern w:val="0"/>
          <w:sz w:val="24"/>
          <w:szCs w:val="24"/>
          <w:lang w:eastAsia="en-AU"/>
          <w14:ligatures w14:val="none"/>
        </w:rPr>
        <w:lastRenderedPageBreak/>
        <w:t>elements. Interface definition and progressive assurance must keep pace with late design maturation and field variances (Whyte, 2019).</w:t>
      </w:r>
    </w:p>
    <w:p w14:paraId="613457A8"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5128A89">
          <v:rect id="_x0000_i1027" style="width:0;height:1.5pt" o:hralign="center" o:hrstd="t" o:hr="t" fillcolor="#a0a0a0" stroked="f"/>
        </w:pict>
      </w:r>
    </w:p>
    <w:p w14:paraId="3013C04B"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3. Root Causes and Intrinsic Connections</w:t>
      </w:r>
    </w:p>
    <w:p w14:paraId="00C4C52E"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Challenges do not occur in isolation, they reinforce each other. Figure 1 maps the connections that most strongly compound delivery risk.</w:t>
      </w:r>
    </w:p>
    <w:p w14:paraId="17CD379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Figure 1. Challenge interaction map, notional</w:t>
      </w:r>
      <w:r w:rsidRPr="00F66F27">
        <w:rPr>
          <w:rFonts w:ascii="Times New Roman" w:eastAsia="Times New Roman" w:hAnsi="Times New Roman" w:cs="Times New Roman"/>
          <w:kern w:val="0"/>
          <w:sz w:val="24"/>
          <w:szCs w:val="24"/>
          <w:lang w:eastAsia="en-AU"/>
          <w14:ligatures w14:val="none"/>
        </w:rPr>
        <w:br/>
        <w:t>[Diagram placeholder: circular node map with C1 to C6. Thick arrows from C1 Utility to C4 Productivity and C6 Assurance. Arrows from C3 Stakeholders to all others. Bidirectional links between C2 Heritage and C4 Productivity.]</w:t>
      </w:r>
    </w:p>
    <w:p w14:paraId="36D9CF48"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Key reinforcing loops</w:t>
      </w:r>
    </w:p>
    <w:p w14:paraId="5CF1CA12" w14:textId="77777777" w:rsidR="00F66F27" w:rsidRPr="00F66F27" w:rsidRDefault="00F66F27" w:rsidP="00F66F2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Utilities discovery loop:</w:t>
      </w:r>
      <w:r w:rsidRPr="00F66F27">
        <w:rPr>
          <w:rFonts w:ascii="Times New Roman" w:eastAsia="Times New Roman" w:hAnsi="Times New Roman" w:cs="Times New Roman"/>
          <w:kern w:val="0"/>
          <w:sz w:val="24"/>
          <w:szCs w:val="24"/>
          <w:lang w:eastAsia="en-AU"/>
          <w14:ligatures w14:val="none"/>
        </w:rPr>
        <w:t xml:space="preserve"> Incomplete utility data increases field discoveries, discoveries trigger redesign and resequencing, resequencing increases set-up transitions, transitions depress productivity and erode float, reduced float amplifies change impacts, which further impairs data collection and validation under time pressure.</w:t>
      </w:r>
    </w:p>
    <w:p w14:paraId="42E1ECA8" w14:textId="77777777" w:rsidR="00F66F27" w:rsidRPr="00F66F27" w:rsidRDefault="00F66F27" w:rsidP="00F66F2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Approvals loop:</w:t>
      </w:r>
      <w:r w:rsidRPr="00F66F27">
        <w:rPr>
          <w:rFonts w:ascii="Times New Roman" w:eastAsia="Times New Roman" w:hAnsi="Times New Roman" w:cs="Times New Roman"/>
          <w:kern w:val="0"/>
          <w:sz w:val="24"/>
          <w:szCs w:val="24"/>
          <w:lang w:eastAsia="en-AU"/>
          <w14:ligatures w14:val="none"/>
        </w:rPr>
        <w:t xml:space="preserve"> Heritage or traffic approvals lag, work windows shrink, crews fragment into smaller fronts, variability rises, quality risk increases, assurance documentation grows, delays accumulate.</w:t>
      </w:r>
    </w:p>
    <w:p w14:paraId="7040B3E2" w14:textId="77777777" w:rsidR="00F66F27" w:rsidRPr="00F66F27" w:rsidRDefault="00F66F27" w:rsidP="00F66F2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Supply loop:</w:t>
      </w:r>
      <w:r w:rsidRPr="00F66F27">
        <w:rPr>
          <w:rFonts w:ascii="Times New Roman" w:eastAsia="Times New Roman" w:hAnsi="Times New Roman" w:cs="Times New Roman"/>
          <w:kern w:val="0"/>
          <w:sz w:val="24"/>
          <w:szCs w:val="24"/>
          <w:lang w:eastAsia="en-AU"/>
          <w14:ligatures w14:val="none"/>
        </w:rPr>
        <w:t xml:space="preserve"> Market volatility affects component availability, forcing substitutions that can trigger new approvals and interface checks, which disrupt established sequences.</w:t>
      </w:r>
    </w:p>
    <w:p w14:paraId="7D41D08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Systemic drivers</w:t>
      </w:r>
    </w:p>
    <w:p w14:paraId="60EA76FB" w14:textId="77777777" w:rsidR="00F66F27" w:rsidRPr="00F66F27" w:rsidRDefault="00F66F27" w:rsidP="00F66F2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Information latency:</w:t>
      </w:r>
      <w:r w:rsidRPr="00F66F27">
        <w:rPr>
          <w:rFonts w:ascii="Times New Roman" w:eastAsia="Times New Roman" w:hAnsi="Times New Roman" w:cs="Times New Roman"/>
          <w:kern w:val="0"/>
          <w:sz w:val="24"/>
          <w:szCs w:val="24"/>
          <w:lang w:eastAsia="en-AU"/>
          <w14:ligatures w14:val="none"/>
        </w:rPr>
        <w:t xml:space="preserve"> As-built reality is discovered late relative to design decisions.</w:t>
      </w:r>
    </w:p>
    <w:p w14:paraId="1DE35939" w14:textId="77777777" w:rsidR="00F66F27" w:rsidRPr="00F66F27" w:rsidRDefault="00F66F27" w:rsidP="00F66F2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High coupling:</w:t>
      </w:r>
      <w:r w:rsidRPr="00F66F27">
        <w:rPr>
          <w:rFonts w:ascii="Times New Roman" w:eastAsia="Times New Roman" w:hAnsi="Times New Roman" w:cs="Times New Roman"/>
          <w:kern w:val="0"/>
          <w:sz w:val="24"/>
          <w:szCs w:val="24"/>
          <w:lang w:eastAsia="en-AU"/>
          <w14:ligatures w14:val="none"/>
        </w:rPr>
        <w:t xml:space="preserve"> Interdependent assets, stakeholders, and events across a tight corridor.</w:t>
      </w:r>
    </w:p>
    <w:p w14:paraId="35E2919C" w14:textId="77777777" w:rsidR="00F66F27" w:rsidRPr="00F66F27" w:rsidRDefault="00F66F27" w:rsidP="00F66F2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Transient workfaces:</w:t>
      </w:r>
      <w:r w:rsidRPr="00F66F27">
        <w:rPr>
          <w:rFonts w:ascii="Times New Roman" w:eastAsia="Times New Roman" w:hAnsi="Times New Roman" w:cs="Times New Roman"/>
          <w:kern w:val="0"/>
          <w:sz w:val="24"/>
          <w:szCs w:val="24"/>
          <w:lang w:eastAsia="en-AU"/>
          <w14:ligatures w14:val="none"/>
        </w:rPr>
        <w:t xml:space="preserve"> Many short-duration activities with frequent external interruptions.</w:t>
      </w:r>
    </w:p>
    <w:p w14:paraId="4FF8E676"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23598795">
          <v:rect id="_x0000_i1028" style="width:0;height:1.5pt" o:hralign="center" o:hrstd="t" o:hr="t" fillcolor="#a0a0a0" stroked="f"/>
        </w:pict>
      </w:r>
    </w:p>
    <w:p w14:paraId="1AAE2013"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4. Best Practice Review, Local and International</w:t>
      </w:r>
    </w:p>
    <w:p w14:paraId="25113F4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4.1 Utility management</w:t>
      </w:r>
    </w:p>
    <w:p w14:paraId="21B4B652" w14:textId="77777777" w:rsidR="00F66F27" w:rsidRPr="00F66F27" w:rsidRDefault="00F66F27" w:rsidP="00F66F2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Progressive utility model and test, then build:</w:t>
      </w:r>
      <w:r w:rsidRPr="00F66F27">
        <w:rPr>
          <w:rFonts w:ascii="Times New Roman" w:eastAsia="Times New Roman" w:hAnsi="Times New Roman" w:cs="Times New Roman"/>
          <w:kern w:val="0"/>
          <w:sz w:val="24"/>
          <w:szCs w:val="24"/>
          <w:lang w:eastAsia="en-AU"/>
          <w14:ligatures w14:val="none"/>
        </w:rPr>
        <w:t xml:space="preserve"> Early trial pits combined with geophysical methods, reconciled in a federated utility model that is contractually shared, improves certainty, particularly when paired with target cost incentives for verified clear corridors (SUE Level A, ASCE 38-22) (Anspach and Rogers, 2022).</w:t>
      </w:r>
    </w:p>
    <w:p w14:paraId="2CC33E7C" w14:textId="77777777" w:rsidR="00F66F27" w:rsidRPr="00F66F27" w:rsidRDefault="00F66F27" w:rsidP="00F66F2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lastRenderedPageBreak/>
        <w:t>Alliance-style utility cells:</w:t>
      </w:r>
      <w:r w:rsidRPr="00F66F27">
        <w:rPr>
          <w:rFonts w:ascii="Times New Roman" w:eastAsia="Times New Roman" w:hAnsi="Times New Roman" w:cs="Times New Roman"/>
          <w:kern w:val="0"/>
          <w:sz w:val="24"/>
          <w:szCs w:val="24"/>
          <w:lang w:eastAsia="en-AU"/>
          <w14:ligatures w14:val="none"/>
        </w:rPr>
        <w:t xml:space="preserve"> Dedicated multi-discipline utility cells co-located with design coordinators and asset owners accelerate decisions and reduce handover losses (Laan and </w:t>
      </w:r>
      <w:proofErr w:type="spellStart"/>
      <w:r w:rsidRPr="00F66F27">
        <w:rPr>
          <w:rFonts w:ascii="Times New Roman" w:eastAsia="Times New Roman" w:hAnsi="Times New Roman" w:cs="Times New Roman"/>
          <w:kern w:val="0"/>
          <w:sz w:val="24"/>
          <w:szCs w:val="24"/>
          <w:lang w:eastAsia="en-AU"/>
          <w14:ligatures w14:val="none"/>
        </w:rPr>
        <w:t>Voordijk</w:t>
      </w:r>
      <w:proofErr w:type="spellEnd"/>
      <w:r w:rsidRPr="00F66F27">
        <w:rPr>
          <w:rFonts w:ascii="Times New Roman" w:eastAsia="Times New Roman" w:hAnsi="Times New Roman" w:cs="Times New Roman"/>
          <w:kern w:val="0"/>
          <w:sz w:val="24"/>
          <w:szCs w:val="24"/>
          <w:lang w:eastAsia="en-AU"/>
          <w14:ligatures w14:val="none"/>
        </w:rPr>
        <w:t>, 2012).</w:t>
      </w:r>
    </w:p>
    <w:p w14:paraId="5940D497"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4.2 Heritage and archaeology</w:t>
      </w:r>
    </w:p>
    <w:p w14:paraId="272891E1" w14:textId="77777777" w:rsidR="00F66F27" w:rsidRPr="00F66F27" w:rsidRDefault="00F66F27" w:rsidP="00F66F2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Risk-based archaeological research designs:</w:t>
      </w:r>
      <w:r w:rsidRPr="00F66F27">
        <w:rPr>
          <w:rFonts w:ascii="Times New Roman" w:eastAsia="Times New Roman" w:hAnsi="Times New Roman" w:cs="Times New Roman"/>
          <w:kern w:val="0"/>
          <w:sz w:val="24"/>
          <w:szCs w:val="24"/>
          <w:lang w:eastAsia="en-AU"/>
          <w14:ligatures w14:val="none"/>
        </w:rPr>
        <w:t xml:space="preserve"> Zoning sensitivity maps, predictive modelling, and agreed method statements enable planned hand excavation and monitoring that preserves flow while meeting obligations (Historic England, 2020).</w:t>
      </w:r>
    </w:p>
    <w:p w14:paraId="5A71233A"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4.3 Workface planning and lean methods</w:t>
      </w:r>
    </w:p>
    <w:p w14:paraId="416154A4" w14:textId="77777777" w:rsidR="00F66F27" w:rsidRPr="00F66F27" w:rsidRDefault="00F66F27" w:rsidP="00F66F2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Takt planning for street corridors:</w:t>
      </w:r>
      <w:r w:rsidRPr="00F66F27">
        <w:rPr>
          <w:rFonts w:ascii="Times New Roman" w:eastAsia="Times New Roman" w:hAnsi="Times New Roman" w:cs="Times New Roman"/>
          <w:kern w:val="0"/>
          <w:sz w:val="24"/>
          <w:szCs w:val="24"/>
          <w:lang w:eastAsia="en-AU"/>
          <w14:ligatures w14:val="none"/>
        </w:rPr>
        <w:t xml:space="preserve"> Fixed cycle time blocks along adjacent segments can stabilise flow and create predictable windows for stakeholders, especially when supported by daily constraint removal and last planner routines (Frandson et al., 2015).</w:t>
      </w:r>
    </w:p>
    <w:p w14:paraId="4DF8F8FC" w14:textId="77777777" w:rsidR="00F66F27" w:rsidRPr="00F66F27" w:rsidRDefault="00F66F27" w:rsidP="00F66F2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Standardised assemblies and off-site fabrication:</w:t>
      </w:r>
      <w:r w:rsidRPr="00F66F27">
        <w:rPr>
          <w:rFonts w:ascii="Times New Roman" w:eastAsia="Times New Roman" w:hAnsi="Times New Roman" w:cs="Times New Roman"/>
          <w:kern w:val="0"/>
          <w:sz w:val="24"/>
          <w:szCs w:val="24"/>
          <w:lang w:eastAsia="en-AU"/>
          <w14:ligatures w14:val="none"/>
        </w:rPr>
        <w:t xml:space="preserve"> Precast track slab edge forms, modular stop canopies, and pre-wired equipment rooms reduce time in the corridor and improve quality (Goodier and Gibb, 2007).</w:t>
      </w:r>
    </w:p>
    <w:p w14:paraId="6374BA7B"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4.4 Digital engineering and assurance</w:t>
      </w:r>
    </w:p>
    <w:p w14:paraId="1022DFD9" w14:textId="77777777" w:rsidR="00F66F27" w:rsidRPr="00F66F27" w:rsidRDefault="00F66F27" w:rsidP="00F66F2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4D with earned schedule and look-ahead:</w:t>
      </w:r>
      <w:r w:rsidRPr="00F66F27">
        <w:rPr>
          <w:rFonts w:ascii="Times New Roman" w:eastAsia="Times New Roman" w:hAnsi="Times New Roman" w:cs="Times New Roman"/>
          <w:kern w:val="0"/>
          <w:sz w:val="24"/>
          <w:szCs w:val="24"/>
          <w:lang w:eastAsia="en-AU"/>
          <w14:ligatures w14:val="none"/>
        </w:rPr>
        <w:t xml:space="preserve"> Linking the model to schedule and constraints improves clash anticipation and permits proactive resequencing during discoveries (Akinci et al., 2002).</w:t>
      </w:r>
    </w:p>
    <w:p w14:paraId="24F22F2C" w14:textId="77777777" w:rsidR="00F66F27" w:rsidRPr="00F66F27" w:rsidRDefault="00F66F27" w:rsidP="00F66F2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Field-driven twin:</w:t>
      </w:r>
      <w:r w:rsidRPr="00F66F27">
        <w:rPr>
          <w:rFonts w:ascii="Times New Roman" w:eastAsia="Times New Roman" w:hAnsi="Times New Roman" w:cs="Times New Roman"/>
          <w:kern w:val="0"/>
          <w:sz w:val="24"/>
          <w:szCs w:val="24"/>
          <w:lang w:eastAsia="en-AU"/>
          <w14:ligatures w14:val="none"/>
        </w:rPr>
        <w:t xml:space="preserve"> Laser scans or mobile mapping to verify geometry, photo logs connected to model objects, and automated checklists that evidence completion against acceptance criteria, shorten the approval cycle (Whyte, 2019).</w:t>
      </w:r>
    </w:p>
    <w:p w14:paraId="7A086C52"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4.5 Supply chain resilience</w:t>
      </w:r>
    </w:p>
    <w:p w14:paraId="30306E9D" w14:textId="77777777" w:rsidR="00F66F27" w:rsidRPr="00F66F27" w:rsidRDefault="00F66F27" w:rsidP="00F66F2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Dual-sourcing and optioned inventory:</w:t>
      </w:r>
      <w:r w:rsidRPr="00F66F27">
        <w:rPr>
          <w:rFonts w:ascii="Times New Roman" w:eastAsia="Times New Roman" w:hAnsi="Times New Roman" w:cs="Times New Roman"/>
          <w:kern w:val="0"/>
          <w:sz w:val="24"/>
          <w:szCs w:val="24"/>
          <w:lang w:eastAsia="en-AU"/>
          <w14:ligatures w14:val="none"/>
        </w:rPr>
        <w:t xml:space="preserve"> Early framework agreements, optionality for equivalent components, and hedging critical commodities buffer volatility and reduce redesign triggers (Locatelli et al., 2020).</w:t>
      </w:r>
    </w:p>
    <w:p w14:paraId="4D105B5F"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CB3227D">
          <v:rect id="_x0000_i1029" style="width:0;height:1.5pt" o:hralign="center" o:hrstd="t" o:hr="t" fillcolor="#a0a0a0" stroked="f"/>
        </w:pict>
      </w:r>
    </w:p>
    <w:p w14:paraId="078E194B"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5. Opportunities for the Australian Construction Industry</w:t>
      </w:r>
    </w:p>
    <w:p w14:paraId="716CF430"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5.1 Opportunity set</w:t>
      </w:r>
    </w:p>
    <w:p w14:paraId="7BE0BA2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O1. Establish corridor-level utility certainty with a progressive model</w:t>
      </w:r>
      <w:r w:rsidRPr="00F66F27">
        <w:rPr>
          <w:rFonts w:ascii="Times New Roman" w:eastAsia="Times New Roman" w:hAnsi="Times New Roman" w:cs="Times New Roman"/>
          <w:kern w:val="0"/>
          <w:sz w:val="24"/>
          <w:szCs w:val="24"/>
          <w:lang w:eastAsia="en-AU"/>
          <w14:ligatures w14:val="none"/>
        </w:rPr>
        <w:br/>
        <w:t>Create a shared, contractually mandated utility model, validated by staged investigations and reconciled at control gates, with incentives for verified clear zones.</w:t>
      </w:r>
    </w:p>
    <w:p w14:paraId="7751D5B6"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O2. Deploy takt-planned street delivery with modular assemblies</w:t>
      </w:r>
      <w:r w:rsidRPr="00F66F27">
        <w:rPr>
          <w:rFonts w:ascii="Times New Roman" w:eastAsia="Times New Roman" w:hAnsi="Times New Roman" w:cs="Times New Roman"/>
          <w:kern w:val="0"/>
          <w:sz w:val="24"/>
          <w:szCs w:val="24"/>
          <w:lang w:eastAsia="en-AU"/>
          <w14:ligatures w14:val="none"/>
        </w:rPr>
        <w:br/>
        <w:t>Use takt planning to define repeatable work cycles along segments, supported by standardised modular elements fabricated off-site and delivered just-in-time.</w:t>
      </w:r>
    </w:p>
    <w:p w14:paraId="198090D8"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lastRenderedPageBreak/>
        <w:t>O3. Implement a progressive digital twin</w:t>
      </w:r>
      <w:r w:rsidRPr="00F66F27">
        <w:rPr>
          <w:rFonts w:ascii="Times New Roman" w:eastAsia="Times New Roman" w:hAnsi="Times New Roman" w:cs="Times New Roman"/>
          <w:kern w:val="0"/>
          <w:sz w:val="24"/>
          <w:szCs w:val="24"/>
          <w:lang w:eastAsia="en-AU"/>
          <w14:ligatures w14:val="none"/>
        </w:rPr>
        <w:br/>
        <w:t>Start with 3D federated models and 4D links, then layer in field capture, QR-coded ITPs, and automated evidence packages for assurance.</w:t>
      </w:r>
    </w:p>
    <w:p w14:paraId="74416D55"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O4. Form a multi-party decision cell</w:t>
      </w:r>
      <w:r w:rsidRPr="00F66F27">
        <w:rPr>
          <w:rFonts w:ascii="Times New Roman" w:eastAsia="Times New Roman" w:hAnsi="Times New Roman" w:cs="Times New Roman"/>
          <w:kern w:val="0"/>
          <w:sz w:val="24"/>
          <w:szCs w:val="24"/>
          <w:lang w:eastAsia="en-AU"/>
          <w14:ligatures w14:val="none"/>
        </w:rPr>
        <w:br/>
        <w:t>Co-locate design, utilities, heritage, traffic, and client representatives to adjudicate conflicts within 48 hours, with a visual backlog and decision SLAs.</w:t>
      </w:r>
    </w:p>
    <w:p w14:paraId="0D0C3EEF"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O5. Buffer supply and authorise equivalents</w:t>
      </w:r>
      <w:r w:rsidRPr="00F66F27">
        <w:rPr>
          <w:rFonts w:ascii="Times New Roman" w:eastAsia="Times New Roman" w:hAnsi="Times New Roman" w:cs="Times New Roman"/>
          <w:kern w:val="0"/>
          <w:sz w:val="24"/>
          <w:szCs w:val="24"/>
          <w:lang w:eastAsia="en-AU"/>
          <w14:ligatures w14:val="none"/>
        </w:rPr>
        <w:br/>
        <w:t xml:space="preserve">Pre-approve equivalent components, hold </w:t>
      </w:r>
      <w:proofErr w:type="gramStart"/>
      <w:r w:rsidRPr="00F66F27">
        <w:rPr>
          <w:rFonts w:ascii="Times New Roman" w:eastAsia="Times New Roman" w:hAnsi="Times New Roman" w:cs="Times New Roman"/>
          <w:kern w:val="0"/>
          <w:sz w:val="24"/>
          <w:szCs w:val="24"/>
          <w:lang w:eastAsia="en-AU"/>
          <w14:ligatures w14:val="none"/>
        </w:rPr>
        <w:t>small optioned</w:t>
      </w:r>
      <w:proofErr w:type="gramEnd"/>
      <w:r w:rsidRPr="00F66F27">
        <w:rPr>
          <w:rFonts w:ascii="Times New Roman" w:eastAsia="Times New Roman" w:hAnsi="Times New Roman" w:cs="Times New Roman"/>
          <w:kern w:val="0"/>
          <w:sz w:val="24"/>
          <w:szCs w:val="24"/>
          <w:lang w:eastAsia="en-AU"/>
          <w14:ligatures w14:val="none"/>
        </w:rPr>
        <w:t xml:space="preserve"> inventories for long-lead items, and use contract clauses that support fast substitution with pre-assessed implications.</w:t>
      </w:r>
    </w:p>
    <w:p w14:paraId="29D6FD6A"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5.2 Expected benefits</w:t>
      </w:r>
    </w:p>
    <w:p w14:paraId="37C493E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Table 1 summarises the expected benefits and primary risks for each opportunity.</w:t>
      </w:r>
    </w:p>
    <w:p w14:paraId="0B6A572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Table 1. Opportunities, benefits,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953"/>
        <w:gridCol w:w="1548"/>
        <w:gridCol w:w="1652"/>
        <w:gridCol w:w="2279"/>
      </w:tblGrid>
      <w:tr w:rsidR="00F66F27" w:rsidRPr="00F66F27" w14:paraId="3BC649FF" w14:textId="77777777">
        <w:trPr>
          <w:tblHeader/>
          <w:tblCellSpacing w:w="15" w:type="dxa"/>
        </w:trPr>
        <w:tc>
          <w:tcPr>
            <w:tcW w:w="0" w:type="auto"/>
            <w:vAlign w:val="center"/>
            <w:hideMark/>
          </w:tcPr>
          <w:p w14:paraId="099DB43B"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Opportunity</w:t>
            </w:r>
          </w:p>
        </w:tc>
        <w:tc>
          <w:tcPr>
            <w:tcW w:w="0" w:type="auto"/>
            <w:vAlign w:val="center"/>
            <w:hideMark/>
          </w:tcPr>
          <w:p w14:paraId="0217FF19"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Primary benefit</w:t>
            </w:r>
          </w:p>
        </w:tc>
        <w:tc>
          <w:tcPr>
            <w:tcW w:w="0" w:type="auto"/>
            <w:vAlign w:val="center"/>
            <w:hideMark/>
          </w:tcPr>
          <w:p w14:paraId="6DA21661"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Secondary benefit</w:t>
            </w:r>
          </w:p>
        </w:tc>
        <w:tc>
          <w:tcPr>
            <w:tcW w:w="0" w:type="auto"/>
            <w:vAlign w:val="center"/>
            <w:hideMark/>
          </w:tcPr>
          <w:p w14:paraId="7E417F33"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Key risk</w:t>
            </w:r>
          </w:p>
        </w:tc>
        <w:tc>
          <w:tcPr>
            <w:tcW w:w="0" w:type="auto"/>
            <w:vAlign w:val="center"/>
            <w:hideMark/>
          </w:tcPr>
          <w:p w14:paraId="31B9B0F4"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Mitigation</w:t>
            </w:r>
          </w:p>
        </w:tc>
      </w:tr>
      <w:tr w:rsidR="00F66F27" w:rsidRPr="00F66F27" w14:paraId="6BCA8C25" w14:textId="77777777">
        <w:trPr>
          <w:tblCellSpacing w:w="15" w:type="dxa"/>
        </w:trPr>
        <w:tc>
          <w:tcPr>
            <w:tcW w:w="0" w:type="auto"/>
            <w:vAlign w:val="center"/>
            <w:hideMark/>
          </w:tcPr>
          <w:p w14:paraId="41118ECF"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O1 Utility model</w:t>
            </w:r>
          </w:p>
        </w:tc>
        <w:tc>
          <w:tcPr>
            <w:tcW w:w="0" w:type="auto"/>
            <w:vAlign w:val="center"/>
            <w:hideMark/>
          </w:tcPr>
          <w:p w14:paraId="59A0668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Fewer discoveries, fewer clashes</w:t>
            </w:r>
          </w:p>
        </w:tc>
        <w:tc>
          <w:tcPr>
            <w:tcW w:w="0" w:type="auto"/>
            <w:vAlign w:val="center"/>
            <w:hideMark/>
          </w:tcPr>
          <w:p w14:paraId="79892B64"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Faster approvals</w:t>
            </w:r>
          </w:p>
        </w:tc>
        <w:tc>
          <w:tcPr>
            <w:tcW w:w="0" w:type="auto"/>
            <w:vAlign w:val="center"/>
            <w:hideMark/>
          </w:tcPr>
          <w:p w14:paraId="1E5294F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Upfront cost</w:t>
            </w:r>
          </w:p>
        </w:tc>
        <w:tc>
          <w:tcPr>
            <w:tcW w:w="0" w:type="auto"/>
            <w:vAlign w:val="center"/>
            <w:hideMark/>
          </w:tcPr>
          <w:p w14:paraId="61288D8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Stage investigations, target cost sharing</w:t>
            </w:r>
          </w:p>
        </w:tc>
      </w:tr>
      <w:tr w:rsidR="00F66F27" w:rsidRPr="00F66F27" w14:paraId="2F45BAE9" w14:textId="77777777">
        <w:trPr>
          <w:tblCellSpacing w:w="15" w:type="dxa"/>
        </w:trPr>
        <w:tc>
          <w:tcPr>
            <w:tcW w:w="0" w:type="auto"/>
            <w:vAlign w:val="center"/>
            <w:hideMark/>
          </w:tcPr>
          <w:p w14:paraId="546F5D4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O2 Takt and modular</w:t>
            </w:r>
          </w:p>
        </w:tc>
        <w:tc>
          <w:tcPr>
            <w:tcW w:w="0" w:type="auto"/>
            <w:vAlign w:val="center"/>
            <w:hideMark/>
          </w:tcPr>
          <w:p w14:paraId="4F5B4889"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Higher tool time, predictable windows</w:t>
            </w:r>
          </w:p>
        </w:tc>
        <w:tc>
          <w:tcPr>
            <w:tcW w:w="0" w:type="auto"/>
            <w:vAlign w:val="center"/>
            <w:hideMark/>
          </w:tcPr>
          <w:p w14:paraId="7BFA8961"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Safety and quality</w:t>
            </w:r>
          </w:p>
        </w:tc>
        <w:tc>
          <w:tcPr>
            <w:tcW w:w="0" w:type="auto"/>
            <w:vAlign w:val="center"/>
            <w:hideMark/>
          </w:tcPr>
          <w:p w14:paraId="557557B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Design freeze discipline</w:t>
            </w:r>
          </w:p>
        </w:tc>
        <w:tc>
          <w:tcPr>
            <w:tcW w:w="0" w:type="auto"/>
            <w:vAlign w:val="center"/>
            <w:hideMark/>
          </w:tcPr>
          <w:p w14:paraId="11B386C4"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Product families, change control board</w:t>
            </w:r>
          </w:p>
        </w:tc>
      </w:tr>
      <w:tr w:rsidR="00F66F27" w:rsidRPr="00F66F27" w14:paraId="219ED73D" w14:textId="77777777">
        <w:trPr>
          <w:tblCellSpacing w:w="15" w:type="dxa"/>
        </w:trPr>
        <w:tc>
          <w:tcPr>
            <w:tcW w:w="0" w:type="auto"/>
            <w:vAlign w:val="center"/>
            <w:hideMark/>
          </w:tcPr>
          <w:p w14:paraId="21204ED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O3 Digital twin</w:t>
            </w:r>
          </w:p>
        </w:tc>
        <w:tc>
          <w:tcPr>
            <w:tcW w:w="0" w:type="auto"/>
            <w:vAlign w:val="center"/>
            <w:hideMark/>
          </w:tcPr>
          <w:p w14:paraId="6F7D71E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Faster assurance and hand-back</w:t>
            </w:r>
          </w:p>
        </w:tc>
        <w:tc>
          <w:tcPr>
            <w:tcW w:w="0" w:type="auto"/>
            <w:vAlign w:val="center"/>
            <w:hideMark/>
          </w:tcPr>
          <w:p w14:paraId="3A87CF6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Better lessons learned</w:t>
            </w:r>
          </w:p>
        </w:tc>
        <w:tc>
          <w:tcPr>
            <w:tcW w:w="0" w:type="auto"/>
            <w:vAlign w:val="center"/>
            <w:hideMark/>
          </w:tcPr>
          <w:p w14:paraId="072BD76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Data management burden</w:t>
            </w:r>
          </w:p>
        </w:tc>
        <w:tc>
          <w:tcPr>
            <w:tcW w:w="0" w:type="auto"/>
            <w:vAlign w:val="center"/>
            <w:hideMark/>
          </w:tcPr>
          <w:p w14:paraId="37F3DE2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CDE governance, minimal viable twin first</w:t>
            </w:r>
          </w:p>
        </w:tc>
      </w:tr>
      <w:tr w:rsidR="00F66F27" w:rsidRPr="00F66F27" w14:paraId="4C77C6B5" w14:textId="77777777">
        <w:trPr>
          <w:tblCellSpacing w:w="15" w:type="dxa"/>
        </w:trPr>
        <w:tc>
          <w:tcPr>
            <w:tcW w:w="0" w:type="auto"/>
            <w:vAlign w:val="center"/>
            <w:hideMark/>
          </w:tcPr>
          <w:p w14:paraId="65B3FAC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O4 Decision cell</w:t>
            </w:r>
          </w:p>
        </w:tc>
        <w:tc>
          <w:tcPr>
            <w:tcW w:w="0" w:type="auto"/>
            <w:vAlign w:val="center"/>
            <w:hideMark/>
          </w:tcPr>
          <w:p w14:paraId="44A97ACA"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Reduced waiting and change churn</w:t>
            </w:r>
          </w:p>
        </w:tc>
        <w:tc>
          <w:tcPr>
            <w:tcW w:w="0" w:type="auto"/>
            <w:vAlign w:val="center"/>
            <w:hideMark/>
          </w:tcPr>
          <w:p w14:paraId="34D87BF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Stronger relationships</w:t>
            </w:r>
          </w:p>
        </w:tc>
        <w:tc>
          <w:tcPr>
            <w:tcW w:w="0" w:type="auto"/>
            <w:vAlign w:val="center"/>
            <w:hideMark/>
          </w:tcPr>
          <w:p w14:paraId="701776E2"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Role duplication</w:t>
            </w:r>
          </w:p>
        </w:tc>
        <w:tc>
          <w:tcPr>
            <w:tcW w:w="0" w:type="auto"/>
            <w:vAlign w:val="center"/>
            <w:hideMark/>
          </w:tcPr>
          <w:p w14:paraId="4F38ADF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Clear RASCI, sunset criteria</w:t>
            </w:r>
          </w:p>
        </w:tc>
      </w:tr>
      <w:tr w:rsidR="00F66F27" w:rsidRPr="00F66F27" w14:paraId="0001AD7F" w14:textId="77777777">
        <w:trPr>
          <w:tblCellSpacing w:w="15" w:type="dxa"/>
        </w:trPr>
        <w:tc>
          <w:tcPr>
            <w:tcW w:w="0" w:type="auto"/>
            <w:vAlign w:val="center"/>
            <w:hideMark/>
          </w:tcPr>
          <w:p w14:paraId="2A0EFB0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O5 Supply buffering</w:t>
            </w:r>
          </w:p>
        </w:tc>
        <w:tc>
          <w:tcPr>
            <w:tcW w:w="0" w:type="auto"/>
            <w:vAlign w:val="center"/>
            <w:hideMark/>
          </w:tcPr>
          <w:p w14:paraId="1BC00266"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Fewer redesigns</w:t>
            </w:r>
          </w:p>
        </w:tc>
        <w:tc>
          <w:tcPr>
            <w:tcW w:w="0" w:type="auto"/>
            <w:vAlign w:val="center"/>
            <w:hideMark/>
          </w:tcPr>
          <w:p w14:paraId="3028BCE7"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Schedule stability</w:t>
            </w:r>
          </w:p>
        </w:tc>
        <w:tc>
          <w:tcPr>
            <w:tcW w:w="0" w:type="auto"/>
            <w:vAlign w:val="center"/>
            <w:hideMark/>
          </w:tcPr>
          <w:p w14:paraId="25E3A616"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Holding cost</w:t>
            </w:r>
          </w:p>
        </w:tc>
        <w:tc>
          <w:tcPr>
            <w:tcW w:w="0" w:type="auto"/>
            <w:vAlign w:val="center"/>
            <w:hideMark/>
          </w:tcPr>
          <w:p w14:paraId="29676E5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Optioned contracts, hedging thresholds</w:t>
            </w:r>
          </w:p>
        </w:tc>
      </w:tr>
    </w:tbl>
    <w:p w14:paraId="5B698E18"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F3EFA90">
          <v:rect id="_x0000_i1030" style="width:0;height:1.5pt" o:hralign="center" o:hrstd="t" o:hr="t" fillcolor="#a0a0a0" stroked="f"/>
        </w:pict>
      </w:r>
    </w:p>
    <w:p w14:paraId="7B7D07F5"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6. Implementation Roadmap</w:t>
      </w:r>
    </w:p>
    <w:p w14:paraId="06A73685"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Figure 2. Roadmap overview</w:t>
      </w:r>
      <w:r w:rsidRPr="00F66F27">
        <w:rPr>
          <w:rFonts w:ascii="Times New Roman" w:eastAsia="Times New Roman" w:hAnsi="Times New Roman" w:cs="Times New Roman"/>
          <w:kern w:val="0"/>
          <w:sz w:val="24"/>
          <w:szCs w:val="24"/>
          <w:lang w:eastAsia="en-AU"/>
          <w14:ligatures w14:val="none"/>
        </w:rPr>
        <w:br/>
        <w:t>[Diagram placeholder: two-lane timeline. Lane A, Quick wins, months 0–18. Lane B, Maturation, months 18–60. Milestones for utility model v1, takt pilot, CDE go-live, modular catalogue, decision cell launch, twin v2, portfolio learning hub.]</w:t>
      </w:r>
    </w:p>
    <w:p w14:paraId="57E3512D"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6.1 Quick wins, months 0–18</w:t>
      </w:r>
    </w:p>
    <w:p w14:paraId="46AE026A" w14:textId="77777777" w:rsidR="00F66F27" w:rsidRPr="00F66F27" w:rsidRDefault="00F66F27" w:rsidP="00F66F2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Utility model v1, pilot corridor:</w:t>
      </w:r>
      <w:r w:rsidRPr="00F66F27">
        <w:rPr>
          <w:rFonts w:ascii="Times New Roman" w:eastAsia="Times New Roman" w:hAnsi="Times New Roman" w:cs="Times New Roman"/>
          <w:kern w:val="0"/>
          <w:sz w:val="24"/>
          <w:szCs w:val="24"/>
          <w:lang w:eastAsia="en-AU"/>
          <w14:ligatures w14:val="none"/>
        </w:rPr>
        <w:t xml:space="preserve"> Trial pits and targeted scanning, reconcile into the federated model, publish clash dashboards.</w:t>
      </w:r>
    </w:p>
    <w:p w14:paraId="1C9F78E6" w14:textId="77777777" w:rsidR="00F66F27" w:rsidRPr="00F66F27" w:rsidRDefault="00F66F27" w:rsidP="00F66F2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Takt pilot, three segments:</w:t>
      </w:r>
      <w:r w:rsidRPr="00F66F27">
        <w:rPr>
          <w:rFonts w:ascii="Times New Roman" w:eastAsia="Times New Roman" w:hAnsi="Times New Roman" w:cs="Times New Roman"/>
          <w:kern w:val="0"/>
          <w:sz w:val="24"/>
          <w:szCs w:val="24"/>
          <w:lang w:eastAsia="en-AU"/>
          <w14:ligatures w14:val="none"/>
        </w:rPr>
        <w:t xml:space="preserve"> Standardise a three-week cycle, run last planner meetings, measure percent plan complete.</w:t>
      </w:r>
    </w:p>
    <w:p w14:paraId="2CEDC19C" w14:textId="77777777" w:rsidR="00F66F27" w:rsidRPr="00F66F27" w:rsidRDefault="00F66F27" w:rsidP="00F66F2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lastRenderedPageBreak/>
        <w:t>CDE go-live:</w:t>
      </w:r>
      <w:r w:rsidRPr="00F66F27">
        <w:rPr>
          <w:rFonts w:ascii="Times New Roman" w:eastAsia="Times New Roman" w:hAnsi="Times New Roman" w:cs="Times New Roman"/>
          <w:kern w:val="0"/>
          <w:sz w:val="24"/>
          <w:szCs w:val="24"/>
          <w:lang w:eastAsia="en-AU"/>
          <w14:ligatures w14:val="none"/>
        </w:rPr>
        <w:t xml:space="preserve"> Simple naming, file structures, and 4D linkage for priority work packages.</w:t>
      </w:r>
    </w:p>
    <w:p w14:paraId="38293E09" w14:textId="77777777" w:rsidR="00F66F27" w:rsidRPr="00F66F27" w:rsidRDefault="00F66F27" w:rsidP="00F66F2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Decision cell launch:</w:t>
      </w:r>
      <w:r w:rsidRPr="00F66F27">
        <w:rPr>
          <w:rFonts w:ascii="Times New Roman" w:eastAsia="Times New Roman" w:hAnsi="Times New Roman" w:cs="Times New Roman"/>
          <w:kern w:val="0"/>
          <w:sz w:val="24"/>
          <w:szCs w:val="24"/>
          <w:lang w:eastAsia="en-AU"/>
          <w14:ligatures w14:val="none"/>
        </w:rPr>
        <w:t xml:space="preserve"> Co-locate core roles with fortnightly service-level review and transparent queue metrics.</w:t>
      </w:r>
    </w:p>
    <w:p w14:paraId="213DBA3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6.2 Maturation, months 18–60</w:t>
      </w:r>
    </w:p>
    <w:p w14:paraId="581E56E7" w14:textId="77777777" w:rsidR="00F66F27" w:rsidRPr="00F66F27" w:rsidRDefault="00F66F27" w:rsidP="00F66F2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Modular catalogue:</w:t>
      </w:r>
      <w:r w:rsidRPr="00F66F27">
        <w:rPr>
          <w:rFonts w:ascii="Times New Roman" w:eastAsia="Times New Roman" w:hAnsi="Times New Roman" w:cs="Times New Roman"/>
          <w:kern w:val="0"/>
          <w:sz w:val="24"/>
          <w:szCs w:val="24"/>
          <w:lang w:eastAsia="en-AU"/>
          <w14:ligatures w14:val="none"/>
        </w:rPr>
        <w:t xml:space="preserve"> Finalise standard details for slabs, stop canopies, equipment rooms, and OCS masts, include supplier prequal.</w:t>
      </w:r>
    </w:p>
    <w:p w14:paraId="1EF8C438" w14:textId="77777777" w:rsidR="00F66F27" w:rsidRPr="00F66F27" w:rsidRDefault="00F66F27" w:rsidP="00F66F2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Twin v2:</w:t>
      </w:r>
      <w:r w:rsidRPr="00F66F27">
        <w:rPr>
          <w:rFonts w:ascii="Times New Roman" w:eastAsia="Times New Roman" w:hAnsi="Times New Roman" w:cs="Times New Roman"/>
          <w:kern w:val="0"/>
          <w:sz w:val="24"/>
          <w:szCs w:val="24"/>
          <w:lang w:eastAsia="en-AU"/>
          <w14:ligatures w14:val="none"/>
        </w:rPr>
        <w:t xml:space="preserve"> Integrate scans, photo logs, and digital ITPs, automate evidence packs for hold and witness points.</w:t>
      </w:r>
    </w:p>
    <w:p w14:paraId="488C6C30" w14:textId="77777777" w:rsidR="00F66F27" w:rsidRPr="00F66F27" w:rsidRDefault="00F66F27" w:rsidP="00F66F2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Portfolio learning hub:</w:t>
      </w:r>
      <w:r w:rsidRPr="00F66F27">
        <w:rPr>
          <w:rFonts w:ascii="Times New Roman" w:eastAsia="Times New Roman" w:hAnsi="Times New Roman" w:cs="Times New Roman"/>
          <w:kern w:val="0"/>
          <w:sz w:val="24"/>
          <w:szCs w:val="24"/>
          <w:lang w:eastAsia="en-AU"/>
          <w14:ligatures w14:val="none"/>
        </w:rPr>
        <w:t xml:space="preserve"> Codify playbooks, measures, and case learnings for reuse on subsequent on-street transit works.</w:t>
      </w:r>
    </w:p>
    <w:p w14:paraId="4E1F5117"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Table 2. Indicative schedule with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034"/>
        <w:gridCol w:w="1107"/>
        <w:gridCol w:w="940"/>
        <w:gridCol w:w="807"/>
        <w:gridCol w:w="1487"/>
        <w:gridCol w:w="1755"/>
      </w:tblGrid>
      <w:tr w:rsidR="00F66F27" w:rsidRPr="00F66F27" w14:paraId="4C131797" w14:textId="77777777">
        <w:trPr>
          <w:tblHeader/>
          <w:tblCellSpacing w:w="15" w:type="dxa"/>
        </w:trPr>
        <w:tc>
          <w:tcPr>
            <w:tcW w:w="0" w:type="auto"/>
            <w:vAlign w:val="center"/>
            <w:hideMark/>
          </w:tcPr>
          <w:p w14:paraId="2276CF86"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Workstream</w:t>
            </w:r>
          </w:p>
        </w:tc>
        <w:tc>
          <w:tcPr>
            <w:tcW w:w="0" w:type="auto"/>
            <w:vAlign w:val="center"/>
            <w:hideMark/>
          </w:tcPr>
          <w:p w14:paraId="43041E4C"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Q1</w:t>
            </w:r>
          </w:p>
        </w:tc>
        <w:tc>
          <w:tcPr>
            <w:tcW w:w="0" w:type="auto"/>
            <w:vAlign w:val="center"/>
            <w:hideMark/>
          </w:tcPr>
          <w:p w14:paraId="100B228D"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Q2</w:t>
            </w:r>
          </w:p>
        </w:tc>
        <w:tc>
          <w:tcPr>
            <w:tcW w:w="0" w:type="auto"/>
            <w:vAlign w:val="center"/>
            <w:hideMark/>
          </w:tcPr>
          <w:p w14:paraId="16394601"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Q3</w:t>
            </w:r>
          </w:p>
        </w:tc>
        <w:tc>
          <w:tcPr>
            <w:tcW w:w="0" w:type="auto"/>
            <w:vAlign w:val="center"/>
            <w:hideMark/>
          </w:tcPr>
          <w:p w14:paraId="2E3F527B"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Q4</w:t>
            </w:r>
          </w:p>
        </w:tc>
        <w:tc>
          <w:tcPr>
            <w:tcW w:w="0" w:type="auto"/>
            <w:vAlign w:val="center"/>
            <w:hideMark/>
          </w:tcPr>
          <w:p w14:paraId="4E4C026A"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Year 2</w:t>
            </w:r>
          </w:p>
        </w:tc>
        <w:tc>
          <w:tcPr>
            <w:tcW w:w="0" w:type="auto"/>
            <w:vAlign w:val="center"/>
            <w:hideMark/>
          </w:tcPr>
          <w:p w14:paraId="55056C28"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Year 3–5</w:t>
            </w:r>
          </w:p>
        </w:tc>
      </w:tr>
      <w:tr w:rsidR="00F66F27" w:rsidRPr="00F66F27" w14:paraId="0CDC557B" w14:textId="77777777">
        <w:trPr>
          <w:tblCellSpacing w:w="15" w:type="dxa"/>
        </w:trPr>
        <w:tc>
          <w:tcPr>
            <w:tcW w:w="0" w:type="auto"/>
            <w:vAlign w:val="center"/>
            <w:hideMark/>
          </w:tcPr>
          <w:p w14:paraId="137CECA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Utility model v1</w:t>
            </w:r>
          </w:p>
        </w:tc>
        <w:tc>
          <w:tcPr>
            <w:tcW w:w="0" w:type="auto"/>
            <w:vAlign w:val="center"/>
            <w:hideMark/>
          </w:tcPr>
          <w:p w14:paraId="3A8E77C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Start</w:t>
            </w:r>
          </w:p>
        </w:tc>
        <w:tc>
          <w:tcPr>
            <w:tcW w:w="0" w:type="auto"/>
            <w:vAlign w:val="center"/>
            <w:hideMark/>
          </w:tcPr>
          <w:p w14:paraId="0695522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Validate</w:t>
            </w:r>
          </w:p>
        </w:tc>
        <w:tc>
          <w:tcPr>
            <w:tcW w:w="0" w:type="auto"/>
            <w:vAlign w:val="center"/>
            <w:hideMark/>
          </w:tcPr>
          <w:p w14:paraId="297E562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Publish</w:t>
            </w:r>
          </w:p>
        </w:tc>
        <w:tc>
          <w:tcPr>
            <w:tcW w:w="0" w:type="auto"/>
            <w:vAlign w:val="center"/>
            <w:hideMark/>
          </w:tcPr>
          <w:p w14:paraId="6EBAD1E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Gate</w:t>
            </w:r>
          </w:p>
        </w:tc>
        <w:tc>
          <w:tcPr>
            <w:tcW w:w="0" w:type="auto"/>
            <w:vAlign w:val="center"/>
            <w:hideMark/>
          </w:tcPr>
          <w:p w14:paraId="10147C2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v2</w:t>
            </w:r>
          </w:p>
        </w:tc>
        <w:tc>
          <w:tcPr>
            <w:tcW w:w="0" w:type="auto"/>
            <w:vAlign w:val="center"/>
            <w:hideMark/>
          </w:tcPr>
          <w:p w14:paraId="7CEC35E4"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Maintain</w:t>
            </w:r>
          </w:p>
        </w:tc>
      </w:tr>
      <w:tr w:rsidR="00F66F27" w:rsidRPr="00F66F27" w14:paraId="084B23F9" w14:textId="77777777">
        <w:trPr>
          <w:tblCellSpacing w:w="15" w:type="dxa"/>
        </w:trPr>
        <w:tc>
          <w:tcPr>
            <w:tcW w:w="0" w:type="auto"/>
            <w:vAlign w:val="center"/>
            <w:hideMark/>
          </w:tcPr>
          <w:p w14:paraId="7BC807A7"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Takt pilot</w:t>
            </w:r>
          </w:p>
        </w:tc>
        <w:tc>
          <w:tcPr>
            <w:tcW w:w="0" w:type="auto"/>
            <w:vAlign w:val="center"/>
            <w:hideMark/>
          </w:tcPr>
          <w:p w14:paraId="43DA85CF"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Plan</w:t>
            </w:r>
          </w:p>
        </w:tc>
        <w:tc>
          <w:tcPr>
            <w:tcW w:w="0" w:type="auto"/>
            <w:vAlign w:val="center"/>
            <w:hideMark/>
          </w:tcPr>
          <w:p w14:paraId="314C1EA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Train</w:t>
            </w:r>
          </w:p>
        </w:tc>
        <w:tc>
          <w:tcPr>
            <w:tcW w:w="0" w:type="auto"/>
            <w:vAlign w:val="center"/>
            <w:hideMark/>
          </w:tcPr>
          <w:p w14:paraId="5040DF4F"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Run</w:t>
            </w:r>
          </w:p>
        </w:tc>
        <w:tc>
          <w:tcPr>
            <w:tcW w:w="0" w:type="auto"/>
            <w:vAlign w:val="center"/>
            <w:hideMark/>
          </w:tcPr>
          <w:p w14:paraId="63C3B017"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Review</w:t>
            </w:r>
          </w:p>
        </w:tc>
        <w:tc>
          <w:tcPr>
            <w:tcW w:w="0" w:type="auto"/>
            <w:vAlign w:val="center"/>
            <w:hideMark/>
          </w:tcPr>
          <w:p w14:paraId="65474CC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Scale</w:t>
            </w:r>
          </w:p>
        </w:tc>
        <w:tc>
          <w:tcPr>
            <w:tcW w:w="0" w:type="auto"/>
            <w:vAlign w:val="center"/>
            <w:hideMark/>
          </w:tcPr>
          <w:p w14:paraId="7B585F4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Business as usual</w:t>
            </w:r>
          </w:p>
        </w:tc>
      </w:tr>
      <w:tr w:rsidR="00F66F27" w:rsidRPr="00F66F27" w14:paraId="66BD9092" w14:textId="77777777">
        <w:trPr>
          <w:tblCellSpacing w:w="15" w:type="dxa"/>
        </w:trPr>
        <w:tc>
          <w:tcPr>
            <w:tcW w:w="0" w:type="auto"/>
            <w:vAlign w:val="center"/>
            <w:hideMark/>
          </w:tcPr>
          <w:p w14:paraId="45AFB58A"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CDE and 4D</w:t>
            </w:r>
          </w:p>
        </w:tc>
        <w:tc>
          <w:tcPr>
            <w:tcW w:w="0" w:type="auto"/>
            <w:vAlign w:val="center"/>
            <w:hideMark/>
          </w:tcPr>
          <w:p w14:paraId="00D43DD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Configure</w:t>
            </w:r>
          </w:p>
        </w:tc>
        <w:tc>
          <w:tcPr>
            <w:tcW w:w="0" w:type="auto"/>
            <w:vAlign w:val="center"/>
            <w:hideMark/>
          </w:tcPr>
          <w:p w14:paraId="6953FD6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Link pilots</w:t>
            </w:r>
          </w:p>
        </w:tc>
        <w:tc>
          <w:tcPr>
            <w:tcW w:w="0" w:type="auto"/>
            <w:vAlign w:val="center"/>
            <w:hideMark/>
          </w:tcPr>
          <w:p w14:paraId="562D0BA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Expand</w:t>
            </w:r>
          </w:p>
        </w:tc>
        <w:tc>
          <w:tcPr>
            <w:tcW w:w="0" w:type="auto"/>
            <w:vAlign w:val="center"/>
            <w:hideMark/>
          </w:tcPr>
          <w:p w14:paraId="19258DB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Audit</w:t>
            </w:r>
          </w:p>
        </w:tc>
        <w:tc>
          <w:tcPr>
            <w:tcW w:w="0" w:type="auto"/>
            <w:vAlign w:val="center"/>
            <w:hideMark/>
          </w:tcPr>
          <w:p w14:paraId="50BA8337"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Twin v2</w:t>
            </w:r>
          </w:p>
        </w:tc>
        <w:tc>
          <w:tcPr>
            <w:tcW w:w="0" w:type="auto"/>
            <w:vAlign w:val="center"/>
            <w:hideMark/>
          </w:tcPr>
          <w:p w14:paraId="1E48B7B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Twin ops</w:t>
            </w:r>
          </w:p>
        </w:tc>
      </w:tr>
      <w:tr w:rsidR="00F66F27" w:rsidRPr="00F66F27" w14:paraId="2D1A6DCA" w14:textId="77777777">
        <w:trPr>
          <w:tblCellSpacing w:w="15" w:type="dxa"/>
        </w:trPr>
        <w:tc>
          <w:tcPr>
            <w:tcW w:w="0" w:type="auto"/>
            <w:vAlign w:val="center"/>
            <w:hideMark/>
          </w:tcPr>
          <w:p w14:paraId="116012C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Decision cell</w:t>
            </w:r>
          </w:p>
        </w:tc>
        <w:tc>
          <w:tcPr>
            <w:tcW w:w="0" w:type="auto"/>
            <w:vAlign w:val="center"/>
            <w:hideMark/>
          </w:tcPr>
          <w:p w14:paraId="2DBBFDD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Stand up</w:t>
            </w:r>
          </w:p>
        </w:tc>
        <w:tc>
          <w:tcPr>
            <w:tcW w:w="0" w:type="auto"/>
            <w:vAlign w:val="center"/>
            <w:hideMark/>
          </w:tcPr>
          <w:p w14:paraId="2005A30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Stabilise</w:t>
            </w:r>
          </w:p>
        </w:tc>
        <w:tc>
          <w:tcPr>
            <w:tcW w:w="0" w:type="auto"/>
            <w:vAlign w:val="center"/>
            <w:hideMark/>
          </w:tcPr>
          <w:p w14:paraId="134D1F4A"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Optimise</w:t>
            </w:r>
          </w:p>
        </w:tc>
        <w:tc>
          <w:tcPr>
            <w:tcW w:w="0" w:type="auto"/>
            <w:vAlign w:val="center"/>
            <w:hideMark/>
          </w:tcPr>
          <w:p w14:paraId="10B60D2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Review</w:t>
            </w:r>
          </w:p>
        </w:tc>
        <w:tc>
          <w:tcPr>
            <w:tcW w:w="0" w:type="auto"/>
            <w:vAlign w:val="center"/>
            <w:hideMark/>
          </w:tcPr>
          <w:p w14:paraId="3322B47C"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Institutionalise</w:t>
            </w:r>
          </w:p>
        </w:tc>
        <w:tc>
          <w:tcPr>
            <w:tcW w:w="0" w:type="auto"/>
            <w:vAlign w:val="center"/>
            <w:hideMark/>
          </w:tcPr>
          <w:p w14:paraId="5572B86F"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Sunset or embed</w:t>
            </w:r>
          </w:p>
        </w:tc>
      </w:tr>
      <w:tr w:rsidR="00F66F27" w:rsidRPr="00F66F27" w14:paraId="675221B2" w14:textId="77777777">
        <w:trPr>
          <w:tblCellSpacing w:w="15" w:type="dxa"/>
        </w:trPr>
        <w:tc>
          <w:tcPr>
            <w:tcW w:w="0" w:type="auto"/>
            <w:vAlign w:val="center"/>
            <w:hideMark/>
          </w:tcPr>
          <w:p w14:paraId="69F2B4B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Modular catalogue</w:t>
            </w:r>
          </w:p>
        </w:tc>
        <w:tc>
          <w:tcPr>
            <w:tcW w:w="0" w:type="auto"/>
            <w:vAlign w:val="center"/>
            <w:hideMark/>
          </w:tcPr>
          <w:p w14:paraId="1F0B1A76"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Spec</w:t>
            </w:r>
          </w:p>
        </w:tc>
        <w:tc>
          <w:tcPr>
            <w:tcW w:w="0" w:type="auto"/>
            <w:vAlign w:val="center"/>
            <w:hideMark/>
          </w:tcPr>
          <w:p w14:paraId="0802D5C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Prototype</w:t>
            </w:r>
          </w:p>
        </w:tc>
        <w:tc>
          <w:tcPr>
            <w:tcW w:w="0" w:type="auto"/>
            <w:vAlign w:val="center"/>
            <w:hideMark/>
          </w:tcPr>
          <w:p w14:paraId="6FCFA32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Approve</w:t>
            </w:r>
          </w:p>
        </w:tc>
        <w:tc>
          <w:tcPr>
            <w:tcW w:w="0" w:type="auto"/>
            <w:vAlign w:val="center"/>
            <w:hideMark/>
          </w:tcPr>
          <w:p w14:paraId="0BB419E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Procure</w:t>
            </w:r>
          </w:p>
        </w:tc>
        <w:tc>
          <w:tcPr>
            <w:tcW w:w="0" w:type="auto"/>
            <w:vAlign w:val="center"/>
            <w:hideMark/>
          </w:tcPr>
          <w:p w14:paraId="1752152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Implement</w:t>
            </w:r>
          </w:p>
        </w:tc>
        <w:tc>
          <w:tcPr>
            <w:tcW w:w="0" w:type="auto"/>
            <w:vAlign w:val="center"/>
            <w:hideMark/>
          </w:tcPr>
          <w:p w14:paraId="43030E8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Extend catalogue</w:t>
            </w:r>
          </w:p>
        </w:tc>
      </w:tr>
    </w:tbl>
    <w:p w14:paraId="54E387C6"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E1F4864">
          <v:rect id="_x0000_i1031" style="width:0;height:1.5pt" o:hralign="center" o:hrstd="t" o:hr="t" fillcolor="#a0a0a0" stroked="f"/>
        </w:pict>
      </w:r>
    </w:p>
    <w:p w14:paraId="37DC962A"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7. Technical Deep-Dive</w:t>
      </w:r>
    </w:p>
    <w:p w14:paraId="24799DEE"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7.1 Utilities certainty, data and decisions</w:t>
      </w:r>
    </w:p>
    <w:p w14:paraId="68AC70AD"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Data hierarchy:</w:t>
      </w:r>
      <w:r w:rsidRPr="00F66F27">
        <w:rPr>
          <w:rFonts w:ascii="Times New Roman" w:eastAsia="Times New Roman" w:hAnsi="Times New Roman" w:cs="Times New Roman"/>
          <w:kern w:val="0"/>
          <w:sz w:val="24"/>
          <w:szCs w:val="24"/>
          <w:lang w:eastAsia="en-AU"/>
          <w14:ligatures w14:val="none"/>
        </w:rPr>
        <w:t xml:space="preserve"> SUE Level D desktop, Level C geophysics, Level B test pits, Level A verified. Each upgrade must reconcile in the federated model and trigger design updates before construction release, not after. </w:t>
      </w:r>
      <w:r w:rsidRPr="00F66F27">
        <w:rPr>
          <w:rFonts w:ascii="Times New Roman" w:eastAsia="Times New Roman" w:hAnsi="Times New Roman" w:cs="Times New Roman"/>
          <w:b/>
          <w:bCs/>
          <w:kern w:val="0"/>
          <w:sz w:val="24"/>
          <w:szCs w:val="24"/>
          <w:lang w:eastAsia="en-AU"/>
          <w14:ligatures w14:val="none"/>
        </w:rPr>
        <w:t>Decision gates:</w:t>
      </w:r>
      <w:r w:rsidRPr="00F66F27">
        <w:rPr>
          <w:rFonts w:ascii="Times New Roman" w:eastAsia="Times New Roman" w:hAnsi="Times New Roman" w:cs="Times New Roman"/>
          <w:kern w:val="0"/>
          <w:sz w:val="24"/>
          <w:szCs w:val="24"/>
          <w:lang w:eastAsia="en-AU"/>
          <w14:ligatures w14:val="none"/>
        </w:rPr>
        <w:t xml:space="preserve"> No release for construction in a segment until utilities are Level B or better on all conflict paths. </w:t>
      </w:r>
      <w:r w:rsidRPr="00F66F27">
        <w:rPr>
          <w:rFonts w:ascii="Times New Roman" w:eastAsia="Times New Roman" w:hAnsi="Times New Roman" w:cs="Times New Roman"/>
          <w:b/>
          <w:bCs/>
          <w:kern w:val="0"/>
          <w:sz w:val="24"/>
          <w:szCs w:val="24"/>
          <w:lang w:eastAsia="en-AU"/>
          <w14:ligatures w14:val="none"/>
        </w:rPr>
        <w:t>KPIs:</w:t>
      </w:r>
      <w:r w:rsidRPr="00F66F27">
        <w:rPr>
          <w:rFonts w:ascii="Times New Roman" w:eastAsia="Times New Roman" w:hAnsi="Times New Roman" w:cs="Times New Roman"/>
          <w:kern w:val="0"/>
          <w:sz w:val="24"/>
          <w:szCs w:val="24"/>
          <w:lang w:eastAsia="en-AU"/>
          <w14:ligatures w14:val="none"/>
        </w:rPr>
        <w:t xml:space="preserve"> utilities clash count per segment, rework hours, field discovery rate.</w:t>
      </w:r>
    </w:p>
    <w:p w14:paraId="3A6B860C"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7.2 Takt and modular delivery</w:t>
      </w:r>
    </w:p>
    <w:p w14:paraId="4A025519"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Takt pitch selection:</w:t>
      </w:r>
      <w:r w:rsidRPr="00F66F27">
        <w:rPr>
          <w:rFonts w:ascii="Times New Roman" w:eastAsia="Times New Roman" w:hAnsi="Times New Roman" w:cs="Times New Roman"/>
          <w:kern w:val="0"/>
          <w:sz w:val="24"/>
          <w:szCs w:val="24"/>
          <w:lang w:eastAsia="en-AU"/>
          <w14:ligatures w14:val="none"/>
        </w:rPr>
        <w:t xml:space="preserve"> Select a pitch that respects traffic management cycles and business access windows, for example one-week pitches. </w:t>
      </w:r>
      <w:r w:rsidRPr="00F66F27">
        <w:rPr>
          <w:rFonts w:ascii="Times New Roman" w:eastAsia="Times New Roman" w:hAnsi="Times New Roman" w:cs="Times New Roman"/>
          <w:b/>
          <w:bCs/>
          <w:kern w:val="0"/>
          <w:sz w:val="24"/>
          <w:szCs w:val="24"/>
          <w:lang w:eastAsia="en-AU"/>
          <w14:ligatures w14:val="none"/>
        </w:rPr>
        <w:t>Crew formation:</w:t>
      </w:r>
      <w:r w:rsidRPr="00F66F27">
        <w:rPr>
          <w:rFonts w:ascii="Times New Roman" w:eastAsia="Times New Roman" w:hAnsi="Times New Roman" w:cs="Times New Roman"/>
          <w:kern w:val="0"/>
          <w:sz w:val="24"/>
          <w:szCs w:val="24"/>
          <w:lang w:eastAsia="en-AU"/>
          <w14:ligatures w14:val="none"/>
        </w:rPr>
        <w:t xml:space="preserve"> Balanced crews for excavation, rail slab, services, and paving. </w:t>
      </w:r>
      <w:r w:rsidRPr="00F66F27">
        <w:rPr>
          <w:rFonts w:ascii="Times New Roman" w:eastAsia="Times New Roman" w:hAnsi="Times New Roman" w:cs="Times New Roman"/>
          <w:b/>
          <w:bCs/>
          <w:kern w:val="0"/>
          <w:sz w:val="24"/>
          <w:szCs w:val="24"/>
          <w:lang w:eastAsia="en-AU"/>
          <w14:ligatures w14:val="none"/>
        </w:rPr>
        <w:t>Standard work:</w:t>
      </w:r>
      <w:r w:rsidRPr="00F66F27">
        <w:rPr>
          <w:rFonts w:ascii="Times New Roman" w:eastAsia="Times New Roman" w:hAnsi="Times New Roman" w:cs="Times New Roman"/>
          <w:kern w:val="0"/>
          <w:sz w:val="24"/>
          <w:szCs w:val="24"/>
          <w:lang w:eastAsia="en-AU"/>
          <w14:ligatures w14:val="none"/>
        </w:rPr>
        <w:t xml:space="preserve"> Pre-assemble reinforcement cages, standardise formwork and service penetrations, use colour-coded kitting. </w:t>
      </w:r>
      <w:r w:rsidRPr="00F66F27">
        <w:rPr>
          <w:rFonts w:ascii="Times New Roman" w:eastAsia="Times New Roman" w:hAnsi="Times New Roman" w:cs="Times New Roman"/>
          <w:b/>
          <w:bCs/>
          <w:kern w:val="0"/>
          <w:sz w:val="24"/>
          <w:szCs w:val="24"/>
          <w:lang w:eastAsia="en-AU"/>
          <w14:ligatures w14:val="none"/>
        </w:rPr>
        <w:t>Measurement:</w:t>
      </w:r>
      <w:r w:rsidRPr="00F66F27">
        <w:rPr>
          <w:rFonts w:ascii="Times New Roman" w:eastAsia="Times New Roman" w:hAnsi="Times New Roman" w:cs="Times New Roman"/>
          <w:kern w:val="0"/>
          <w:sz w:val="24"/>
          <w:szCs w:val="24"/>
          <w:lang w:eastAsia="en-AU"/>
          <w14:ligatures w14:val="none"/>
        </w:rPr>
        <w:t xml:space="preserve"> percent plan complete, causes of non-completion, cycle time variability.</w:t>
      </w:r>
    </w:p>
    <w:p w14:paraId="568778A5"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t>7.3 Digital twin for assurance</w:t>
      </w:r>
    </w:p>
    <w:p w14:paraId="262C469B"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Scope:</w:t>
      </w:r>
      <w:r w:rsidRPr="00F66F27">
        <w:rPr>
          <w:rFonts w:ascii="Times New Roman" w:eastAsia="Times New Roman" w:hAnsi="Times New Roman" w:cs="Times New Roman"/>
          <w:kern w:val="0"/>
          <w:sz w:val="24"/>
          <w:szCs w:val="24"/>
          <w:lang w:eastAsia="en-AU"/>
          <w14:ligatures w14:val="none"/>
        </w:rPr>
        <w:t xml:space="preserve"> Model objects linked to WBS items and ITP points. </w:t>
      </w:r>
      <w:r w:rsidRPr="00F66F27">
        <w:rPr>
          <w:rFonts w:ascii="Times New Roman" w:eastAsia="Times New Roman" w:hAnsi="Times New Roman" w:cs="Times New Roman"/>
          <w:b/>
          <w:bCs/>
          <w:kern w:val="0"/>
          <w:sz w:val="24"/>
          <w:szCs w:val="24"/>
          <w:lang w:eastAsia="en-AU"/>
          <w14:ligatures w14:val="none"/>
        </w:rPr>
        <w:t>Field capture:</w:t>
      </w:r>
      <w:r w:rsidRPr="00F66F27">
        <w:rPr>
          <w:rFonts w:ascii="Times New Roman" w:eastAsia="Times New Roman" w:hAnsi="Times New Roman" w:cs="Times New Roman"/>
          <w:kern w:val="0"/>
          <w:sz w:val="24"/>
          <w:szCs w:val="24"/>
          <w:lang w:eastAsia="en-AU"/>
          <w14:ligatures w14:val="none"/>
        </w:rPr>
        <w:t xml:space="preserve"> QR codes at each workface, mobile forms time-stamped with geolocation and photographs, weekly point cloud scans at critical geometry locations. </w:t>
      </w:r>
      <w:r w:rsidRPr="00F66F27">
        <w:rPr>
          <w:rFonts w:ascii="Times New Roman" w:eastAsia="Times New Roman" w:hAnsi="Times New Roman" w:cs="Times New Roman"/>
          <w:b/>
          <w:bCs/>
          <w:kern w:val="0"/>
          <w:sz w:val="24"/>
          <w:szCs w:val="24"/>
          <w:lang w:eastAsia="en-AU"/>
          <w14:ligatures w14:val="none"/>
        </w:rPr>
        <w:t>Assurance pack automation:</w:t>
      </w:r>
      <w:r w:rsidRPr="00F66F27">
        <w:rPr>
          <w:rFonts w:ascii="Times New Roman" w:eastAsia="Times New Roman" w:hAnsi="Times New Roman" w:cs="Times New Roman"/>
          <w:kern w:val="0"/>
          <w:sz w:val="24"/>
          <w:szCs w:val="24"/>
          <w:lang w:eastAsia="en-AU"/>
          <w14:ligatures w14:val="none"/>
        </w:rPr>
        <w:t xml:space="preserve"> For each lot, auto-compile drawings, checklists, photos, and test results into a locked PDF with traceable signatures.</w:t>
      </w:r>
    </w:p>
    <w:p w14:paraId="0B9D7B08" w14:textId="77777777" w:rsidR="00F66F27" w:rsidRPr="00F66F27" w:rsidRDefault="00F66F27" w:rsidP="00F66F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66F27">
        <w:rPr>
          <w:rFonts w:ascii="Times New Roman" w:eastAsia="Times New Roman" w:hAnsi="Times New Roman" w:cs="Times New Roman"/>
          <w:b/>
          <w:bCs/>
          <w:kern w:val="0"/>
          <w:sz w:val="27"/>
          <w:szCs w:val="27"/>
          <w:lang w:eastAsia="en-AU"/>
          <w14:ligatures w14:val="none"/>
        </w:rPr>
        <w:lastRenderedPageBreak/>
        <w:t>7.4 Supply chain buffering</w:t>
      </w:r>
    </w:p>
    <w:p w14:paraId="3385A9C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Category mapping:</w:t>
      </w:r>
      <w:r w:rsidRPr="00F66F27">
        <w:rPr>
          <w:rFonts w:ascii="Times New Roman" w:eastAsia="Times New Roman" w:hAnsi="Times New Roman" w:cs="Times New Roman"/>
          <w:kern w:val="0"/>
          <w:sz w:val="24"/>
          <w:szCs w:val="24"/>
          <w:lang w:eastAsia="en-AU"/>
          <w14:ligatures w14:val="none"/>
        </w:rPr>
        <w:t xml:space="preserve"> Identify long-lead and sole-source items, for example rail turnouts, special trackwork, signalling cabinets. </w:t>
      </w:r>
      <w:r w:rsidRPr="00F66F27">
        <w:rPr>
          <w:rFonts w:ascii="Times New Roman" w:eastAsia="Times New Roman" w:hAnsi="Times New Roman" w:cs="Times New Roman"/>
          <w:b/>
          <w:bCs/>
          <w:kern w:val="0"/>
          <w:sz w:val="24"/>
          <w:szCs w:val="24"/>
          <w:lang w:eastAsia="en-AU"/>
          <w14:ligatures w14:val="none"/>
        </w:rPr>
        <w:t>Option design:</w:t>
      </w:r>
      <w:r w:rsidRPr="00F66F27">
        <w:rPr>
          <w:rFonts w:ascii="Times New Roman" w:eastAsia="Times New Roman" w:hAnsi="Times New Roman" w:cs="Times New Roman"/>
          <w:kern w:val="0"/>
          <w:sz w:val="24"/>
          <w:szCs w:val="24"/>
          <w:lang w:eastAsia="en-AU"/>
          <w14:ligatures w14:val="none"/>
        </w:rPr>
        <w:t xml:space="preserve"> Dual-source where feasible, pre-approve equivalents with interface control documents, and hold optioned call-offs for critical items with sunset clauses.</w:t>
      </w:r>
    </w:p>
    <w:p w14:paraId="29CE7F19"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41291B9D">
          <v:rect id="_x0000_i1032" style="width:0;height:1.5pt" o:hralign="center" o:hrstd="t" o:hr="t" fillcolor="#a0a0a0" stroked="f"/>
        </w:pict>
      </w:r>
    </w:p>
    <w:p w14:paraId="71EEB314"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8. Evaluation Framework</w:t>
      </w:r>
    </w:p>
    <w:p w14:paraId="6D58EDAA"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Figure 3. Benefits dependency map, notional</w:t>
      </w:r>
      <w:r w:rsidRPr="00F66F27">
        <w:rPr>
          <w:rFonts w:ascii="Times New Roman" w:eastAsia="Times New Roman" w:hAnsi="Times New Roman" w:cs="Times New Roman"/>
          <w:kern w:val="0"/>
          <w:sz w:val="24"/>
          <w:szCs w:val="24"/>
          <w:lang w:eastAsia="en-AU"/>
          <w14:ligatures w14:val="none"/>
        </w:rPr>
        <w:br/>
        <w:t>[Diagram placeholder: benefits map linking Enablers, for example CDE, Decision cell, to Intermediate Outcomes, for example fewer clashes, faster approvals, to End Benefits, for example reduced schedule variance, better community satisfaction.]</w:t>
      </w:r>
    </w:p>
    <w:p w14:paraId="07A2861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Table 3. Measures of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806"/>
        <w:gridCol w:w="1037"/>
        <w:gridCol w:w="2126"/>
      </w:tblGrid>
      <w:tr w:rsidR="00F66F27" w:rsidRPr="00F66F27" w14:paraId="0FA25A6D" w14:textId="77777777">
        <w:trPr>
          <w:tblHeader/>
          <w:tblCellSpacing w:w="15" w:type="dxa"/>
        </w:trPr>
        <w:tc>
          <w:tcPr>
            <w:tcW w:w="0" w:type="auto"/>
            <w:vAlign w:val="center"/>
            <w:hideMark/>
          </w:tcPr>
          <w:p w14:paraId="00FE4F5D"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Benefit</w:t>
            </w:r>
          </w:p>
        </w:tc>
        <w:tc>
          <w:tcPr>
            <w:tcW w:w="0" w:type="auto"/>
            <w:vAlign w:val="center"/>
            <w:hideMark/>
          </w:tcPr>
          <w:p w14:paraId="373748B3"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Measure</w:t>
            </w:r>
          </w:p>
        </w:tc>
        <w:tc>
          <w:tcPr>
            <w:tcW w:w="0" w:type="auto"/>
            <w:vAlign w:val="center"/>
            <w:hideMark/>
          </w:tcPr>
          <w:p w14:paraId="5EECD16B" w14:textId="77777777" w:rsidR="00F66F27" w:rsidRPr="00F66F27" w:rsidRDefault="00F66F27" w:rsidP="00F66F27">
            <w:pPr>
              <w:spacing w:after="0" w:line="240" w:lineRule="auto"/>
              <w:jc w:val="right"/>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Baseline</w:t>
            </w:r>
          </w:p>
        </w:tc>
        <w:tc>
          <w:tcPr>
            <w:tcW w:w="0" w:type="auto"/>
            <w:vAlign w:val="center"/>
            <w:hideMark/>
          </w:tcPr>
          <w:p w14:paraId="3E2AEBBC" w14:textId="77777777" w:rsidR="00F66F27" w:rsidRPr="00F66F27" w:rsidRDefault="00F66F27" w:rsidP="00F66F27">
            <w:pPr>
              <w:spacing w:after="0" w:line="240" w:lineRule="auto"/>
              <w:jc w:val="right"/>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Target after 18 months</w:t>
            </w:r>
          </w:p>
        </w:tc>
      </w:tr>
      <w:tr w:rsidR="00F66F27" w:rsidRPr="00F66F27" w14:paraId="48A3EAC9" w14:textId="77777777">
        <w:trPr>
          <w:tblCellSpacing w:w="15" w:type="dxa"/>
        </w:trPr>
        <w:tc>
          <w:tcPr>
            <w:tcW w:w="0" w:type="auto"/>
            <w:vAlign w:val="center"/>
            <w:hideMark/>
          </w:tcPr>
          <w:p w14:paraId="6273B3E1"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Reduced discoveries</w:t>
            </w:r>
          </w:p>
        </w:tc>
        <w:tc>
          <w:tcPr>
            <w:tcW w:w="0" w:type="auto"/>
            <w:vAlign w:val="center"/>
            <w:hideMark/>
          </w:tcPr>
          <w:p w14:paraId="0BC8A5F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Field discovery rate, per 100 m</w:t>
            </w:r>
          </w:p>
        </w:tc>
        <w:tc>
          <w:tcPr>
            <w:tcW w:w="0" w:type="auto"/>
            <w:vAlign w:val="center"/>
            <w:hideMark/>
          </w:tcPr>
          <w:p w14:paraId="2B94C04A"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6.0</w:t>
            </w:r>
          </w:p>
        </w:tc>
        <w:tc>
          <w:tcPr>
            <w:tcW w:w="0" w:type="auto"/>
            <w:vAlign w:val="center"/>
            <w:hideMark/>
          </w:tcPr>
          <w:p w14:paraId="04A1A782"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2.5</w:t>
            </w:r>
          </w:p>
        </w:tc>
      </w:tr>
      <w:tr w:rsidR="00F66F27" w:rsidRPr="00F66F27" w14:paraId="18584751" w14:textId="77777777">
        <w:trPr>
          <w:tblCellSpacing w:w="15" w:type="dxa"/>
        </w:trPr>
        <w:tc>
          <w:tcPr>
            <w:tcW w:w="0" w:type="auto"/>
            <w:vAlign w:val="center"/>
            <w:hideMark/>
          </w:tcPr>
          <w:p w14:paraId="5373029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Higher flow efficiency</w:t>
            </w:r>
          </w:p>
        </w:tc>
        <w:tc>
          <w:tcPr>
            <w:tcW w:w="0" w:type="auto"/>
            <w:vAlign w:val="center"/>
            <w:hideMark/>
          </w:tcPr>
          <w:p w14:paraId="7E36AE4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Percent plan complete</w:t>
            </w:r>
          </w:p>
        </w:tc>
        <w:tc>
          <w:tcPr>
            <w:tcW w:w="0" w:type="auto"/>
            <w:vAlign w:val="center"/>
            <w:hideMark/>
          </w:tcPr>
          <w:p w14:paraId="12C88A59"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62 percent</w:t>
            </w:r>
          </w:p>
        </w:tc>
        <w:tc>
          <w:tcPr>
            <w:tcW w:w="0" w:type="auto"/>
            <w:vAlign w:val="center"/>
            <w:hideMark/>
          </w:tcPr>
          <w:p w14:paraId="327046C8"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78 percent</w:t>
            </w:r>
          </w:p>
        </w:tc>
      </w:tr>
      <w:tr w:rsidR="00F66F27" w:rsidRPr="00F66F27" w14:paraId="0818B712" w14:textId="77777777">
        <w:trPr>
          <w:tblCellSpacing w:w="15" w:type="dxa"/>
        </w:trPr>
        <w:tc>
          <w:tcPr>
            <w:tcW w:w="0" w:type="auto"/>
            <w:vAlign w:val="center"/>
            <w:hideMark/>
          </w:tcPr>
          <w:p w14:paraId="0DB4AE0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Faster approvals</w:t>
            </w:r>
          </w:p>
        </w:tc>
        <w:tc>
          <w:tcPr>
            <w:tcW w:w="0" w:type="auto"/>
            <w:vAlign w:val="center"/>
            <w:hideMark/>
          </w:tcPr>
          <w:p w14:paraId="678597A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Average decision lead time</w:t>
            </w:r>
          </w:p>
        </w:tc>
        <w:tc>
          <w:tcPr>
            <w:tcW w:w="0" w:type="auto"/>
            <w:vAlign w:val="center"/>
            <w:hideMark/>
          </w:tcPr>
          <w:p w14:paraId="0B173889"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10 days</w:t>
            </w:r>
          </w:p>
        </w:tc>
        <w:tc>
          <w:tcPr>
            <w:tcW w:w="0" w:type="auto"/>
            <w:vAlign w:val="center"/>
            <w:hideMark/>
          </w:tcPr>
          <w:p w14:paraId="14E09DF7"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3 days</w:t>
            </w:r>
          </w:p>
        </w:tc>
      </w:tr>
      <w:tr w:rsidR="00F66F27" w:rsidRPr="00F66F27" w14:paraId="21B6EF7D" w14:textId="77777777">
        <w:trPr>
          <w:tblCellSpacing w:w="15" w:type="dxa"/>
        </w:trPr>
        <w:tc>
          <w:tcPr>
            <w:tcW w:w="0" w:type="auto"/>
            <w:vAlign w:val="center"/>
            <w:hideMark/>
          </w:tcPr>
          <w:p w14:paraId="3733D2B4"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Assurance speed</w:t>
            </w:r>
          </w:p>
        </w:tc>
        <w:tc>
          <w:tcPr>
            <w:tcW w:w="0" w:type="auto"/>
            <w:vAlign w:val="center"/>
            <w:hideMark/>
          </w:tcPr>
          <w:p w14:paraId="5A2720D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Time from work completion to lot acceptance</w:t>
            </w:r>
          </w:p>
        </w:tc>
        <w:tc>
          <w:tcPr>
            <w:tcW w:w="0" w:type="auto"/>
            <w:vAlign w:val="center"/>
            <w:hideMark/>
          </w:tcPr>
          <w:p w14:paraId="2A232BE6"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15 days</w:t>
            </w:r>
          </w:p>
        </w:tc>
        <w:tc>
          <w:tcPr>
            <w:tcW w:w="0" w:type="auto"/>
            <w:vAlign w:val="center"/>
            <w:hideMark/>
          </w:tcPr>
          <w:p w14:paraId="2257E9F4"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5 days</w:t>
            </w:r>
          </w:p>
        </w:tc>
      </w:tr>
      <w:tr w:rsidR="00F66F27" w:rsidRPr="00F66F27" w14:paraId="04AE7D20" w14:textId="77777777">
        <w:trPr>
          <w:tblCellSpacing w:w="15" w:type="dxa"/>
        </w:trPr>
        <w:tc>
          <w:tcPr>
            <w:tcW w:w="0" w:type="auto"/>
            <w:vAlign w:val="center"/>
            <w:hideMark/>
          </w:tcPr>
          <w:p w14:paraId="020E4A9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Community impact</w:t>
            </w:r>
          </w:p>
        </w:tc>
        <w:tc>
          <w:tcPr>
            <w:tcW w:w="0" w:type="auto"/>
            <w:vAlign w:val="center"/>
            <w:hideMark/>
          </w:tcPr>
          <w:p w14:paraId="794FE422"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Unplanned access disruptions per segment</w:t>
            </w:r>
          </w:p>
        </w:tc>
        <w:tc>
          <w:tcPr>
            <w:tcW w:w="0" w:type="auto"/>
            <w:vAlign w:val="center"/>
            <w:hideMark/>
          </w:tcPr>
          <w:p w14:paraId="08EFDA6D"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4</w:t>
            </w:r>
          </w:p>
        </w:tc>
        <w:tc>
          <w:tcPr>
            <w:tcW w:w="0" w:type="auto"/>
            <w:vAlign w:val="center"/>
            <w:hideMark/>
          </w:tcPr>
          <w:p w14:paraId="749B4B8E" w14:textId="77777777" w:rsidR="00F66F27" w:rsidRPr="00F66F27" w:rsidRDefault="00F66F27" w:rsidP="00F66F27">
            <w:pPr>
              <w:spacing w:after="0" w:line="240" w:lineRule="auto"/>
              <w:jc w:val="right"/>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1</w:t>
            </w:r>
          </w:p>
        </w:tc>
      </w:tr>
    </w:tbl>
    <w:p w14:paraId="3502F5E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Verification plan</w:t>
      </w:r>
    </w:p>
    <w:p w14:paraId="4D9FE752" w14:textId="77777777" w:rsidR="00F66F27" w:rsidRPr="00F66F27" w:rsidRDefault="00F66F27" w:rsidP="00F66F2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Monthly dashboards from CDE and last planner records.</w:t>
      </w:r>
    </w:p>
    <w:p w14:paraId="0A7A172C" w14:textId="77777777" w:rsidR="00F66F27" w:rsidRPr="00F66F27" w:rsidRDefault="00F66F27" w:rsidP="00F66F2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Independent audits for data integrity and benefits attribution.</w:t>
      </w:r>
    </w:p>
    <w:p w14:paraId="08D7B96C" w14:textId="77777777" w:rsidR="00F66F27" w:rsidRPr="00F66F27" w:rsidRDefault="00F66F27" w:rsidP="00F66F2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Post-implementation review with business owners and community representatives.</w:t>
      </w:r>
    </w:p>
    <w:p w14:paraId="56F10DD2"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1153677">
          <v:rect id="_x0000_i1033" style="width:0;height:1.5pt" o:hralign="center" o:hrstd="t" o:hr="t" fillcolor="#a0a0a0" stroked="f"/>
        </w:pict>
      </w:r>
    </w:p>
    <w:p w14:paraId="78AC03DB"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9. Risks and Mitigations</w:t>
      </w:r>
    </w:p>
    <w:p w14:paraId="7A1CEF3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Table 4.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941"/>
        <w:gridCol w:w="1478"/>
        <w:gridCol w:w="1168"/>
        <w:gridCol w:w="874"/>
        <w:gridCol w:w="1982"/>
      </w:tblGrid>
      <w:tr w:rsidR="00F66F27" w:rsidRPr="00F66F27" w14:paraId="61628CD9" w14:textId="77777777">
        <w:trPr>
          <w:tblHeader/>
          <w:tblCellSpacing w:w="15" w:type="dxa"/>
        </w:trPr>
        <w:tc>
          <w:tcPr>
            <w:tcW w:w="0" w:type="auto"/>
            <w:vAlign w:val="center"/>
            <w:hideMark/>
          </w:tcPr>
          <w:p w14:paraId="43118777"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Risk</w:t>
            </w:r>
          </w:p>
        </w:tc>
        <w:tc>
          <w:tcPr>
            <w:tcW w:w="0" w:type="auto"/>
            <w:vAlign w:val="center"/>
            <w:hideMark/>
          </w:tcPr>
          <w:p w14:paraId="1286B786"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Cause</w:t>
            </w:r>
          </w:p>
        </w:tc>
        <w:tc>
          <w:tcPr>
            <w:tcW w:w="0" w:type="auto"/>
            <w:vAlign w:val="center"/>
            <w:hideMark/>
          </w:tcPr>
          <w:p w14:paraId="553B5A9B"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Consequence</w:t>
            </w:r>
          </w:p>
        </w:tc>
        <w:tc>
          <w:tcPr>
            <w:tcW w:w="0" w:type="auto"/>
            <w:vAlign w:val="center"/>
            <w:hideMark/>
          </w:tcPr>
          <w:p w14:paraId="610FDEB9"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Likelihood</w:t>
            </w:r>
          </w:p>
        </w:tc>
        <w:tc>
          <w:tcPr>
            <w:tcW w:w="0" w:type="auto"/>
            <w:vAlign w:val="center"/>
            <w:hideMark/>
          </w:tcPr>
          <w:p w14:paraId="38E0470F"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Impact</w:t>
            </w:r>
          </w:p>
        </w:tc>
        <w:tc>
          <w:tcPr>
            <w:tcW w:w="0" w:type="auto"/>
            <w:vAlign w:val="center"/>
            <w:hideMark/>
          </w:tcPr>
          <w:p w14:paraId="0F12DADA" w14:textId="77777777" w:rsidR="00F66F27" w:rsidRPr="00F66F27" w:rsidRDefault="00F66F27" w:rsidP="00F66F27">
            <w:pPr>
              <w:spacing w:after="0" w:line="240" w:lineRule="auto"/>
              <w:jc w:val="center"/>
              <w:rPr>
                <w:rFonts w:ascii="Times New Roman" w:eastAsia="Times New Roman" w:hAnsi="Times New Roman" w:cs="Times New Roman"/>
                <w:b/>
                <w:bCs/>
                <w:kern w:val="0"/>
                <w:sz w:val="24"/>
                <w:szCs w:val="24"/>
                <w:lang w:eastAsia="en-AU"/>
                <w14:ligatures w14:val="none"/>
              </w:rPr>
            </w:pPr>
            <w:r w:rsidRPr="00F66F27">
              <w:rPr>
                <w:rFonts w:ascii="Times New Roman" w:eastAsia="Times New Roman" w:hAnsi="Times New Roman" w:cs="Times New Roman"/>
                <w:b/>
                <w:bCs/>
                <w:kern w:val="0"/>
                <w:sz w:val="24"/>
                <w:szCs w:val="24"/>
                <w:lang w:eastAsia="en-AU"/>
                <w14:ligatures w14:val="none"/>
              </w:rPr>
              <w:t>Mitigation</w:t>
            </w:r>
          </w:p>
        </w:tc>
      </w:tr>
      <w:tr w:rsidR="00F66F27" w:rsidRPr="00F66F27" w14:paraId="2F8BAC97" w14:textId="77777777">
        <w:trPr>
          <w:tblCellSpacing w:w="15" w:type="dxa"/>
        </w:trPr>
        <w:tc>
          <w:tcPr>
            <w:tcW w:w="0" w:type="auto"/>
            <w:vAlign w:val="center"/>
            <w:hideMark/>
          </w:tcPr>
          <w:p w14:paraId="1CC24EC1"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Data overload</w:t>
            </w:r>
          </w:p>
        </w:tc>
        <w:tc>
          <w:tcPr>
            <w:tcW w:w="0" w:type="auto"/>
            <w:vAlign w:val="center"/>
            <w:hideMark/>
          </w:tcPr>
          <w:p w14:paraId="6554077F"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Too many tools, fragmented processes</w:t>
            </w:r>
          </w:p>
        </w:tc>
        <w:tc>
          <w:tcPr>
            <w:tcW w:w="0" w:type="auto"/>
            <w:vAlign w:val="center"/>
            <w:hideMark/>
          </w:tcPr>
          <w:p w14:paraId="63B0749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Low adoption</w:t>
            </w:r>
          </w:p>
        </w:tc>
        <w:tc>
          <w:tcPr>
            <w:tcW w:w="0" w:type="auto"/>
            <w:vAlign w:val="center"/>
            <w:hideMark/>
          </w:tcPr>
          <w:p w14:paraId="0376B74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7C62E002"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7838A129"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Minimal viable twin, role-based views</w:t>
            </w:r>
          </w:p>
        </w:tc>
      </w:tr>
      <w:tr w:rsidR="00F66F27" w:rsidRPr="00F66F27" w14:paraId="6FDDD20C" w14:textId="77777777">
        <w:trPr>
          <w:tblCellSpacing w:w="15" w:type="dxa"/>
        </w:trPr>
        <w:tc>
          <w:tcPr>
            <w:tcW w:w="0" w:type="auto"/>
            <w:vAlign w:val="center"/>
            <w:hideMark/>
          </w:tcPr>
          <w:p w14:paraId="1C68D8BA"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lastRenderedPageBreak/>
              <w:t>Contract misalignment</w:t>
            </w:r>
          </w:p>
        </w:tc>
        <w:tc>
          <w:tcPr>
            <w:tcW w:w="0" w:type="auto"/>
            <w:vAlign w:val="center"/>
            <w:hideMark/>
          </w:tcPr>
          <w:p w14:paraId="7D4F101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Incentives not aligned to shared goals</w:t>
            </w:r>
          </w:p>
        </w:tc>
        <w:tc>
          <w:tcPr>
            <w:tcW w:w="0" w:type="auto"/>
            <w:vAlign w:val="center"/>
            <w:hideMark/>
          </w:tcPr>
          <w:p w14:paraId="5D28345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Claims, churn</w:t>
            </w:r>
          </w:p>
        </w:tc>
        <w:tc>
          <w:tcPr>
            <w:tcW w:w="0" w:type="auto"/>
            <w:vAlign w:val="center"/>
            <w:hideMark/>
          </w:tcPr>
          <w:p w14:paraId="6A6DCC0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1139B04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6D2CEF1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Target cost with pain-gain and shared KPIs</w:t>
            </w:r>
          </w:p>
        </w:tc>
      </w:tr>
      <w:tr w:rsidR="00F66F27" w:rsidRPr="00F66F27" w14:paraId="6EB3B70F" w14:textId="77777777">
        <w:trPr>
          <w:tblCellSpacing w:w="15" w:type="dxa"/>
        </w:trPr>
        <w:tc>
          <w:tcPr>
            <w:tcW w:w="0" w:type="auto"/>
            <w:vAlign w:val="center"/>
            <w:hideMark/>
          </w:tcPr>
          <w:p w14:paraId="2BCFFE49"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Heritage surprises</w:t>
            </w:r>
          </w:p>
        </w:tc>
        <w:tc>
          <w:tcPr>
            <w:tcW w:w="0" w:type="auto"/>
            <w:vAlign w:val="center"/>
            <w:hideMark/>
          </w:tcPr>
          <w:p w14:paraId="655B0DF5"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Unanticipated finds</w:t>
            </w:r>
          </w:p>
        </w:tc>
        <w:tc>
          <w:tcPr>
            <w:tcW w:w="0" w:type="auto"/>
            <w:vAlign w:val="center"/>
            <w:hideMark/>
          </w:tcPr>
          <w:p w14:paraId="71336F3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Stoppages</w:t>
            </w:r>
          </w:p>
        </w:tc>
        <w:tc>
          <w:tcPr>
            <w:tcW w:w="0" w:type="auto"/>
            <w:vAlign w:val="center"/>
            <w:hideMark/>
          </w:tcPr>
          <w:p w14:paraId="5D3F149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Low</w:t>
            </w:r>
          </w:p>
        </w:tc>
        <w:tc>
          <w:tcPr>
            <w:tcW w:w="0" w:type="auto"/>
            <w:vAlign w:val="center"/>
            <w:hideMark/>
          </w:tcPr>
          <w:p w14:paraId="580666F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08A9A1E0"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Predictive zoning, standby archaeology teams</w:t>
            </w:r>
          </w:p>
        </w:tc>
      </w:tr>
      <w:tr w:rsidR="00F66F27" w:rsidRPr="00F66F27" w14:paraId="1D1D728C" w14:textId="77777777">
        <w:trPr>
          <w:tblCellSpacing w:w="15" w:type="dxa"/>
        </w:trPr>
        <w:tc>
          <w:tcPr>
            <w:tcW w:w="0" w:type="auto"/>
            <w:vAlign w:val="center"/>
            <w:hideMark/>
          </w:tcPr>
          <w:p w14:paraId="7F82AC7D"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Supplier insolvency</w:t>
            </w:r>
          </w:p>
        </w:tc>
        <w:tc>
          <w:tcPr>
            <w:tcW w:w="0" w:type="auto"/>
            <w:vAlign w:val="center"/>
            <w:hideMark/>
          </w:tcPr>
          <w:p w14:paraId="532022EE"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Market stress</w:t>
            </w:r>
          </w:p>
        </w:tc>
        <w:tc>
          <w:tcPr>
            <w:tcW w:w="0" w:type="auto"/>
            <w:vAlign w:val="center"/>
            <w:hideMark/>
          </w:tcPr>
          <w:p w14:paraId="12E8F77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Delays</w:t>
            </w:r>
          </w:p>
        </w:tc>
        <w:tc>
          <w:tcPr>
            <w:tcW w:w="0" w:type="auto"/>
            <w:vAlign w:val="center"/>
            <w:hideMark/>
          </w:tcPr>
          <w:p w14:paraId="0E6AD632"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Low</w:t>
            </w:r>
          </w:p>
        </w:tc>
        <w:tc>
          <w:tcPr>
            <w:tcW w:w="0" w:type="auto"/>
            <w:vAlign w:val="center"/>
            <w:hideMark/>
          </w:tcPr>
          <w:p w14:paraId="33A7EB98"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High</w:t>
            </w:r>
          </w:p>
        </w:tc>
        <w:tc>
          <w:tcPr>
            <w:tcW w:w="0" w:type="auto"/>
            <w:vAlign w:val="center"/>
            <w:hideMark/>
          </w:tcPr>
          <w:p w14:paraId="4C05FF3C"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Dual-sourcing, bonding, early health checks</w:t>
            </w:r>
          </w:p>
        </w:tc>
      </w:tr>
      <w:tr w:rsidR="00F66F27" w:rsidRPr="00F66F27" w14:paraId="18169616" w14:textId="77777777">
        <w:trPr>
          <w:tblCellSpacing w:w="15" w:type="dxa"/>
        </w:trPr>
        <w:tc>
          <w:tcPr>
            <w:tcW w:w="0" w:type="auto"/>
            <w:vAlign w:val="center"/>
            <w:hideMark/>
          </w:tcPr>
          <w:p w14:paraId="0DC01ED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Public acceptance</w:t>
            </w:r>
          </w:p>
        </w:tc>
        <w:tc>
          <w:tcPr>
            <w:tcW w:w="0" w:type="auto"/>
            <w:vAlign w:val="center"/>
            <w:hideMark/>
          </w:tcPr>
          <w:p w14:paraId="1E6C81AA"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Perceived disruption</w:t>
            </w:r>
          </w:p>
        </w:tc>
        <w:tc>
          <w:tcPr>
            <w:tcW w:w="0" w:type="auto"/>
            <w:vAlign w:val="center"/>
            <w:hideMark/>
          </w:tcPr>
          <w:p w14:paraId="43B722E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Political pressure</w:t>
            </w:r>
          </w:p>
        </w:tc>
        <w:tc>
          <w:tcPr>
            <w:tcW w:w="0" w:type="auto"/>
            <w:vAlign w:val="center"/>
            <w:hideMark/>
          </w:tcPr>
          <w:p w14:paraId="63C226EB"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2A5BF803"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Medium</w:t>
            </w:r>
          </w:p>
        </w:tc>
        <w:tc>
          <w:tcPr>
            <w:tcW w:w="0" w:type="auto"/>
            <w:vAlign w:val="center"/>
            <w:hideMark/>
          </w:tcPr>
          <w:p w14:paraId="2546617C" w14:textId="77777777" w:rsidR="00F66F27" w:rsidRPr="00F66F27" w:rsidRDefault="00F66F27" w:rsidP="00F66F27">
            <w:pPr>
              <w:spacing w:after="0"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Predictable takt windows, transparent comms</w:t>
            </w:r>
          </w:p>
        </w:tc>
      </w:tr>
    </w:tbl>
    <w:p w14:paraId="35887AC5"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5D76AAC">
          <v:rect id="_x0000_i1034" style="width:0;height:1.5pt" o:hralign="center" o:hrstd="t" o:hr="t" fillcolor="#a0a0a0" stroked="f"/>
        </w:pict>
      </w:r>
    </w:p>
    <w:p w14:paraId="4FDABAEC"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10. Recommendations</w:t>
      </w:r>
    </w:p>
    <w:p w14:paraId="1541C408"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Mandate a federated utility model with staged SUE upgrades and gatekeeping before release for construction.</w:t>
      </w:r>
    </w:p>
    <w:p w14:paraId="170A27A6"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Pilot takt planning on three consecutive segments with standardised modular assemblies and kitted materials.</w:t>
      </w:r>
    </w:p>
    <w:p w14:paraId="7B9FBC61"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Establish a co-located decision cell, codify decision SLAs, and publish queue and cycle-time metrics.</w:t>
      </w:r>
    </w:p>
    <w:p w14:paraId="3A0AD478"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Switch on a minimal viable digital twin, connect 4D schedules, and digitise ITP evidence for two priority work packages in the first quarter.</w:t>
      </w:r>
    </w:p>
    <w:p w14:paraId="4C85C38E"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Create a modular product catalogue for repeatable elements and pre-qualify suppliers against it.</w:t>
      </w:r>
    </w:p>
    <w:p w14:paraId="42ABEEC2"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Sign two-tier supply agreements with pre-approved equivalents and optioned call-offs for long-lead items.</w:t>
      </w:r>
    </w:p>
    <w:p w14:paraId="58F36FF4"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Adopt a portfolio learning hub that </w:t>
      </w:r>
      <w:proofErr w:type="gramStart"/>
      <w:r w:rsidRPr="00F66F27">
        <w:rPr>
          <w:rFonts w:ascii="Times New Roman" w:eastAsia="Times New Roman" w:hAnsi="Times New Roman" w:cs="Times New Roman"/>
          <w:kern w:val="0"/>
          <w:sz w:val="24"/>
          <w:szCs w:val="24"/>
          <w:lang w:eastAsia="en-AU"/>
          <w14:ligatures w14:val="none"/>
        </w:rPr>
        <w:t>curates</w:t>
      </w:r>
      <w:proofErr w:type="gramEnd"/>
      <w:r w:rsidRPr="00F66F27">
        <w:rPr>
          <w:rFonts w:ascii="Times New Roman" w:eastAsia="Times New Roman" w:hAnsi="Times New Roman" w:cs="Times New Roman"/>
          <w:kern w:val="0"/>
          <w:sz w:val="24"/>
          <w:szCs w:val="24"/>
          <w:lang w:eastAsia="en-AU"/>
          <w14:ligatures w14:val="none"/>
        </w:rPr>
        <w:t xml:space="preserve"> playbooks, data standards, and case measurements for reuse.</w:t>
      </w:r>
    </w:p>
    <w:p w14:paraId="0E1AB790" w14:textId="77777777" w:rsidR="00F66F27" w:rsidRPr="00F66F27" w:rsidRDefault="00F66F27" w:rsidP="00F66F2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Align commercial frameworks with shared KPIs and benefits-based reporting.</w:t>
      </w:r>
    </w:p>
    <w:p w14:paraId="3200D393"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3423EA21">
          <v:rect id="_x0000_i1035" style="width:0;height:1.5pt" o:hralign="center" o:hrstd="t" o:hr="t" fillcolor="#a0a0a0" stroked="f"/>
        </w:pict>
      </w:r>
    </w:p>
    <w:p w14:paraId="64C17415"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t>11. Conclusion</w:t>
      </w:r>
    </w:p>
    <w:p w14:paraId="6C8F46FB"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On-street light rail in a live urban corridor concentrates many of the Australian construction industry’s grand challenges. The opportunity lies in treating the corridor as a system, not a collection of discrete work orders. By combining utilities certainty, takt and modularity, digital assurance, fast decision cycles, and buffered supply, programs can maintain productive flow and reduce change churn, while improving community experience. The recommended roadmap offers a pragmatic path that can start small, then scale through measured learning.</w:t>
      </w:r>
    </w:p>
    <w:p w14:paraId="4FA306F7" w14:textId="77777777" w:rsidR="00F66F27" w:rsidRPr="00F66F27" w:rsidRDefault="00436EB4" w:rsidP="00F66F27">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60D9BCD1">
          <v:rect id="_x0000_i1036" style="width:0;height:1.5pt" o:hralign="center" o:hrstd="t" o:hr="t" fillcolor="#a0a0a0" stroked="f"/>
        </w:pict>
      </w:r>
    </w:p>
    <w:p w14:paraId="3C4F0E44" w14:textId="77777777" w:rsidR="00F66F27" w:rsidRPr="00F66F27" w:rsidRDefault="00F66F27" w:rsidP="00F66F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F66F27">
        <w:rPr>
          <w:rFonts w:ascii="Times New Roman" w:eastAsia="Times New Roman" w:hAnsi="Times New Roman" w:cs="Times New Roman"/>
          <w:b/>
          <w:bCs/>
          <w:kern w:val="0"/>
          <w:sz w:val="36"/>
          <w:szCs w:val="36"/>
          <w:lang w:eastAsia="en-AU"/>
          <w14:ligatures w14:val="none"/>
        </w:rPr>
        <w:lastRenderedPageBreak/>
        <w:t>References</w:t>
      </w:r>
    </w:p>
    <w:p w14:paraId="3FE32D0E"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Akinci, B., Fischer, M., Kunz, J., and Levitt, R. 2002, Representing </w:t>
      </w:r>
      <w:proofErr w:type="gramStart"/>
      <w:r w:rsidRPr="00F66F27">
        <w:rPr>
          <w:rFonts w:ascii="Times New Roman" w:eastAsia="Times New Roman" w:hAnsi="Times New Roman" w:cs="Times New Roman"/>
          <w:kern w:val="0"/>
          <w:sz w:val="24"/>
          <w:szCs w:val="24"/>
          <w:lang w:eastAsia="en-AU"/>
          <w14:ligatures w14:val="none"/>
        </w:rPr>
        <w:t>work spaces</w:t>
      </w:r>
      <w:proofErr w:type="gramEnd"/>
      <w:r w:rsidRPr="00F66F27">
        <w:rPr>
          <w:rFonts w:ascii="Times New Roman" w:eastAsia="Times New Roman" w:hAnsi="Times New Roman" w:cs="Times New Roman"/>
          <w:kern w:val="0"/>
          <w:sz w:val="24"/>
          <w:szCs w:val="24"/>
          <w:lang w:eastAsia="en-AU"/>
          <w14:ligatures w14:val="none"/>
        </w:rPr>
        <w:t xml:space="preserve"> generically in construction method models, </w:t>
      </w:r>
      <w:r w:rsidRPr="00F66F27">
        <w:rPr>
          <w:rFonts w:ascii="Times New Roman" w:eastAsia="Times New Roman" w:hAnsi="Times New Roman" w:cs="Times New Roman"/>
          <w:i/>
          <w:iCs/>
          <w:kern w:val="0"/>
          <w:sz w:val="24"/>
          <w:szCs w:val="24"/>
          <w:lang w:eastAsia="en-AU"/>
          <w14:ligatures w14:val="none"/>
        </w:rPr>
        <w:t>Journal of Construction Engineering and Management</w:t>
      </w:r>
      <w:r w:rsidRPr="00F66F27">
        <w:rPr>
          <w:rFonts w:ascii="Times New Roman" w:eastAsia="Times New Roman" w:hAnsi="Times New Roman" w:cs="Times New Roman"/>
          <w:kern w:val="0"/>
          <w:sz w:val="24"/>
          <w:szCs w:val="24"/>
          <w:lang w:eastAsia="en-AU"/>
          <w14:ligatures w14:val="none"/>
        </w:rPr>
        <w:t>, 128(4), 296–305.</w:t>
      </w:r>
    </w:p>
    <w:p w14:paraId="0944509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Anspach, J. and Rogers, C. 2022, Utility risk management using SUE and 3D models, </w:t>
      </w:r>
      <w:r w:rsidRPr="00F66F27">
        <w:rPr>
          <w:rFonts w:ascii="Times New Roman" w:eastAsia="Times New Roman" w:hAnsi="Times New Roman" w:cs="Times New Roman"/>
          <w:i/>
          <w:iCs/>
          <w:kern w:val="0"/>
          <w:sz w:val="24"/>
          <w:szCs w:val="24"/>
          <w:lang w:eastAsia="en-AU"/>
          <w14:ligatures w14:val="none"/>
        </w:rPr>
        <w:t>Tunnelling and Underground Space Technology</w:t>
      </w:r>
      <w:r w:rsidRPr="00F66F27">
        <w:rPr>
          <w:rFonts w:ascii="Times New Roman" w:eastAsia="Times New Roman" w:hAnsi="Times New Roman" w:cs="Times New Roman"/>
          <w:kern w:val="0"/>
          <w:sz w:val="24"/>
          <w:szCs w:val="24"/>
          <w:lang w:eastAsia="en-AU"/>
          <w14:ligatures w14:val="none"/>
        </w:rPr>
        <w:t>, 123, 104394.</w:t>
      </w:r>
    </w:p>
    <w:p w14:paraId="1CD3CCC1"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Flyvbjerg, B. 2023, </w:t>
      </w:r>
      <w:r w:rsidRPr="00F66F27">
        <w:rPr>
          <w:rFonts w:ascii="Times New Roman" w:eastAsia="Times New Roman" w:hAnsi="Times New Roman" w:cs="Times New Roman"/>
          <w:i/>
          <w:iCs/>
          <w:kern w:val="0"/>
          <w:sz w:val="24"/>
          <w:szCs w:val="24"/>
          <w:lang w:eastAsia="en-AU"/>
          <w14:ligatures w14:val="none"/>
        </w:rPr>
        <w:t>How Big Things Get Done</w:t>
      </w:r>
      <w:r w:rsidRPr="00F66F27">
        <w:rPr>
          <w:rFonts w:ascii="Times New Roman" w:eastAsia="Times New Roman" w:hAnsi="Times New Roman" w:cs="Times New Roman"/>
          <w:kern w:val="0"/>
          <w:sz w:val="24"/>
          <w:szCs w:val="24"/>
          <w:lang w:eastAsia="en-AU"/>
          <w14:ligatures w14:val="none"/>
        </w:rPr>
        <w:t>, London, Macmillan.</w:t>
      </w:r>
    </w:p>
    <w:p w14:paraId="0462C82E"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Frandson, A., </w:t>
      </w:r>
      <w:proofErr w:type="spellStart"/>
      <w:r w:rsidRPr="00F66F27">
        <w:rPr>
          <w:rFonts w:ascii="Times New Roman" w:eastAsia="Times New Roman" w:hAnsi="Times New Roman" w:cs="Times New Roman"/>
          <w:kern w:val="0"/>
          <w:sz w:val="24"/>
          <w:szCs w:val="24"/>
          <w:lang w:eastAsia="en-AU"/>
          <w14:ligatures w14:val="none"/>
        </w:rPr>
        <w:t>Tommelein</w:t>
      </w:r>
      <w:proofErr w:type="spellEnd"/>
      <w:r w:rsidRPr="00F66F27">
        <w:rPr>
          <w:rFonts w:ascii="Times New Roman" w:eastAsia="Times New Roman" w:hAnsi="Times New Roman" w:cs="Times New Roman"/>
          <w:kern w:val="0"/>
          <w:sz w:val="24"/>
          <w:szCs w:val="24"/>
          <w:lang w:eastAsia="en-AU"/>
          <w14:ligatures w14:val="none"/>
        </w:rPr>
        <w:t xml:space="preserve">, I., and </w:t>
      </w:r>
      <w:proofErr w:type="spellStart"/>
      <w:r w:rsidRPr="00F66F27">
        <w:rPr>
          <w:rFonts w:ascii="Times New Roman" w:eastAsia="Times New Roman" w:hAnsi="Times New Roman" w:cs="Times New Roman"/>
          <w:kern w:val="0"/>
          <w:sz w:val="24"/>
          <w:szCs w:val="24"/>
          <w:lang w:eastAsia="en-AU"/>
          <w14:ligatures w14:val="none"/>
        </w:rPr>
        <w:t>Kardes</w:t>
      </w:r>
      <w:proofErr w:type="spellEnd"/>
      <w:r w:rsidRPr="00F66F27">
        <w:rPr>
          <w:rFonts w:ascii="Times New Roman" w:eastAsia="Times New Roman" w:hAnsi="Times New Roman" w:cs="Times New Roman"/>
          <w:kern w:val="0"/>
          <w:sz w:val="24"/>
          <w:szCs w:val="24"/>
          <w:lang w:eastAsia="en-AU"/>
          <w14:ligatures w14:val="none"/>
        </w:rPr>
        <w:t xml:space="preserve">, I. 2015, Takt time planning for construction of repetitive work, </w:t>
      </w:r>
      <w:r w:rsidRPr="00F66F27">
        <w:rPr>
          <w:rFonts w:ascii="Times New Roman" w:eastAsia="Times New Roman" w:hAnsi="Times New Roman" w:cs="Times New Roman"/>
          <w:i/>
          <w:iCs/>
          <w:kern w:val="0"/>
          <w:sz w:val="24"/>
          <w:szCs w:val="24"/>
          <w:lang w:eastAsia="en-AU"/>
          <w14:ligatures w14:val="none"/>
        </w:rPr>
        <w:t>Construction Research Congress</w:t>
      </w:r>
      <w:r w:rsidRPr="00F66F27">
        <w:rPr>
          <w:rFonts w:ascii="Times New Roman" w:eastAsia="Times New Roman" w:hAnsi="Times New Roman" w:cs="Times New Roman"/>
          <w:kern w:val="0"/>
          <w:sz w:val="24"/>
          <w:szCs w:val="24"/>
          <w:lang w:eastAsia="en-AU"/>
          <w14:ligatures w14:val="none"/>
        </w:rPr>
        <w:t>, ASCE, 1021–1030.</w:t>
      </w:r>
    </w:p>
    <w:p w14:paraId="5CA64BCD"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Furlong, K. 2021, Coordinating urban infrastructures, </w:t>
      </w:r>
      <w:r w:rsidRPr="00F66F27">
        <w:rPr>
          <w:rFonts w:ascii="Times New Roman" w:eastAsia="Times New Roman" w:hAnsi="Times New Roman" w:cs="Times New Roman"/>
          <w:i/>
          <w:iCs/>
          <w:kern w:val="0"/>
          <w:sz w:val="24"/>
          <w:szCs w:val="24"/>
          <w:lang w:eastAsia="en-AU"/>
          <w14:ligatures w14:val="none"/>
        </w:rPr>
        <w:t>Urban Studies</w:t>
      </w:r>
      <w:r w:rsidRPr="00F66F27">
        <w:rPr>
          <w:rFonts w:ascii="Times New Roman" w:eastAsia="Times New Roman" w:hAnsi="Times New Roman" w:cs="Times New Roman"/>
          <w:kern w:val="0"/>
          <w:sz w:val="24"/>
          <w:szCs w:val="24"/>
          <w:lang w:eastAsia="en-AU"/>
          <w14:ligatures w14:val="none"/>
        </w:rPr>
        <w:t>, 58(5), 989–1006.</w:t>
      </w:r>
    </w:p>
    <w:p w14:paraId="72B6CF10"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Goodier, C. and Gibb, A. 2007, Future opportunities for offsite in the UK, </w:t>
      </w:r>
      <w:r w:rsidRPr="00F66F27">
        <w:rPr>
          <w:rFonts w:ascii="Times New Roman" w:eastAsia="Times New Roman" w:hAnsi="Times New Roman" w:cs="Times New Roman"/>
          <w:i/>
          <w:iCs/>
          <w:kern w:val="0"/>
          <w:sz w:val="24"/>
          <w:szCs w:val="24"/>
          <w:lang w:eastAsia="en-AU"/>
          <w14:ligatures w14:val="none"/>
        </w:rPr>
        <w:t>Construction Management and Economics</w:t>
      </w:r>
      <w:r w:rsidRPr="00F66F27">
        <w:rPr>
          <w:rFonts w:ascii="Times New Roman" w:eastAsia="Times New Roman" w:hAnsi="Times New Roman" w:cs="Times New Roman"/>
          <w:kern w:val="0"/>
          <w:sz w:val="24"/>
          <w:szCs w:val="24"/>
          <w:lang w:eastAsia="en-AU"/>
          <w14:ligatures w14:val="none"/>
        </w:rPr>
        <w:t>, 25(6), 585–595.</w:t>
      </w:r>
    </w:p>
    <w:p w14:paraId="6A327F9D"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Historic England 2020, </w:t>
      </w:r>
      <w:r w:rsidRPr="00F66F27">
        <w:rPr>
          <w:rFonts w:ascii="Times New Roman" w:eastAsia="Times New Roman" w:hAnsi="Times New Roman" w:cs="Times New Roman"/>
          <w:i/>
          <w:iCs/>
          <w:kern w:val="0"/>
          <w:sz w:val="24"/>
          <w:szCs w:val="24"/>
          <w:lang w:eastAsia="en-AU"/>
          <w14:ligatures w14:val="none"/>
        </w:rPr>
        <w:t>Archaeological Mitigation on Infrastructure Projects</w:t>
      </w:r>
      <w:r w:rsidRPr="00F66F27">
        <w:rPr>
          <w:rFonts w:ascii="Times New Roman" w:eastAsia="Times New Roman" w:hAnsi="Times New Roman" w:cs="Times New Roman"/>
          <w:kern w:val="0"/>
          <w:sz w:val="24"/>
          <w:szCs w:val="24"/>
          <w:lang w:eastAsia="en-AU"/>
          <w14:ligatures w14:val="none"/>
        </w:rPr>
        <w:t>, London.</w:t>
      </w:r>
    </w:p>
    <w:p w14:paraId="2E568BF8"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Koskela, L., Rooke, J., and </w:t>
      </w:r>
      <w:proofErr w:type="spellStart"/>
      <w:r w:rsidRPr="00F66F27">
        <w:rPr>
          <w:rFonts w:ascii="Times New Roman" w:eastAsia="Times New Roman" w:hAnsi="Times New Roman" w:cs="Times New Roman"/>
          <w:kern w:val="0"/>
          <w:sz w:val="24"/>
          <w:szCs w:val="24"/>
          <w:lang w:eastAsia="en-AU"/>
          <w14:ligatures w14:val="none"/>
        </w:rPr>
        <w:t>Koskenvesa</w:t>
      </w:r>
      <w:proofErr w:type="spellEnd"/>
      <w:r w:rsidRPr="00F66F27">
        <w:rPr>
          <w:rFonts w:ascii="Times New Roman" w:eastAsia="Times New Roman" w:hAnsi="Times New Roman" w:cs="Times New Roman"/>
          <w:kern w:val="0"/>
          <w:sz w:val="24"/>
          <w:szCs w:val="24"/>
          <w:lang w:eastAsia="en-AU"/>
          <w14:ligatures w14:val="none"/>
        </w:rPr>
        <w:t xml:space="preserve">, A. 2019, Flow in construction, </w:t>
      </w:r>
      <w:r w:rsidRPr="00F66F27">
        <w:rPr>
          <w:rFonts w:ascii="Times New Roman" w:eastAsia="Times New Roman" w:hAnsi="Times New Roman" w:cs="Times New Roman"/>
          <w:i/>
          <w:iCs/>
          <w:kern w:val="0"/>
          <w:sz w:val="24"/>
          <w:szCs w:val="24"/>
          <w:lang w:eastAsia="en-AU"/>
          <w14:ligatures w14:val="none"/>
        </w:rPr>
        <w:t>Built Environment Project and Asset Management</w:t>
      </w:r>
      <w:r w:rsidRPr="00F66F27">
        <w:rPr>
          <w:rFonts w:ascii="Times New Roman" w:eastAsia="Times New Roman" w:hAnsi="Times New Roman" w:cs="Times New Roman"/>
          <w:kern w:val="0"/>
          <w:sz w:val="24"/>
          <w:szCs w:val="24"/>
          <w:lang w:eastAsia="en-AU"/>
          <w14:ligatures w14:val="none"/>
        </w:rPr>
        <w:t>, 9(1), 7–20.</w:t>
      </w:r>
    </w:p>
    <w:p w14:paraId="49446C14"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Laan, A. and </w:t>
      </w:r>
      <w:proofErr w:type="spellStart"/>
      <w:r w:rsidRPr="00F66F27">
        <w:rPr>
          <w:rFonts w:ascii="Times New Roman" w:eastAsia="Times New Roman" w:hAnsi="Times New Roman" w:cs="Times New Roman"/>
          <w:kern w:val="0"/>
          <w:sz w:val="24"/>
          <w:szCs w:val="24"/>
          <w:lang w:eastAsia="en-AU"/>
          <w14:ligatures w14:val="none"/>
        </w:rPr>
        <w:t>Voordijk</w:t>
      </w:r>
      <w:proofErr w:type="spellEnd"/>
      <w:r w:rsidRPr="00F66F27">
        <w:rPr>
          <w:rFonts w:ascii="Times New Roman" w:eastAsia="Times New Roman" w:hAnsi="Times New Roman" w:cs="Times New Roman"/>
          <w:kern w:val="0"/>
          <w:sz w:val="24"/>
          <w:szCs w:val="24"/>
          <w:lang w:eastAsia="en-AU"/>
          <w14:ligatures w14:val="none"/>
        </w:rPr>
        <w:t xml:space="preserve">, H. 2012, Governance of public–private cooperation in utilities, </w:t>
      </w:r>
      <w:r w:rsidRPr="00F66F27">
        <w:rPr>
          <w:rFonts w:ascii="Times New Roman" w:eastAsia="Times New Roman" w:hAnsi="Times New Roman" w:cs="Times New Roman"/>
          <w:i/>
          <w:iCs/>
          <w:kern w:val="0"/>
          <w:sz w:val="24"/>
          <w:szCs w:val="24"/>
          <w:lang w:eastAsia="en-AU"/>
          <w14:ligatures w14:val="none"/>
        </w:rPr>
        <w:t>International Journal of Project Management</w:t>
      </w:r>
      <w:r w:rsidRPr="00F66F27">
        <w:rPr>
          <w:rFonts w:ascii="Times New Roman" w:eastAsia="Times New Roman" w:hAnsi="Times New Roman" w:cs="Times New Roman"/>
          <w:kern w:val="0"/>
          <w:sz w:val="24"/>
          <w:szCs w:val="24"/>
          <w:lang w:eastAsia="en-AU"/>
          <w14:ligatures w14:val="none"/>
        </w:rPr>
        <w:t>, 30(4), 444–456.</w:t>
      </w:r>
    </w:p>
    <w:p w14:paraId="60F323F0"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Locatelli, G., Mariani, G., </w:t>
      </w:r>
      <w:proofErr w:type="spellStart"/>
      <w:r w:rsidRPr="00F66F27">
        <w:rPr>
          <w:rFonts w:ascii="Times New Roman" w:eastAsia="Times New Roman" w:hAnsi="Times New Roman" w:cs="Times New Roman"/>
          <w:kern w:val="0"/>
          <w:sz w:val="24"/>
          <w:szCs w:val="24"/>
          <w:lang w:eastAsia="en-AU"/>
          <w14:ligatures w14:val="none"/>
        </w:rPr>
        <w:t>Sainati</w:t>
      </w:r>
      <w:proofErr w:type="spellEnd"/>
      <w:r w:rsidRPr="00F66F27">
        <w:rPr>
          <w:rFonts w:ascii="Times New Roman" w:eastAsia="Times New Roman" w:hAnsi="Times New Roman" w:cs="Times New Roman"/>
          <w:kern w:val="0"/>
          <w:sz w:val="24"/>
          <w:szCs w:val="24"/>
          <w:lang w:eastAsia="en-AU"/>
          <w14:ligatures w14:val="none"/>
        </w:rPr>
        <w:t xml:space="preserve">, T., and Greco, M. 2020, Corruption in public projects, </w:t>
      </w:r>
      <w:r w:rsidRPr="00F66F27">
        <w:rPr>
          <w:rFonts w:ascii="Times New Roman" w:eastAsia="Times New Roman" w:hAnsi="Times New Roman" w:cs="Times New Roman"/>
          <w:i/>
          <w:iCs/>
          <w:kern w:val="0"/>
          <w:sz w:val="24"/>
          <w:szCs w:val="24"/>
          <w:lang w:eastAsia="en-AU"/>
          <w14:ligatures w14:val="none"/>
        </w:rPr>
        <w:t>International Journal of Project Management</w:t>
      </w:r>
      <w:r w:rsidRPr="00F66F27">
        <w:rPr>
          <w:rFonts w:ascii="Times New Roman" w:eastAsia="Times New Roman" w:hAnsi="Times New Roman" w:cs="Times New Roman"/>
          <w:kern w:val="0"/>
          <w:sz w:val="24"/>
          <w:szCs w:val="24"/>
          <w:lang w:eastAsia="en-AU"/>
          <w14:ligatures w14:val="none"/>
        </w:rPr>
        <w:t>, 38(3), 156–172.</w:t>
      </w:r>
    </w:p>
    <w:p w14:paraId="6AB6A4DF"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Love, P., Ahiaga-</w:t>
      </w:r>
      <w:proofErr w:type="spellStart"/>
      <w:r w:rsidRPr="00F66F27">
        <w:rPr>
          <w:rFonts w:ascii="Times New Roman" w:eastAsia="Times New Roman" w:hAnsi="Times New Roman" w:cs="Times New Roman"/>
          <w:kern w:val="0"/>
          <w:sz w:val="24"/>
          <w:szCs w:val="24"/>
          <w:lang w:eastAsia="en-AU"/>
          <w14:ligatures w14:val="none"/>
        </w:rPr>
        <w:t>Dagbui</w:t>
      </w:r>
      <w:proofErr w:type="spellEnd"/>
      <w:r w:rsidRPr="00F66F27">
        <w:rPr>
          <w:rFonts w:ascii="Times New Roman" w:eastAsia="Times New Roman" w:hAnsi="Times New Roman" w:cs="Times New Roman"/>
          <w:kern w:val="0"/>
          <w:sz w:val="24"/>
          <w:szCs w:val="24"/>
          <w:lang w:eastAsia="en-AU"/>
          <w14:ligatures w14:val="none"/>
        </w:rPr>
        <w:t xml:space="preserve">, D., and Irani, Z. 2019, Cost performance risk in infrastructure, </w:t>
      </w:r>
      <w:r w:rsidRPr="00F66F27">
        <w:rPr>
          <w:rFonts w:ascii="Times New Roman" w:eastAsia="Times New Roman" w:hAnsi="Times New Roman" w:cs="Times New Roman"/>
          <w:i/>
          <w:iCs/>
          <w:kern w:val="0"/>
          <w:sz w:val="24"/>
          <w:szCs w:val="24"/>
          <w:lang w:eastAsia="en-AU"/>
          <w14:ligatures w14:val="none"/>
        </w:rPr>
        <w:t>Transportation Research Part A</w:t>
      </w:r>
      <w:r w:rsidRPr="00F66F27">
        <w:rPr>
          <w:rFonts w:ascii="Times New Roman" w:eastAsia="Times New Roman" w:hAnsi="Times New Roman" w:cs="Times New Roman"/>
          <w:kern w:val="0"/>
          <w:sz w:val="24"/>
          <w:szCs w:val="24"/>
          <w:lang w:eastAsia="en-AU"/>
          <w14:ligatures w14:val="none"/>
        </w:rPr>
        <w:t>, 124, 136–152.</w:t>
      </w:r>
    </w:p>
    <w:p w14:paraId="7BDFF46C"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Miller, R. and Hobbs, B. 2005, Governance regimes for large complex projects, </w:t>
      </w:r>
      <w:r w:rsidRPr="00F66F27">
        <w:rPr>
          <w:rFonts w:ascii="Times New Roman" w:eastAsia="Times New Roman" w:hAnsi="Times New Roman" w:cs="Times New Roman"/>
          <w:i/>
          <w:iCs/>
          <w:kern w:val="0"/>
          <w:sz w:val="24"/>
          <w:szCs w:val="24"/>
          <w:lang w:eastAsia="en-AU"/>
          <w14:ligatures w14:val="none"/>
        </w:rPr>
        <w:t>Project Management Journal</w:t>
      </w:r>
      <w:r w:rsidRPr="00F66F27">
        <w:rPr>
          <w:rFonts w:ascii="Times New Roman" w:eastAsia="Times New Roman" w:hAnsi="Times New Roman" w:cs="Times New Roman"/>
          <w:kern w:val="0"/>
          <w:sz w:val="24"/>
          <w:szCs w:val="24"/>
          <w:lang w:eastAsia="en-AU"/>
          <w14:ligatures w14:val="none"/>
        </w:rPr>
        <w:t>, 36(3), 42–50.</w:t>
      </w:r>
    </w:p>
    <w:p w14:paraId="59B0C546"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O’Reilly, M. and Davison, S. 2022, Digital assurance for transport programs, </w:t>
      </w:r>
      <w:r w:rsidRPr="00F66F27">
        <w:rPr>
          <w:rFonts w:ascii="Times New Roman" w:eastAsia="Times New Roman" w:hAnsi="Times New Roman" w:cs="Times New Roman"/>
          <w:i/>
          <w:iCs/>
          <w:kern w:val="0"/>
          <w:sz w:val="24"/>
          <w:szCs w:val="24"/>
          <w:lang w:eastAsia="en-AU"/>
          <w14:ligatures w14:val="none"/>
        </w:rPr>
        <w:t>Proceedings of the Institution of Civil Engineers</w:t>
      </w:r>
      <w:r w:rsidRPr="00F66F27">
        <w:rPr>
          <w:rFonts w:ascii="Times New Roman" w:eastAsia="Times New Roman" w:hAnsi="Times New Roman" w:cs="Times New Roman"/>
          <w:kern w:val="0"/>
          <w:sz w:val="24"/>
          <w:szCs w:val="24"/>
          <w:lang w:eastAsia="en-AU"/>
          <w14:ligatures w14:val="none"/>
        </w:rPr>
        <w:t>, 175(6), 377–390.</w:t>
      </w:r>
    </w:p>
    <w:p w14:paraId="6D8CF9F3"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Whyte, J. 2019, </w:t>
      </w:r>
      <w:r w:rsidRPr="00F66F27">
        <w:rPr>
          <w:rFonts w:ascii="Times New Roman" w:eastAsia="Times New Roman" w:hAnsi="Times New Roman" w:cs="Times New Roman"/>
          <w:i/>
          <w:iCs/>
          <w:kern w:val="0"/>
          <w:sz w:val="24"/>
          <w:szCs w:val="24"/>
          <w:lang w:eastAsia="en-AU"/>
          <w14:ligatures w14:val="none"/>
        </w:rPr>
        <w:t>How Digital Twins Transform Engineering</w:t>
      </w:r>
      <w:r w:rsidRPr="00F66F27">
        <w:rPr>
          <w:rFonts w:ascii="Times New Roman" w:eastAsia="Times New Roman" w:hAnsi="Times New Roman" w:cs="Times New Roman"/>
          <w:kern w:val="0"/>
          <w:sz w:val="24"/>
          <w:szCs w:val="24"/>
          <w:lang w:eastAsia="en-AU"/>
          <w14:ligatures w14:val="none"/>
        </w:rPr>
        <w:t>, London, Routledge.</w:t>
      </w:r>
    </w:p>
    <w:p w14:paraId="545DD237" w14:textId="77777777" w:rsidR="00F66F27" w:rsidRPr="00F66F27" w:rsidRDefault="00F66F27" w:rsidP="00F66F2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F66F27">
        <w:rPr>
          <w:rFonts w:ascii="Times New Roman" w:eastAsia="Times New Roman" w:hAnsi="Times New Roman" w:cs="Times New Roman"/>
          <w:kern w:val="0"/>
          <w:sz w:val="24"/>
          <w:szCs w:val="24"/>
          <w:lang w:eastAsia="en-AU"/>
          <w14:ligatures w14:val="none"/>
        </w:rPr>
        <w:t xml:space="preserve">UNSW 2025, </w:t>
      </w:r>
      <w:r w:rsidRPr="00F66F27">
        <w:rPr>
          <w:rFonts w:ascii="Times New Roman" w:eastAsia="Times New Roman" w:hAnsi="Times New Roman" w:cs="Times New Roman"/>
          <w:i/>
          <w:iCs/>
          <w:kern w:val="0"/>
          <w:sz w:val="24"/>
          <w:szCs w:val="24"/>
          <w:lang w:eastAsia="en-AU"/>
          <w14:ligatures w14:val="none"/>
        </w:rPr>
        <w:t>CVEN9723 Group Assignment on Grand Challenges and Emerging Opportunities for Australian Construction Industry</w:t>
      </w:r>
      <w:r w:rsidRPr="00F66F27">
        <w:rPr>
          <w:rFonts w:ascii="Times New Roman" w:eastAsia="Times New Roman" w:hAnsi="Times New Roman" w:cs="Times New Roman"/>
          <w:kern w:val="0"/>
          <w:sz w:val="24"/>
          <w:szCs w:val="24"/>
          <w:lang w:eastAsia="en-AU"/>
          <w14:ligatures w14:val="none"/>
        </w:rPr>
        <w:t xml:space="preserve">, assessment brief, accessed October 2025. </w:t>
      </w:r>
    </w:p>
    <w:p w14:paraId="054AB280" w14:textId="0689F1AE" w:rsidR="00C13BF4" w:rsidRPr="00BE1BF6" w:rsidRDefault="00C13BF4" w:rsidP="00436EB4">
      <w:pPr>
        <w:spacing w:after="0" w:line="240" w:lineRule="auto"/>
        <w:rPr>
          <w:rFonts w:ascii="Times New Roman" w:eastAsia="Times New Roman" w:hAnsi="Times New Roman" w:cs="Times New Roman"/>
          <w:kern w:val="0"/>
          <w:sz w:val="24"/>
          <w:szCs w:val="24"/>
          <w:lang w:eastAsia="en-AU"/>
          <w14:ligatures w14:val="none"/>
        </w:rPr>
      </w:pPr>
    </w:p>
    <w:sectPr w:rsidR="00C13BF4" w:rsidRPr="00BE1BF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43"/>
    <w:multiLevelType w:val="multilevel"/>
    <w:tmpl w:val="D62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6E1B"/>
    <w:multiLevelType w:val="multilevel"/>
    <w:tmpl w:val="901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20221"/>
    <w:multiLevelType w:val="multilevel"/>
    <w:tmpl w:val="D51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5460"/>
    <w:multiLevelType w:val="multilevel"/>
    <w:tmpl w:val="65D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128DC"/>
    <w:multiLevelType w:val="multilevel"/>
    <w:tmpl w:val="718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83CD2"/>
    <w:multiLevelType w:val="multilevel"/>
    <w:tmpl w:val="04D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472"/>
    <w:multiLevelType w:val="multilevel"/>
    <w:tmpl w:val="113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57D76"/>
    <w:multiLevelType w:val="multilevel"/>
    <w:tmpl w:val="F6E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96290"/>
    <w:multiLevelType w:val="multilevel"/>
    <w:tmpl w:val="06B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55E93"/>
    <w:multiLevelType w:val="multilevel"/>
    <w:tmpl w:val="EF1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332222"/>
    <w:multiLevelType w:val="multilevel"/>
    <w:tmpl w:val="4B78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454EE0"/>
    <w:multiLevelType w:val="multilevel"/>
    <w:tmpl w:val="708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C54EA"/>
    <w:multiLevelType w:val="multilevel"/>
    <w:tmpl w:val="BF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85464"/>
    <w:multiLevelType w:val="multilevel"/>
    <w:tmpl w:val="AE5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5F3A7E"/>
    <w:multiLevelType w:val="multilevel"/>
    <w:tmpl w:val="46E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5735F"/>
    <w:multiLevelType w:val="multilevel"/>
    <w:tmpl w:val="92B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667E9"/>
    <w:multiLevelType w:val="multilevel"/>
    <w:tmpl w:val="610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5168B"/>
    <w:multiLevelType w:val="multilevel"/>
    <w:tmpl w:val="121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9"/>
  </w:num>
  <w:num w:numId="2" w16cid:durableId="821698845">
    <w:abstractNumId w:val="19"/>
  </w:num>
  <w:num w:numId="3" w16cid:durableId="1500922540">
    <w:abstractNumId w:val="6"/>
  </w:num>
  <w:num w:numId="4" w16cid:durableId="207767914">
    <w:abstractNumId w:val="4"/>
  </w:num>
  <w:num w:numId="5" w16cid:durableId="1618871916">
    <w:abstractNumId w:val="16"/>
  </w:num>
  <w:num w:numId="6" w16cid:durableId="141429009">
    <w:abstractNumId w:val="18"/>
  </w:num>
  <w:num w:numId="7" w16cid:durableId="75171539">
    <w:abstractNumId w:val="24"/>
  </w:num>
  <w:num w:numId="8" w16cid:durableId="991563287">
    <w:abstractNumId w:val="15"/>
  </w:num>
  <w:num w:numId="9" w16cid:durableId="269168965">
    <w:abstractNumId w:val="11"/>
  </w:num>
  <w:num w:numId="10" w16cid:durableId="1770193439">
    <w:abstractNumId w:val="12"/>
  </w:num>
  <w:num w:numId="11" w16cid:durableId="188759921">
    <w:abstractNumId w:val="0"/>
  </w:num>
  <w:num w:numId="12" w16cid:durableId="1473909242">
    <w:abstractNumId w:val="10"/>
  </w:num>
  <w:num w:numId="13" w16cid:durableId="606354824">
    <w:abstractNumId w:val="22"/>
  </w:num>
  <w:num w:numId="14" w16cid:durableId="1159886892">
    <w:abstractNumId w:val="20"/>
  </w:num>
  <w:num w:numId="15" w16cid:durableId="131488146">
    <w:abstractNumId w:val="1"/>
  </w:num>
  <w:num w:numId="16" w16cid:durableId="306594348">
    <w:abstractNumId w:val="5"/>
  </w:num>
  <w:num w:numId="17" w16cid:durableId="1996495256">
    <w:abstractNumId w:val="17"/>
  </w:num>
  <w:num w:numId="18" w16cid:durableId="1618098178">
    <w:abstractNumId w:val="3"/>
  </w:num>
  <w:num w:numId="19" w16cid:durableId="532311091">
    <w:abstractNumId w:val="21"/>
  </w:num>
  <w:num w:numId="20" w16cid:durableId="1001196490">
    <w:abstractNumId w:val="23"/>
  </w:num>
  <w:num w:numId="21" w16cid:durableId="804932979">
    <w:abstractNumId w:val="13"/>
  </w:num>
  <w:num w:numId="22" w16cid:durableId="744037481">
    <w:abstractNumId w:val="2"/>
  </w:num>
  <w:num w:numId="23" w16cid:durableId="185756208">
    <w:abstractNumId w:val="8"/>
  </w:num>
  <w:num w:numId="24" w16cid:durableId="497770079">
    <w:abstractNumId w:val="7"/>
  </w:num>
  <w:num w:numId="25" w16cid:durableId="16930234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gFAGKK/CgtAAAA"/>
  </w:docVars>
  <w:rsids>
    <w:rsidRoot w:val="00AE4A1F"/>
    <w:rsid w:val="000333AF"/>
    <w:rsid w:val="000513DD"/>
    <w:rsid w:val="00073453"/>
    <w:rsid w:val="000772F3"/>
    <w:rsid w:val="000A09D0"/>
    <w:rsid w:val="000F6683"/>
    <w:rsid w:val="0014028A"/>
    <w:rsid w:val="0018356D"/>
    <w:rsid w:val="00212101"/>
    <w:rsid w:val="00233DAC"/>
    <w:rsid w:val="00242BA6"/>
    <w:rsid w:val="0025195C"/>
    <w:rsid w:val="00281372"/>
    <w:rsid w:val="002E45F2"/>
    <w:rsid w:val="00381A3D"/>
    <w:rsid w:val="00390A91"/>
    <w:rsid w:val="00391B9A"/>
    <w:rsid w:val="004031FF"/>
    <w:rsid w:val="00414F14"/>
    <w:rsid w:val="004224EB"/>
    <w:rsid w:val="00435D88"/>
    <w:rsid w:val="00436EB4"/>
    <w:rsid w:val="00441EBF"/>
    <w:rsid w:val="0045217E"/>
    <w:rsid w:val="00494234"/>
    <w:rsid w:val="00516E23"/>
    <w:rsid w:val="005457BC"/>
    <w:rsid w:val="005627EB"/>
    <w:rsid w:val="00570F73"/>
    <w:rsid w:val="00584095"/>
    <w:rsid w:val="005C3FE7"/>
    <w:rsid w:val="005D3C54"/>
    <w:rsid w:val="005D722F"/>
    <w:rsid w:val="00643BCE"/>
    <w:rsid w:val="007155F2"/>
    <w:rsid w:val="007501E1"/>
    <w:rsid w:val="00801B2A"/>
    <w:rsid w:val="00826FA7"/>
    <w:rsid w:val="00846E8A"/>
    <w:rsid w:val="00875AB3"/>
    <w:rsid w:val="008B29EE"/>
    <w:rsid w:val="008F2E42"/>
    <w:rsid w:val="00924FBF"/>
    <w:rsid w:val="00934A3F"/>
    <w:rsid w:val="00960508"/>
    <w:rsid w:val="00963EC6"/>
    <w:rsid w:val="009E501F"/>
    <w:rsid w:val="00A207B8"/>
    <w:rsid w:val="00A67186"/>
    <w:rsid w:val="00AC4489"/>
    <w:rsid w:val="00AE23D5"/>
    <w:rsid w:val="00AE4A1F"/>
    <w:rsid w:val="00B0781D"/>
    <w:rsid w:val="00B54D89"/>
    <w:rsid w:val="00B60B59"/>
    <w:rsid w:val="00BC7ACE"/>
    <w:rsid w:val="00BE1BF6"/>
    <w:rsid w:val="00C00B0B"/>
    <w:rsid w:val="00C13BF4"/>
    <w:rsid w:val="00C37E85"/>
    <w:rsid w:val="00C76BEF"/>
    <w:rsid w:val="00CE051C"/>
    <w:rsid w:val="00D869CE"/>
    <w:rsid w:val="00E56C46"/>
    <w:rsid w:val="00E747C3"/>
    <w:rsid w:val="00EB36CF"/>
    <w:rsid w:val="00F01CAB"/>
    <w:rsid w:val="00F14A52"/>
    <w:rsid w:val="00F66CA7"/>
    <w:rsid w:val="00F66F27"/>
    <w:rsid w:val="00F76604"/>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41</cp:revision>
  <dcterms:created xsi:type="dcterms:W3CDTF">2025-10-12T05:00:00Z</dcterms:created>
  <dcterms:modified xsi:type="dcterms:W3CDTF">2025-10-19T04:18:00Z</dcterms:modified>
</cp:coreProperties>
</file>