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ind w:hanging="0"/>
        <w:jc w:val="center"/>
        <w:rPr/>
      </w:pPr>
      <w:r>
        <w:rPr>
          <w:rFonts w:eastAsia="Calibri" w:cs="Times New Roman"/>
          <w:lang w:val="ru-RU"/>
        </w:rPr>
        <w:t>Министерство Образования, Культуры и Исследований Республики Молдова</w:t>
      </w:r>
    </w:p>
    <w:p>
      <w:pPr>
        <w:pStyle w:val="Normal"/>
        <w:spacing w:lineRule="auto" w:line="240"/>
        <w:ind w:hanging="0"/>
        <w:jc w:val="center"/>
        <w:rPr>
          <w:rFonts w:eastAsia="Calibri" w:cs="Times New Roman"/>
          <w:lang w:val="ru-RU"/>
        </w:rPr>
      </w:pPr>
      <w:r>
        <w:rPr>
          <w:rFonts w:eastAsia="Calibri" w:cs="Times New Roman"/>
          <w:lang w:val="ru-RU"/>
        </w:rPr>
        <w:t>Технический Университет Молдовы</w:t>
      </w:r>
    </w:p>
    <w:p>
      <w:pPr>
        <w:pStyle w:val="Normal"/>
        <w:spacing w:lineRule="auto" w:line="240"/>
        <w:ind w:hanging="0"/>
        <w:jc w:val="center"/>
        <w:rPr>
          <w:rFonts w:eastAsia="Calibri" w:cs="Times New Roman"/>
          <w:lang w:val="ru-RU"/>
        </w:rPr>
      </w:pPr>
      <w:r>
        <w:rPr>
          <w:rFonts w:eastAsia="Calibri" w:cs="Times New Roman"/>
          <w:lang w:val="ru-RU"/>
        </w:rPr>
        <w:t>Факультет Вычислительной техники, Информатики и Микроэлектроники</w:t>
      </w:r>
    </w:p>
    <w:p>
      <w:pPr>
        <w:pStyle w:val="Normal"/>
        <w:spacing w:lineRule="auto" w:line="240"/>
        <w:ind w:hanging="0"/>
        <w:jc w:val="center"/>
        <w:rPr>
          <w:rFonts w:eastAsia="Calibri" w:cs="Times New Roman"/>
          <w:lang w:val="ru-RU"/>
        </w:rPr>
      </w:pPr>
      <w:r>
        <w:rPr>
          <w:rFonts w:eastAsia="Calibri" w:cs="Times New Roman"/>
          <w:lang w:val="ru-RU"/>
        </w:rPr>
        <w:t>Департамент Программной Инженерии и Автоматики</w:t>
      </w:r>
    </w:p>
    <w:p>
      <w:pPr>
        <w:pStyle w:val="Normal"/>
        <w:jc w:val="center"/>
        <w:rPr>
          <w:rFonts w:eastAsia="Calibri" w:cs="Times New Roman"/>
          <w:sz w:val="22"/>
          <w:lang w:val="ru-RU"/>
        </w:rPr>
      </w:pPr>
      <w:r>
        <w:rPr>
          <w:rFonts w:eastAsia="Calibri" w:cs="Times New Roman"/>
          <w:sz w:val="22"/>
          <w:lang w:val="ru-RU"/>
        </w:rPr>
      </w:r>
    </w:p>
    <w:p>
      <w:pPr>
        <w:pStyle w:val="Normal"/>
        <w:jc w:val="center"/>
        <w:rPr>
          <w:rFonts w:eastAsia="Calibri" w:cs="Times New Roman"/>
          <w:sz w:val="22"/>
          <w:lang w:val="ru-RU"/>
        </w:rPr>
      </w:pPr>
      <w:r>
        <w:rPr>
          <w:rFonts w:eastAsia="Calibri" w:cs="Times New Roman"/>
          <w:sz w:val="22"/>
          <w:lang w:val="ru-RU"/>
        </w:rPr>
      </w:r>
    </w:p>
    <w:p>
      <w:pPr>
        <w:pStyle w:val="Normal"/>
        <w:jc w:val="center"/>
        <w:rPr>
          <w:rFonts w:eastAsia="Calibri" w:cs="Times New Roman"/>
          <w:sz w:val="22"/>
          <w:szCs w:val="22"/>
          <w:lang w:val="ru-RU"/>
        </w:rPr>
      </w:pPr>
      <w:r>
        <w:rPr>
          <w:rFonts w:eastAsia="Calibri" w:cs="Times New Roman"/>
          <w:sz w:val="22"/>
          <w:szCs w:val="22"/>
          <w:lang w:val="ru-RU"/>
        </w:rPr>
      </w:r>
    </w:p>
    <w:p>
      <w:pPr>
        <w:pStyle w:val="Normal"/>
        <w:jc w:val="center"/>
        <w:rPr>
          <w:rFonts w:eastAsia="Calibri" w:cs="Times New Roman"/>
          <w:sz w:val="22"/>
          <w:szCs w:val="22"/>
          <w:lang w:val="ru-RU"/>
        </w:rPr>
      </w:pPr>
      <w:r>
        <w:rPr>
          <w:rFonts w:eastAsia="Calibri" w:cs="Times New Roman"/>
          <w:sz w:val="22"/>
          <w:szCs w:val="22"/>
          <w:lang w:val="ru-RU"/>
        </w:rPr>
      </w:r>
    </w:p>
    <w:p>
      <w:pPr>
        <w:pStyle w:val="Normal"/>
        <w:jc w:val="center"/>
        <w:rPr>
          <w:rFonts w:eastAsia="Calibri" w:cs="Times New Roman"/>
          <w:sz w:val="22"/>
          <w:szCs w:val="22"/>
          <w:lang w:val="ru-RU"/>
        </w:rPr>
      </w:pPr>
      <w:r>
        <w:rPr>
          <w:rFonts w:eastAsia="Calibri" w:cs="Times New Roman"/>
          <w:sz w:val="22"/>
          <w:szCs w:val="22"/>
          <w:lang w:val="ru-RU"/>
        </w:rPr>
      </w:r>
    </w:p>
    <w:p>
      <w:pPr>
        <w:pStyle w:val="Normal"/>
        <w:jc w:val="center"/>
        <w:rPr>
          <w:rFonts w:eastAsia="Calibri" w:cs="Times New Roman"/>
          <w:sz w:val="22"/>
          <w:szCs w:val="22"/>
          <w:lang w:val="ru-RU"/>
        </w:rPr>
      </w:pPr>
      <w:r>
        <w:rPr>
          <w:rFonts w:eastAsia="Calibri" w:cs="Times New Roman"/>
          <w:sz w:val="22"/>
          <w:szCs w:val="22"/>
          <w:lang w:val="ru-RU"/>
        </w:rPr>
      </w:r>
    </w:p>
    <w:p>
      <w:pPr>
        <w:pStyle w:val="Normal"/>
        <w:jc w:val="center"/>
        <w:rPr>
          <w:rFonts w:eastAsia="Calibri" w:cs="Times New Roman"/>
          <w:sz w:val="22"/>
          <w:lang w:val="ru-RU"/>
        </w:rPr>
      </w:pPr>
      <w:r>
        <w:rPr>
          <w:rFonts w:eastAsia="Calibri" w:cs="Times New Roman"/>
          <w:sz w:val="22"/>
          <w:lang w:val="ru-RU"/>
        </w:rPr>
      </w:r>
    </w:p>
    <w:p>
      <w:pPr>
        <w:pStyle w:val="Normal"/>
        <w:jc w:val="center"/>
        <w:rPr>
          <w:rFonts w:eastAsia="Calibri" w:cs="Times New Roman"/>
          <w:sz w:val="22"/>
          <w:lang w:val="ru-RU"/>
        </w:rPr>
      </w:pPr>
      <w:r>
        <w:rPr>
          <w:rFonts w:eastAsia="Calibri" w:cs="Times New Roman"/>
          <w:sz w:val="22"/>
          <w:lang w:val="ru-RU"/>
        </w:rPr>
      </w:r>
    </w:p>
    <w:p>
      <w:pPr>
        <w:pStyle w:val="Normal"/>
        <w:spacing w:lineRule="auto" w:line="240"/>
        <w:ind w:hanging="0"/>
        <w:jc w:val="center"/>
        <w:rPr>
          <w:rFonts w:eastAsia="Calibri" w:cs="Times New Roman"/>
          <w:b/>
          <w:bCs/>
          <w:sz w:val="96"/>
          <w:szCs w:val="96"/>
          <w:lang w:val="ru-RU"/>
        </w:rPr>
      </w:pPr>
      <w:r>
        <w:rPr>
          <w:rFonts w:eastAsia="Calibri" w:cs="Times New Roman"/>
          <w:b/>
          <w:bCs/>
          <w:sz w:val="96"/>
          <w:szCs w:val="96"/>
          <w:lang w:val="ru-RU"/>
        </w:rPr>
        <w:t>Отчет</w:t>
      </w:r>
    </w:p>
    <w:p>
      <w:pPr>
        <w:pStyle w:val="Normal"/>
        <w:ind w:hanging="0"/>
        <w:jc w:val="center"/>
        <w:rPr>
          <w:rFonts w:eastAsia="Calibri" w:cs="Times New Roman"/>
          <w:b/>
          <w:sz w:val="36"/>
          <w:szCs w:val="36"/>
          <w:lang w:val="ru-RU"/>
        </w:rPr>
      </w:pPr>
      <w:r>
        <w:rPr>
          <w:rFonts w:eastAsia="Calibri" w:cs="Times New Roman"/>
          <w:b/>
          <w:sz w:val="36"/>
          <w:szCs w:val="36"/>
          <w:lang w:val="ru-RU"/>
        </w:rPr>
        <w:t>Лабораторная работа №</w:t>
      </w:r>
      <w:r>
        <w:rPr>
          <w:rFonts w:eastAsia="Calibri" w:cs="Times New Roman"/>
          <w:b/>
          <w:sz w:val="36"/>
          <w:szCs w:val="36"/>
          <w:lang w:val="ru-RU"/>
        </w:rPr>
        <w:t>2</w:t>
      </w:r>
    </w:p>
    <w:p>
      <w:pPr>
        <w:pStyle w:val="Normal"/>
        <w:ind w:hanging="0"/>
        <w:jc w:val="center"/>
        <w:rPr>
          <w:rFonts w:eastAsia="Calibri" w:cs="Times New Roman"/>
          <w:sz w:val="32"/>
          <w:szCs w:val="32"/>
          <w:lang w:val="ru-RU"/>
        </w:rPr>
      </w:pPr>
      <w:r>
        <w:rPr>
          <w:rFonts w:eastAsia="Calibri" w:cs="Times New Roman"/>
          <w:sz w:val="32"/>
          <w:szCs w:val="32"/>
          <w:lang w:val="ru-RU"/>
        </w:rPr>
        <w:t xml:space="preserve">по дисциплине: </w:t>
      </w:r>
      <w:bookmarkStart w:id="0" w:name="_Hlk216283415"/>
      <w:r>
        <w:rPr>
          <w:rFonts w:eastAsia="Calibri" w:cs="Times New Roman"/>
          <w:sz w:val="32"/>
          <w:szCs w:val="32"/>
          <w:lang w:val="ru-RU"/>
        </w:rPr>
        <w:t>«Теории вероятности»</w:t>
      </w:r>
      <w:bookmarkEnd w:id="0"/>
    </w:p>
    <w:p>
      <w:pPr>
        <w:pStyle w:val="Normal"/>
        <w:jc w:val="center"/>
        <w:rPr>
          <w:rFonts w:eastAsia="Calibri" w:cs="Times New Roman"/>
          <w:sz w:val="32"/>
          <w:szCs w:val="32"/>
          <w:lang w:val="ru-RU"/>
        </w:rPr>
      </w:pPr>
      <w:r>
        <w:rPr>
          <w:rFonts w:eastAsia="Calibri" w:cs="Times New Roman"/>
          <w:sz w:val="32"/>
          <w:szCs w:val="32"/>
          <w:lang w:val="ru-RU"/>
        </w:rPr>
      </w:r>
    </w:p>
    <w:p>
      <w:pPr>
        <w:pStyle w:val="Normal"/>
        <w:ind w:hanging="0"/>
        <w:jc w:val="center"/>
        <w:rPr>
          <w:rFonts w:eastAsia="Calibri" w:cs="Times New Roman"/>
          <w:sz w:val="32"/>
          <w:szCs w:val="32"/>
          <w:lang w:val="ru-RU"/>
        </w:rPr>
      </w:pPr>
      <w:r>
        <w:rPr>
          <w:rFonts w:eastAsia="Calibri" w:cs="Times New Roman"/>
          <w:sz w:val="32"/>
          <w:szCs w:val="32"/>
          <w:lang w:val="ru-RU"/>
        </w:rPr>
      </w:r>
    </w:p>
    <w:p>
      <w:pPr>
        <w:pStyle w:val="Normal"/>
        <w:jc w:val="center"/>
        <w:rPr>
          <w:rFonts w:eastAsia="Calibri" w:cs="Times New Roman"/>
          <w:sz w:val="32"/>
          <w:szCs w:val="32"/>
          <w:lang w:val="ru-RU"/>
        </w:rPr>
      </w:pPr>
      <w:r>
        <w:rPr>
          <w:rFonts w:eastAsia="Calibri" w:cs="Times New Roman"/>
          <w:sz w:val="32"/>
          <w:szCs w:val="32"/>
          <w:lang w:val="ru-RU"/>
        </w:rPr>
      </w:r>
    </w:p>
    <w:p>
      <w:pPr>
        <w:pStyle w:val="Normal"/>
        <w:jc w:val="center"/>
        <w:rPr>
          <w:rFonts w:eastAsia="Calibri" w:cs="Times New Roman"/>
          <w:sz w:val="32"/>
          <w:szCs w:val="32"/>
          <w:lang w:val="ru-RU"/>
        </w:rPr>
      </w:pPr>
      <w:r>
        <w:rPr>
          <w:rFonts w:eastAsia="Calibri" w:cs="Times New Roman"/>
          <w:sz w:val="32"/>
          <w:szCs w:val="32"/>
          <w:lang w:val="ru-RU"/>
        </w:rPr>
      </w:r>
    </w:p>
    <w:p>
      <w:pPr>
        <w:pStyle w:val="Normal"/>
        <w:jc w:val="center"/>
        <w:rPr>
          <w:rFonts w:eastAsia="Calibri" w:cs="Times New Roman"/>
          <w:sz w:val="32"/>
          <w:szCs w:val="32"/>
          <w:lang w:val="ru-RU"/>
        </w:rPr>
      </w:pPr>
      <w:r>
        <w:rPr>
          <w:rFonts w:eastAsia="Calibri" w:cs="Times New Roman"/>
          <w:sz w:val="32"/>
          <w:szCs w:val="32"/>
          <w:lang w:val="ru-RU"/>
        </w:rPr>
      </w:r>
    </w:p>
    <w:p>
      <w:pPr>
        <w:pStyle w:val="Normal"/>
        <w:jc w:val="center"/>
        <w:rPr>
          <w:rFonts w:eastAsia="Calibri" w:cs="Times New Roman"/>
          <w:sz w:val="28"/>
          <w:szCs w:val="28"/>
          <w:lang w:val="ru-RU"/>
        </w:rPr>
      </w:pPr>
      <w:r>
        <w:rPr>
          <w:rFonts w:eastAsia="Calibri" w:cs="Times New Roman"/>
          <w:sz w:val="28"/>
          <w:szCs w:val="28"/>
          <w:lang w:val="ru-RU"/>
        </w:rPr>
      </w:r>
    </w:p>
    <w:p>
      <w:pPr>
        <w:pStyle w:val="Normal"/>
        <w:ind w:hanging="0"/>
        <w:jc w:val="start"/>
        <w:rPr>
          <w:rFonts w:eastAsia="Calibri" w:cs="Times New Roman"/>
          <w:sz w:val="28"/>
          <w:szCs w:val="28"/>
          <w:lang w:val="ru-RU"/>
        </w:rPr>
      </w:pPr>
      <w:r>
        <w:rPr>
          <w:rFonts w:eastAsia="Calibri" w:cs="Times New Roman"/>
          <w:sz w:val="28"/>
          <w:szCs w:val="28"/>
          <w:lang w:val="ru-RU"/>
        </w:rPr>
        <w:t>Выполнил:</w:t>
      </w:r>
      <w:r>
        <w:rPr/>
        <w:tab/>
        <w:tab/>
        <w:tab/>
        <w:tab/>
        <w:tab/>
        <w:tab/>
        <w:tab/>
      </w:r>
      <w:r>
        <w:rPr>
          <w:rFonts w:eastAsia="Calibri" w:cs="Times New Roman"/>
          <w:sz w:val="28"/>
          <w:szCs w:val="28"/>
        </w:rPr>
        <w:t xml:space="preserve">      TI</w:t>
      </w:r>
      <w:r>
        <w:rPr>
          <w:rFonts w:eastAsia="Calibri" w:cs="Times New Roman"/>
          <w:sz w:val="28"/>
          <w:szCs w:val="28"/>
          <w:lang w:val="ru-RU"/>
        </w:rPr>
        <w:t>-256 Саенко Владистав</w:t>
      </w:r>
    </w:p>
    <w:p>
      <w:pPr>
        <w:pStyle w:val="Normal"/>
        <w:ind w:hanging="0"/>
        <w:jc w:val="start"/>
        <w:rPr>
          <w:rFonts w:eastAsia="Times New Roman" w:cs="Times New Roman"/>
          <w:sz w:val="28"/>
          <w:szCs w:val="28"/>
          <w:lang w:val="ru-RU" w:eastAsia="ru-RU"/>
        </w:rPr>
      </w:pPr>
      <w:r>
        <w:rPr>
          <w:rFonts w:eastAsia="Calibri" w:cs="Times New Roman"/>
          <w:sz w:val="28"/>
          <w:szCs w:val="28"/>
          <w:lang w:val="ru-RU"/>
        </w:rPr>
        <w:t>Проверила</w:t>
      </w:r>
      <w:r>
        <w:rPr/>
        <w:tab/>
        <w:tab/>
        <w:tab/>
        <w:tab/>
        <w:tab/>
        <w:tab/>
        <w:tab/>
        <w:tab/>
        <w:tab/>
      </w:r>
      <w:r>
        <w:rPr>
          <w:rFonts w:eastAsia="Calibri" w:cs="Times New Roman"/>
          <w:sz w:val="28"/>
          <w:szCs w:val="28"/>
          <w:lang w:val="ru-RU"/>
        </w:rPr>
        <w:t>Пасларь Марина</w:t>
      </w:r>
    </w:p>
    <w:p>
      <w:pPr>
        <w:pStyle w:val="Normal"/>
        <w:spacing w:before="0" w:after="0"/>
        <w:ind w:hanging="0"/>
        <w:jc w:val="center"/>
        <w:rPr>
          <w:rFonts w:eastAsia="Calibri" w:cs="Times New Roman"/>
          <w:sz w:val="28"/>
          <w:szCs w:val="28"/>
          <w:lang w:val="ru-RU"/>
        </w:rPr>
      </w:pPr>
      <w:r>
        <w:rPr>
          <w:rFonts w:eastAsia="Calibri" w:cs="Times New Roman"/>
          <w:sz w:val="28"/>
          <w:szCs w:val="28"/>
          <w:lang w:val="ru-RU"/>
        </w:rPr>
        <w:t>Кишинёв 2026</w:t>
      </w:r>
    </w:p>
    <w:p>
      <w:pPr>
        <w:pStyle w:val="Heading1"/>
        <w:rPr>
          <w:lang w:val="ru-MD"/>
        </w:rPr>
      </w:pPr>
      <w:bookmarkStart w:id="1" w:name="_Toc7873223"/>
      <w:r>
        <w:rPr>
          <w:lang w:val="ru-MD"/>
        </w:rPr>
        <w:t>Цель работы</w:t>
      </w:r>
      <w:bookmarkEnd w:id="1"/>
    </w:p>
    <w:p>
      <w:pPr>
        <w:pStyle w:val="Normal"/>
        <w:ind w:hanging="0"/>
        <w:rPr>
          <w:lang w:val="ru-RU"/>
        </w:rPr>
      </w:pPr>
      <w:r>
        <w:rPr>
          <w:lang w:val="ru-RU"/>
        </w:rPr>
        <w:t xml:space="preserve">− </w:t>
      </w:r>
      <w:r>
        <w:rPr>
          <w:lang w:val="ru-RU"/>
        </w:rPr>
        <w:t>Вычислить и проанализировать числовые характеристики случайных величин,</w:t>
      </w:r>
    </w:p>
    <w:p>
      <w:pPr>
        <w:pStyle w:val="Normal"/>
        <w:ind w:hanging="0"/>
        <w:rPr>
          <w:lang w:val="ru-RU"/>
        </w:rPr>
      </w:pPr>
      <w:r>
        <w:rPr>
          <w:lang w:val="ru-RU"/>
        </w:rPr>
        <w:t>описывающих сгенерированные данные: математическое ожидание, моду, медиану,</w:t>
      </w:r>
    </w:p>
    <w:p>
      <w:pPr>
        <w:pStyle w:val="Normal"/>
        <w:ind w:hanging="0"/>
        <w:rPr>
          <w:lang w:val="ru-RU"/>
        </w:rPr>
      </w:pPr>
      <w:r>
        <w:rPr>
          <w:lang w:val="ru-RU"/>
        </w:rPr>
        <w:t>дисперсию и среднее квадратическое отклонение;</w:t>
      </w:r>
    </w:p>
    <w:p>
      <w:pPr>
        <w:pStyle w:val="Normal"/>
        <w:ind w:hanging="0"/>
        <w:rPr>
          <w:lang w:val="ru-RU"/>
        </w:rPr>
      </w:pPr>
      <w:r>
        <w:rPr>
          <w:lang w:val="ru-RU"/>
        </w:rPr>
        <w:t xml:space="preserve">− </w:t>
      </w:r>
      <w:r>
        <w:rPr>
          <w:lang w:val="ru-RU"/>
        </w:rPr>
        <w:t>Применить методы описательной статистики к набору данных «магазина», выявив</w:t>
      </w:r>
    </w:p>
    <w:p>
      <w:pPr>
        <w:pStyle w:val="Normal"/>
        <w:ind w:hanging="0"/>
        <w:rPr>
          <w:lang w:val="ru-RU"/>
        </w:rPr>
      </w:pPr>
      <w:r>
        <w:rPr>
          <w:lang w:val="ru-RU"/>
        </w:rPr>
        <w:t>типичные уровни показателей (по математическому ожиданию и медиане), наиболее часто</w:t>
      </w:r>
    </w:p>
    <w:p>
      <w:pPr>
        <w:pStyle w:val="Normal"/>
        <w:ind w:hanging="0"/>
        <w:rPr>
          <w:lang w:val="ru-RU"/>
        </w:rPr>
      </w:pPr>
      <w:r>
        <w:rPr>
          <w:lang w:val="ru-RU"/>
        </w:rPr>
        <w:t>встречающиеся значения (по моде), а также степень разброса данных (по дисперсии и</w:t>
      </w:r>
    </w:p>
    <w:p>
      <w:pPr>
        <w:pStyle w:val="Normal"/>
        <w:ind w:hanging="0"/>
        <w:rPr>
          <w:lang w:val="ru-RU"/>
        </w:rPr>
      </w:pPr>
      <w:r>
        <w:rPr>
          <w:lang w:val="ru-RU"/>
        </w:rPr>
        <w:t>среднему квадратическому отклонению);</w:t>
      </w:r>
    </w:p>
    <w:p>
      <w:pPr>
        <w:pStyle w:val="Normal"/>
        <w:ind w:hanging="0"/>
        <w:rPr>
          <w:lang w:val="ru-RU"/>
        </w:rPr>
      </w:pPr>
      <w:r>
        <w:rPr>
          <w:lang w:val="ru-RU"/>
        </w:rPr>
        <w:t xml:space="preserve">− </w:t>
      </w:r>
      <w:r>
        <w:rPr>
          <w:lang w:val="ru-RU"/>
        </w:rPr>
        <w:t>Реализовать вычисления математического ожидания, моды, медианы и дисперсии в</w:t>
      </w:r>
    </w:p>
    <w:p>
      <w:pPr>
        <w:pStyle w:val="Normal"/>
        <w:ind w:hanging="0"/>
        <w:rPr>
          <w:lang w:val="ru-RU"/>
        </w:rPr>
      </w:pPr>
      <w:r>
        <w:rPr>
          <w:lang w:val="ru-RU"/>
        </w:rPr>
        <w:t>табличном процессоре Excel с использованием встроенных статистических функций, а</w:t>
      </w:r>
    </w:p>
    <w:p>
      <w:pPr>
        <w:pStyle w:val="Normal"/>
        <w:ind w:hanging="0"/>
        <w:rPr>
          <w:lang w:val="ru-RU"/>
        </w:rPr>
      </w:pPr>
      <w:r>
        <w:rPr>
          <w:lang w:val="ru-RU"/>
        </w:rPr>
        <w:t>также выполнить агрегирование и предварительную обработку данных;</w:t>
      </w:r>
    </w:p>
    <w:p>
      <w:pPr>
        <w:pStyle w:val="Normal"/>
        <w:ind w:hanging="0"/>
        <w:rPr>
          <w:lang w:val="ru-RU"/>
        </w:rPr>
      </w:pPr>
      <w:r>
        <w:rPr>
          <w:lang w:val="ru-RU"/>
        </w:rPr>
        <w:t xml:space="preserve">− </w:t>
      </w:r>
      <w:r>
        <w:rPr>
          <w:lang w:val="ru-RU"/>
        </w:rPr>
        <w:t>Представить результаты анализа в виде таблицы и набора графиков (гистограммы,</w:t>
      </w:r>
    </w:p>
    <w:p>
      <w:pPr>
        <w:pStyle w:val="Normal"/>
        <w:ind w:hanging="0"/>
        <w:rPr>
          <w:lang w:val="ru-RU"/>
        </w:rPr>
      </w:pPr>
      <w:r>
        <w:rPr>
          <w:lang w:val="ru-RU"/>
        </w:rPr>
        <w:t>столбчатые, круговые диаграммы и д.р), сопоставить математическое ожидание, моду,</w:t>
      </w:r>
    </w:p>
    <w:p>
      <w:pPr>
        <w:pStyle w:val="Normal"/>
        <w:ind w:hanging="0"/>
        <w:rPr>
          <w:lang w:val="ru-RU"/>
        </w:rPr>
      </w:pPr>
      <w:r>
        <w:rPr>
          <w:lang w:val="ru-RU"/>
        </w:rPr>
        <w:t>медиану и дисперсию между различными группами данных и сформулировать краткие</w:t>
      </w:r>
    </w:p>
    <w:p>
      <w:pPr>
        <w:pStyle w:val="Normal"/>
        <w:ind w:hanging="0"/>
        <w:rPr>
          <w:lang w:val="ru-RU"/>
        </w:rPr>
      </w:pPr>
      <w:r>
        <w:rPr>
          <w:lang w:val="ru-RU"/>
        </w:rPr>
        <w:t>выводы</w:t>
      </w:r>
      <w:r>
        <w:br w:type="page"/>
      </w:r>
    </w:p>
    <w:p>
      <w:pPr>
        <w:pStyle w:val="Heading1"/>
        <w:rPr/>
      </w:pPr>
      <w:r>
        <w:rPr/>
        <w:t>Исходные данные</w:t>
      </w:r>
    </w:p>
    <w:p>
      <w:pPr>
        <w:pStyle w:val="BodyText"/>
        <w:spacing w:lineRule="auto" w:line="360"/>
        <w:ind w:hanging="0" w:start="0" w:end="0"/>
        <w:rPr>
          <w:lang w:val="ru-RU"/>
        </w:rPr>
      </w:pPr>
      <w:bookmarkStart w:id="2" w:name="p-rc_9a9ed0138b2911cd-22"/>
      <w:bookmarkEnd w:id="2"/>
      <w:r>
        <w:rPr>
          <w:lang w:val="ru-RU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30136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01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val="ru-RU"/>
        </w:rPr>
        <w:t>Для работы был сформирован набор данных из 200 строк, содержащий информацию о товарах</w:t>
      </w:r>
      <w:r>
        <w:br w:type="page"/>
      </w:r>
    </w:p>
    <w:p>
      <w:pPr>
        <w:pStyle w:val="Heading1"/>
        <w:rPr/>
      </w:pPr>
      <w:r>
        <w:rPr/>
        <w:t>Расчет числовых характеристик</w:t>
      </w:r>
    </w:p>
    <w:p>
      <w:pPr>
        <w:pStyle w:val="BodyText"/>
        <w:spacing w:lineRule="auto" w:line="360"/>
        <w:ind w:hanging="0" w:start="0" w:end="0"/>
        <w:rPr>
          <w:lang w:val="ru-RU"/>
        </w:rPr>
      </w:pPr>
      <w:bookmarkStart w:id="3" w:name="p-rc_9a9ed0138b2911cd-23"/>
      <w:bookmarkEnd w:id="3"/>
      <w:r>
        <w:rPr>
          <w:lang w:val="ru-RU"/>
        </w:rPr>
        <w:t>На листе «Расчеты» были вычислены показатели для всего ассортимента.</w:t>
      </w:r>
    </w:p>
    <w:p>
      <w:pPr>
        <w:pStyle w:val="BodyText"/>
        <w:spacing w:lineRule="auto" w:line="360"/>
        <w:ind w:hanging="0" w:start="0" w:end="0"/>
        <w:rPr>
          <w:lang w:val="ru-RU"/>
        </w:rPr>
      </w:pPr>
      <w: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33870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38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val="ru-RU"/>
        </w:rPr>
        <w:t>Анализ по категориям</w:t>
      </w:r>
    </w:p>
    <w:p>
      <w:pPr>
        <w:pStyle w:val="BodyText"/>
        <w:spacing w:lineRule="auto" w:line="360"/>
        <w:ind w:hanging="0" w:start="0" w:end="0"/>
        <w:rPr>
          <w:b w:val="false"/>
          <w:bCs w:val="false"/>
          <w:lang w:val="ru-RU"/>
        </w:rPr>
      </w:pPr>
      <w: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282825"/>
            <wp:effectExtent l="0" t="0" r="0" b="0"/>
            <wp:wrapSquare wrapText="largest"/>
            <wp:docPr id="3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82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  <w:lang w:val="ru-RU"/>
        </w:rPr>
        <w:t>Наиболее однородные цены: Категория Fruits.</w:t>
      </w:r>
    </w:p>
    <w:p>
      <w:pPr>
        <w:pStyle w:val="BodyText"/>
        <w:spacing w:lineRule="auto" w:line="360"/>
        <w:ind w:hanging="0" w:start="0" w:end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Наибольший разброс цен: Категория Drinks.</w:t>
      </w:r>
      <w:r>
        <w:br w:type="page"/>
      </w:r>
    </w:p>
    <w:p>
      <w:pPr>
        <w:pStyle w:val="Heading1"/>
        <w:rPr/>
      </w:pPr>
      <w:r>
        <w:rPr/>
        <w:t>Визуализация данных</w:t>
      </w:r>
    </w:p>
    <w:p>
      <w:pPr>
        <w:pStyle w:val="BodyText"/>
        <w:spacing w:lineRule="auto" w:line="360"/>
        <w:ind w:hanging="0" w:start="0" w:end="0"/>
        <w:rPr>
          <w:lang w:val="ru-RU"/>
        </w:rPr>
      </w:pPr>
      <w:bookmarkStart w:id="4" w:name="p-rc_9a9ed0138b2911cd-26"/>
      <w:bookmarkEnd w:id="4"/>
      <w:r>
        <w:rPr>
          <w:lang w:val="ru-RU"/>
        </w:rPr>
        <w:t>На листе «Диаграммы» построены графики для анализа распределения: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lineRule="auto" w:line="360" w:before="0" w:after="0"/>
        <w:ind w:hanging="283" w:start="709" w:end="0"/>
        <w:rPr>
          <w:lang w:val="ru-RU"/>
        </w:rPr>
      </w:pPr>
      <w:bookmarkStart w:id="5" w:name="p-rc_9a9ed0138b2911cd-27"/>
      <w:bookmarkEnd w:id="5"/>
      <w:r>
        <w:rPr>
          <w:b/>
          <w:lang w:val="ru-RU"/>
        </w:rPr>
        <w:t>Гистограмма цен:</w:t>
      </w:r>
      <w:r>
        <w:rPr>
          <w:lang w:val="ru-RU"/>
        </w:rPr>
        <w:t xml:space="preserve"> Показывает частоту попадания товаров в определенные ценовые диапазоны.</w:t>
      </w:r>
    </w:p>
    <w:p>
      <w:pPr>
        <w:pStyle w:val="BodyText"/>
        <w:numPr>
          <w:ilvl w:val="0"/>
          <w:numId w:val="0"/>
        </w:numPr>
        <w:spacing w:lineRule="auto" w:line="360"/>
        <w:ind w:hanging="0" w:start="0"/>
        <w:rPr>
          <w:lang w:val="ru-RU"/>
        </w:rPr>
      </w:pPr>
      <w:r>
        <w:rPr>
          <w:lang w:val="ru-RU"/>
        </w:rPr>
      </w:r>
    </w:p>
    <w:p>
      <w:pPr>
        <w:pStyle w:val="BodyText"/>
        <w:numPr>
          <w:ilvl w:val="0"/>
          <w:numId w:val="0"/>
        </w:numPr>
        <w:spacing w:lineRule="auto" w:line="360"/>
        <w:ind w:hanging="0" w:start="0"/>
        <w:rPr>
          <w:lang w:val="ru-RU"/>
        </w:rPr>
      </w:pPr>
      <w:r>
        <w:rPr>
          <w:lang w:val="ru-RU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87315" cy="2917190"/>
            <wp:effectExtent l="0" t="0" r="0" b="0"/>
            <wp:wrapSquare wrapText="largest"/>
            <wp:docPr id="4" name="Object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anchor>
        </w:drawing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lineRule="auto" w:line="360" w:before="0" w:after="0"/>
        <w:ind w:hanging="283" w:start="709" w:end="0"/>
        <w:rPr>
          <w:lang w:val="ru-RU"/>
        </w:rPr>
      </w:pPr>
      <w:bookmarkStart w:id="6" w:name="p-rc_9a9ed0138b2911cd-28"/>
      <w:bookmarkEnd w:id="6"/>
      <w:r>
        <w:rPr>
          <w:b/>
          <w:lang w:val="ru-RU"/>
        </w:rPr>
        <w:t>Столбчатая диаграмма:</w:t>
      </w:r>
      <w:r>
        <w:rPr>
          <w:lang w:val="ru-RU"/>
        </w:rPr>
        <w:t xml:space="preserve"> Отражает суммарную стоимость товаров по категориям.</w:t>
      </w:r>
    </w:p>
    <w:p>
      <w:pPr>
        <w:pStyle w:val="BodyText"/>
        <w:numPr>
          <w:ilvl w:val="0"/>
          <w:numId w:val="0"/>
        </w:numPr>
        <w:spacing w:lineRule="auto" w:line="360"/>
        <w:ind w:hanging="0" w:start="0"/>
        <w:rPr>
          <w:lang w:val="ru-RU"/>
        </w:rPr>
      </w:pPr>
      <w:r>
        <w:rPr>
          <w:lang w:val="ru-RU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69915" cy="3225165"/>
            <wp:effectExtent l="0" t="0" r="0" b="0"/>
            <wp:wrapSquare wrapText="largest"/>
            <wp:docPr id="5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915" cy="3225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lineRule="auto" w:line="360" w:before="0" w:after="0"/>
        <w:ind w:hanging="283" w:start="709" w:end="0"/>
        <w:rPr>
          <w:lang w:val="ru-RU"/>
        </w:rPr>
      </w:pPr>
      <w:bookmarkStart w:id="7" w:name="p-rc_9a9ed0138b2911cd-29"/>
      <w:bookmarkEnd w:id="7"/>
      <w:r>
        <w:rPr>
          <w:b/>
          <w:lang w:val="ru-RU"/>
        </w:rPr>
        <w:t>Круговая диаграмма:</w:t>
      </w:r>
      <w:r>
        <w:rPr>
          <w:lang w:val="ru-RU"/>
        </w:rPr>
        <w:t xml:space="preserve"> Демонстрирует структуру ассортимента (доли категорий).</w:t>
      </w:r>
    </w:p>
    <w:p>
      <w:pPr>
        <w:pStyle w:val="BodyText"/>
        <w:spacing w:lineRule="auto" w:line="360"/>
        <w:ind w:hanging="0" w:start="0"/>
        <w:rPr>
          <w:lang w:val="ru-RU"/>
        </w:rPr>
      </w:pPr>
      <w:r>
        <w:rPr>
          <w:lang w:val="ru-RU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29910" cy="3373755"/>
            <wp:effectExtent l="0" t="0" r="0" b="0"/>
            <wp:wrapSquare wrapText="largest"/>
            <wp:docPr id="6" name="Object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anchor>
        </w:drawing>
      </w:r>
      <w:r>
        <w:br w:type="page"/>
      </w:r>
    </w:p>
    <w:p>
      <w:pPr>
        <w:pStyle w:val="Heading1"/>
        <w:rPr/>
      </w:pPr>
      <w:r>
        <w:rPr/>
        <w:t>Интерпретация и выводы</w:t>
      </w:r>
    </w:p>
    <w:p>
      <w:pPr>
        <w:pStyle w:val="Normal"/>
        <w:numPr>
          <w:ilvl w:val="0"/>
          <w:numId w:val="3"/>
        </w:numPr>
        <w:rPr/>
      </w:pPr>
      <w:r>
        <w:rPr/>
        <w:t xml:space="preserve">Средняя цена товара варьируется от 52.78 до 97.32 лей. Медиана и среднее арифметическое практически совпадают, что говорит о стабильности рынка. Однако мода вдвое выше — это значит, что </w:t>
      </w:r>
      <w:r>
        <w:rPr/>
        <w:t>есть много товаров</w:t>
      </w:r>
      <w:r>
        <w:rPr/>
        <w:t xml:space="preserve"> в премиальном сегменте.</w:t>
      </w:r>
    </w:p>
    <w:p>
      <w:pPr>
        <w:pStyle w:val="Normal"/>
        <w:numPr>
          <w:ilvl w:val="0"/>
          <w:numId w:val="3"/>
        </w:numPr>
        <w:rPr/>
      </w:pPr>
      <w:r>
        <w:rPr/>
        <w:t xml:space="preserve">Среднеквадратическое отклонение для категорий </w:t>
      </w:r>
      <w:r>
        <w:rPr/>
        <w:t xml:space="preserve">высокое. Это значит высокий разброс цен в категории. </w:t>
      </w:r>
      <w:r>
        <w:rPr>
          <w:b w:val="false"/>
          <w:bCs w:val="false"/>
        </w:rPr>
        <w:t>Ц</w:t>
      </w:r>
      <w:r>
        <w:rPr>
          <w:b w:val="false"/>
          <w:bCs w:val="false"/>
        </w:rPr>
        <w:t xml:space="preserve">ены отклоняются от среднего уровня в среднем на </w:t>
      </w:r>
      <w:r>
        <w:rPr>
          <w:b w:val="false"/>
          <w:bCs w:val="false"/>
        </w:rPr>
        <w:t>3500–3900 лей</w:t>
      </w:r>
    </w:p>
    <w:p>
      <w:pPr>
        <w:pStyle w:val="BodyText"/>
        <w:numPr>
          <w:ilvl w:val="0"/>
          <w:numId w:val="3"/>
        </w:numPr>
        <w:rPr>
          <w:b w:val="false"/>
          <w:bCs w:val="false"/>
        </w:rPr>
      </w:pP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>Р</w:t>
      </w:r>
      <w:r>
        <w:rPr>
          <w:b w:val="false"/>
          <w:bCs w:val="false"/>
        </w:rPr>
        <w:t>азброс цен между выбранными категориями:</w:t>
      </w:r>
    </w:p>
    <w:p>
      <w:pPr>
        <w:pStyle w:val="BodyText"/>
        <w:numPr>
          <w:ilvl w:val="0"/>
          <w:numId w:val="0"/>
        </w:numPr>
        <w:spacing w:lineRule="auto" w:line="360"/>
        <w:ind w:hanging="0" w:start="0"/>
        <w:rPr>
          <w:b w:val="false"/>
          <w:bCs w:val="false"/>
        </w:rPr>
      </w:pPr>
      <w:r>
        <w:rPr>
          <w:b w:val="false"/>
          <w:bCs w:val="false"/>
        </w:rPr>
        <w:t>Наиболее стабильные цены: Категория Fruits (3541.27). Здесь разброс цен минимален.</w:t>
      </w:r>
    </w:p>
    <w:p>
      <w:pPr>
        <w:pStyle w:val="BodyText"/>
        <w:numPr>
          <w:ilvl w:val="0"/>
          <w:numId w:val="0"/>
        </w:numPr>
        <w:spacing w:lineRule="auto" w:line="360"/>
        <w:ind w:hanging="0" w:start="0"/>
        <w:rPr>
          <w:b w:val="false"/>
          <w:bCs w:val="false"/>
        </w:rPr>
      </w:pPr>
      <w:r>
        <w:rPr>
          <w:b w:val="false"/>
          <w:bCs w:val="false"/>
        </w:rPr>
        <w:t>Наиболее вариативные цены: Категория Drinks (3966.12). В напитках наблюдается самый большой контраст в ценах.</w:t>
      </w:r>
    </w:p>
    <w:p>
      <w:pPr>
        <w:pStyle w:val="BodyText"/>
        <w:numPr>
          <w:ilvl w:val="0"/>
          <w:numId w:val="0"/>
        </w:numPr>
        <w:spacing w:lineRule="auto" w:line="360"/>
        <w:ind w:hanging="0" w:start="0"/>
        <w:rPr>
          <w:b w:val="false"/>
          <w:bCs w:val="false"/>
        </w:rPr>
      </w:pPr>
      <w:r>
        <w:rPr>
          <w:b w:val="false"/>
          <w:bCs w:val="false"/>
        </w:rPr>
        <w:t>Dairy: Занимает промежуточное положение (3752.00).</w:t>
      </w:r>
    </w:p>
    <w:p>
      <w:pPr>
        <w:pStyle w:val="Normal"/>
        <w:numPr>
          <w:ilvl w:val="0"/>
          <w:numId w:val="3"/>
        </w:numPr>
        <w:rPr>
          <w:b w:val="false"/>
          <w:bCs w:val="false"/>
        </w:rPr>
      </w:pPr>
      <w:r>
        <w:rPr>
          <w:b w:val="false"/>
          <w:bCs w:val="false"/>
        </w:rPr>
        <w:t>Диапазон цен: Большинство товаров сосредоточено в диапазоне от 40 до 100 лей</w:t>
      </w:r>
    </w:p>
    <w:p>
      <w:pPr>
        <w:pStyle w:val="Normal"/>
        <w:numPr>
          <w:ilvl w:val="0"/>
          <w:numId w:val="3"/>
        </w:numPr>
        <w:rPr>
          <w:b w:val="false"/>
          <w:bCs w:val="false"/>
        </w:rPr>
      </w:pPr>
      <w:r>
        <w:rPr>
          <w:b w:val="false"/>
          <w:bCs w:val="false"/>
        </w:rPr>
        <w:t>Н</w:t>
      </w:r>
      <w:r>
        <w:rPr>
          <w:b w:val="false"/>
          <w:bCs w:val="false"/>
        </w:rPr>
        <w:t>аибольший вклад в общую стоимость вносит категория Vegetables</w:t>
      </w:r>
    </w:p>
    <w:sectPr>
      <w:footerReference w:type="even" r:id="rId8"/>
      <w:type w:val="nextPage"/>
      <w:pgSz w:w="11906" w:h="16838"/>
      <w:pgMar w:left="1701" w:right="850" w:gutter="0" w:header="0" w:top="1134" w:footer="0" w:bottom="709"/>
      <w:pgNumType w:start="0"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Noto Serif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Noto Sans">
    <w:charset w:val="01" w:characterSet="utf-8"/>
    <w:family w:val="swiss"/>
    <w:pitch w:val="variable"/>
  </w:font>
  <w:font w:name="Calibri Light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1428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148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868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588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308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5028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748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468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7188" w:hanging="18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MD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MD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055e5"/>
    <w:pPr>
      <w:widowControl/>
      <w:suppressAutoHyphens w:val="true"/>
      <w:bidi w:val="0"/>
      <w:spacing w:lineRule="auto" w:line="360" w:before="0" w:after="0"/>
      <w:ind w:firstLine="709"/>
      <w:jc w:val="both"/>
    </w:pPr>
    <w:rPr>
      <w:rFonts w:ascii="Times New Roman" w:hAnsi="Times New Roman" w:eastAsia="" w:cs="" w:eastAsiaTheme="minorEastAsia"/>
      <w:color w:val="auto"/>
      <w:kern w:val="0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20add"/>
    <w:pPr>
      <w:pageBreakBefore/>
      <w:ind w:hanging="0"/>
      <w:jc w:val="center"/>
      <w:outlineLvl w:val="0"/>
    </w:pPr>
    <w:rPr>
      <w:rFonts w:eastAsia="" w:cs="" w:cstheme="majorBidi" w:eastAsiaTheme="majorEastAsia"/>
      <w:b/>
      <w:caps/>
      <w:sz w:val="26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801c2"/>
    <w:pPr>
      <w:keepNext w:val="true"/>
      <w:keepLines/>
      <w:jc w:val="start"/>
      <w:outlineLvl w:val="1"/>
    </w:pPr>
    <w:rPr>
      <w:rFonts w:eastAsia="" w:cs="" w:cstheme="majorBidi" w:eastAsiaTheme="majorEastAsia"/>
      <w:b/>
      <w:color w:themeColor="text1" w:val="000000"/>
      <w:szCs w:val="26"/>
      <w:lang w:val="ru-MD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c6750"/>
    <w:pPr>
      <w:keepNext w:val="true"/>
      <w:keepLines/>
      <w:numPr>
        <w:ilvl w:val="0"/>
        <w:numId w:val="1"/>
      </w:numPr>
      <w:spacing w:before="40" w:after="0"/>
      <w:jc w:val="start"/>
      <w:outlineLvl w:val="2"/>
    </w:pPr>
    <w:rPr>
      <w:rFonts w:eastAsia="" w:cs="" w:cstheme="majorBidi" w:eastAsiaTheme="majorEastAsia"/>
      <w:b/>
      <w:color w:themeColor="text1" w:val="000000"/>
      <w:sz w:val="26"/>
      <w:szCs w:val="26"/>
      <w:lang w:val="ru-RU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6801c2"/>
    <w:pPr>
      <w:keepNext w:val="true"/>
      <w:keepLines/>
      <w:spacing w:before="40" w:after="0"/>
      <w:jc w:val="start"/>
      <w:outlineLvl w:val="3"/>
    </w:pPr>
    <w:rPr>
      <w:rFonts w:eastAsia="" w:cs="" w:cstheme="majorBidi" w:eastAsiaTheme="majorEastAsia"/>
      <w:iCs/>
      <w:color w:themeColor="text1" w:val="00000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d20add"/>
    <w:rPr>
      <w:rFonts w:ascii="Times New Roman" w:hAnsi="Times New Roman" w:eastAsia="" w:cs="" w:cstheme="majorBidi" w:eastAsiaTheme="majorEastAsia"/>
      <w:b/>
      <w:caps/>
      <w:sz w:val="26"/>
      <w:szCs w:val="32"/>
      <w:lang w:val="en-US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6801c2"/>
    <w:rPr>
      <w:rFonts w:ascii="Times New Roman" w:hAnsi="Times New Roman" w:eastAsia="" w:cs="" w:cstheme="majorBidi" w:eastAsiaTheme="majorEastAsia"/>
      <w:b/>
      <w:color w:themeColor="text1" w:val="000000"/>
      <w:sz w:val="24"/>
      <w:szCs w:val="26"/>
    </w:rPr>
  </w:style>
  <w:style w:type="character" w:styleId="Hyperlink">
    <w:name w:val="Hyperlink"/>
    <w:basedOn w:val="DefaultParagraphFont"/>
    <w:uiPriority w:val="99"/>
    <w:unhideWhenUsed/>
    <w:rsid w:val="00dd11fc"/>
    <w:rPr>
      <w:color w:themeColor="hyperlink" w:val="0563C1"/>
      <w:u w:val="single"/>
    </w:rPr>
  </w:style>
  <w:style w:type="character" w:styleId="LineNumber">
    <w:name w:val="line number"/>
    <w:basedOn w:val="DefaultParagraphFont"/>
    <w:uiPriority w:val="99"/>
    <w:semiHidden/>
    <w:unhideWhenUsed/>
    <w:rsid w:val="00f5574a"/>
    <w:rPr/>
  </w:style>
  <w:style w:type="character" w:styleId="HeaderChar" w:customStyle="1">
    <w:name w:val="Header Char"/>
    <w:basedOn w:val="DefaultParagraphFont"/>
    <w:link w:val="Header"/>
    <w:uiPriority w:val="99"/>
    <w:qFormat/>
    <w:rsid w:val="003155c5"/>
    <w:rPr>
      <w:rFonts w:ascii="Times New Roman" w:hAnsi="Times New Roman" w:eastAsia="" w:eastAsiaTheme="minorEastAsia"/>
      <w:sz w:val="24"/>
      <w:lang w:val="en-US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3155c5"/>
    <w:rPr>
      <w:rFonts w:ascii="Times New Roman" w:hAnsi="Times New Roman" w:eastAsia="" w:eastAsiaTheme="minorEastAsia"/>
      <w:sz w:val="24"/>
      <w:lang w:val="en-US"/>
    </w:rPr>
  </w:style>
  <w:style w:type="character" w:styleId="Strong">
    <w:name w:val="Strong"/>
    <w:basedOn w:val="DefaultParagraphFont"/>
    <w:uiPriority w:val="22"/>
    <w:qFormat/>
    <w:rsid w:val="009d62f9"/>
    <w:rPr>
      <w:b/>
      <w:bCs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8c6750"/>
    <w:rPr>
      <w:rFonts w:ascii="Times New Roman" w:hAnsi="Times New Roman" w:eastAsia="" w:cs="" w:cstheme="majorBidi" w:eastAsiaTheme="majorEastAsia"/>
      <w:b/>
      <w:color w:themeColor="text1" w:val="000000"/>
      <w:sz w:val="24"/>
      <w:szCs w:val="24"/>
      <w:lang w:val="ru-RU"/>
    </w:rPr>
  </w:style>
  <w:style w:type="character" w:styleId="HTMLCode">
    <w:name w:val="HTML Code"/>
    <w:basedOn w:val="DefaultParagraphFont"/>
    <w:uiPriority w:val="99"/>
    <w:semiHidden/>
    <w:unhideWhenUsed/>
    <w:qFormat/>
    <w:rsid w:val="00ab308a"/>
    <w:rPr>
      <w:rFonts w:ascii="Courier New" w:hAnsi="Courier New" w:eastAsia="Times New Roman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e1433e"/>
    <w:rPr>
      <w:i/>
      <w:iCs/>
    </w:rPr>
  </w:style>
  <w:style w:type="character" w:styleId="Style10" w:customStyle="1">
    <w:name w:val="для кода Знак"/>
    <w:basedOn w:val="DefaultParagraphFont"/>
    <w:link w:val="Style12"/>
    <w:qFormat/>
    <w:rsid w:val="00024697"/>
    <w:rPr>
      <w:rFonts w:ascii="Courier New" w:hAnsi="Courier New" w:eastAsia="Times New Roman" w:cs="Times New Roman"/>
      <w:color w:val="FFFFFF"/>
      <w:sz w:val="20"/>
      <w:szCs w:val="21"/>
      <w:shd w:fill="1F1F1F" w:val="clear"/>
      <w:lang w:val="en-US" w:eastAsia="ru-MD"/>
      <w14:textFill>
        <w14:noFill/>
      </w14:textFill>
    </w:rPr>
  </w:style>
  <w:style w:type="character" w:styleId="Style11" w:customStyle="1">
    <w:name w:val="стиль кода Знак"/>
    <w:basedOn w:val="DefaultParagraphFont"/>
    <w:link w:val="Style13"/>
    <w:qFormat/>
    <w:rsid w:val="00024697"/>
    <w:rPr>
      <w:rFonts w:ascii="Courier New" w:hAnsi="Courier New" w:eastAsia="Times New Roman" w:cs="Courier New"/>
      <w:color w:themeColor="text1" w:val="000000"/>
      <w:sz w:val="20"/>
      <w:szCs w:val="20"/>
      <w:lang w:val="en-US" w:eastAsia="ru-MD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cd2dff"/>
    <w:rPr>
      <w:sz w:val="16"/>
      <w:szCs w:val="16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qFormat/>
    <w:rsid w:val="00cd2dff"/>
    <w:rPr>
      <w:rFonts w:ascii="Times New Roman" w:hAnsi="Times New Roman" w:eastAsia="" w:eastAsiaTheme="minorEastAsia"/>
      <w:sz w:val="20"/>
      <w:szCs w:val="20"/>
      <w:lang w:val="en-US"/>
    </w:rPr>
  </w:style>
  <w:style w:type="character" w:styleId="CommentSubjectChar" w:customStyle="1">
    <w:name w:val="Comment Subject Char"/>
    <w:basedOn w:val="CommentTextChar"/>
    <w:link w:val="annotationsubject"/>
    <w:uiPriority w:val="99"/>
    <w:semiHidden/>
    <w:qFormat/>
    <w:rsid w:val="00cd2dff"/>
    <w:rPr>
      <w:rFonts w:ascii="Times New Roman" w:hAnsi="Times New Roman" w:eastAsia="" w:eastAsiaTheme="minorEastAsia"/>
      <w:b/>
      <w:bCs/>
      <w:sz w:val="20"/>
      <w:szCs w:val="20"/>
      <w:lang w:val="en-US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qFormat/>
    <w:rsid w:val="006b4314"/>
    <w:rPr>
      <w:rFonts w:ascii="Courier New" w:hAnsi="Courier New" w:eastAsia="Times New Roman" w:cs="Courier New"/>
      <w:sz w:val="20"/>
      <w:szCs w:val="20"/>
      <w:lang w:eastAsia="ru-MD"/>
    </w:rPr>
  </w:style>
  <w:style w:type="character" w:styleId="hljs-keyword" w:customStyle="1">
    <w:name w:val="hljs-keyword"/>
    <w:basedOn w:val="DefaultParagraphFont"/>
    <w:qFormat/>
    <w:rsid w:val="006b4314"/>
    <w:rPr/>
  </w:style>
  <w:style w:type="character" w:styleId="hljs-builtin" w:customStyle="1">
    <w:name w:val="hljs-built_in"/>
    <w:basedOn w:val="DefaultParagraphFont"/>
    <w:qFormat/>
    <w:rsid w:val="006b4314"/>
    <w:rPr/>
  </w:style>
  <w:style w:type="character" w:styleId="hljs-literal" w:customStyle="1">
    <w:name w:val="hljs-literal"/>
    <w:basedOn w:val="DefaultParagraphFont"/>
    <w:qFormat/>
    <w:rsid w:val="006b4314"/>
    <w:rPr/>
  </w:style>
  <w:style w:type="character" w:styleId="Heading4Char" w:customStyle="1">
    <w:name w:val="Heading 4 Char"/>
    <w:basedOn w:val="DefaultParagraphFont"/>
    <w:link w:val="Heading4"/>
    <w:uiPriority w:val="9"/>
    <w:qFormat/>
    <w:rsid w:val="006801c2"/>
    <w:rPr>
      <w:rFonts w:ascii="Times New Roman" w:hAnsi="Times New Roman" w:eastAsia="" w:cs="" w:cstheme="majorBidi" w:eastAsiaTheme="majorEastAsia"/>
      <w:iCs/>
      <w:color w:themeColor="text1" w:val="000000"/>
      <w:sz w:val="24"/>
      <w:lang w:val="en-US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7055e5"/>
    <w:rPr>
      <w:rFonts w:eastAsia="" w:eastAsiaTheme="minorEastAsia"/>
      <w:color w:themeColor="text1" w:themeTint="a5" w:val="5A5A5A"/>
      <w:spacing w:val="15"/>
      <w:lang w:val="en-US"/>
    </w:rPr>
  </w:style>
  <w:style w:type="character" w:styleId="hljs-number" w:customStyle="1">
    <w:name w:val="hljs-number"/>
    <w:basedOn w:val="DefaultParagraphFont"/>
    <w:qFormat/>
    <w:rsid w:val="005a5896"/>
    <w:rPr/>
  </w:style>
  <w:style w:type="character" w:styleId="UnresolvedMention">
    <w:name w:val="Unresolved Mention"/>
    <w:basedOn w:val="DefaultParagraphFont"/>
    <w:uiPriority w:val="99"/>
    <w:semiHidden/>
    <w:unhideWhenUsed/>
    <w:qFormat/>
    <w:rsid w:val="00112ec6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112ec6"/>
    <w:rPr>
      <w:color w:themeColor="followedHyperlink" w:val="954F72"/>
      <w:u w:val="single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qFormat/>
    <w:rsid w:val="00c364a2"/>
    <w:rPr>
      <w:rFonts w:ascii="Times New Roman" w:hAnsi="Times New Roman" w:eastAsia="" w:eastAsiaTheme="minorEastAsia"/>
      <w:sz w:val="20"/>
      <w:szCs w:val="20"/>
      <w:lang w:val="en-US"/>
    </w:rPr>
  </w:style>
  <w:style w:type="character" w:styleId="EndnoteCharacters">
    <w:name w:val="Endnote Characters"/>
    <w:uiPriority w:val="99"/>
    <w:semiHidden/>
    <w:unhideWhenUsed/>
    <w:qFormat/>
    <w:rsid w:val="00c364a2"/>
    <w:rPr>
      <w:vertAlign w:val="superscript"/>
    </w:rPr>
  </w:style>
  <w:style w:type="character" w:styleId="EndnoteCharactersuser">
    <w:name w:val="Endnote Characters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katex-mathml" w:customStyle="1">
    <w:name w:val="katex-mathml"/>
    <w:basedOn w:val="DefaultParagraphFont"/>
    <w:qFormat/>
    <w:rsid w:val="008c6750"/>
    <w:rPr/>
  </w:style>
  <w:style w:type="character" w:styleId="mord" w:customStyle="1">
    <w:name w:val="mord"/>
    <w:basedOn w:val="DefaultParagraphFont"/>
    <w:qFormat/>
    <w:rsid w:val="008c6750"/>
    <w:rPr/>
  </w:style>
  <w:style w:type="character" w:styleId="IndexLink">
    <w:name w:val="Index Link"/>
    <w:qFormat/>
    <w:rPr/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oto Sans" w:hAnsi="Noto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dd11fc"/>
    <w:pPr>
      <w:keepNext w:val="true"/>
      <w:keepLines/>
      <w:pageBreakBefore w:val="false"/>
      <w:spacing w:lineRule="auto" w:line="259" w:before="240" w:after="0"/>
      <w:jc w:val="start"/>
      <w:outlineLvl w:val="9"/>
    </w:pPr>
    <w:rPr>
      <w:rFonts w:ascii="Calibri Light" w:hAnsi="Calibri Light" w:asciiTheme="majorHAnsi" w:hAnsiTheme="majorHAnsi"/>
      <w:caps w:val="false"/>
      <w:smallCaps w:val="false"/>
      <w:color w:themeColor="accent1" w:themeShade="bf" w:val="2F5496"/>
      <w:sz w:val="32"/>
      <w:lang w:val="ru-MD" w:eastAsia="ru-MD"/>
    </w:rPr>
  </w:style>
  <w:style w:type="paragraph" w:styleId="TOC1">
    <w:name w:val="toc 1"/>
    <w:basedOn w:val="Normal"/>
    <w:next w:val="Normal"/>
    <w:autoRedefine/>
    <w:uiPriority w:val="39"/>
    <w:unhideWhenUsed/>
    <w:rsid w:val="00dd11fc"/>
    <w:pPr>
      <w:spacing w:before="0" w:after="100"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3155c5"/>
    <w:pPr>
      <w:tabs>
        <w:tab w:val="clear" w:pos="708"/>
        <w:tab w:val="center" w:pos="4677" w:leader="none"/>
        <w:tab w:val="right" w:pos="9355" w:leader="none"/>
      </w:tabs>
      <w:spacing w:lineRule="auto" w:line="240"/>
    </w:pPr>
    <w:rPr/>
  </w:style>
  <w:style w:type="paragraph" w:styleId="Footer">
    <w:name w:val="footer"/>
    <w:basedOn w:val="Normal"/>
    <w:link w:val="FooterChar"/>
    <w:uiPriority w:val="99"/>
    <w:unhideWhenUsed/>
    <w:rsid w:val="003155c5"/>
    <w:pPr>
      <w:tabs>
        <w:tab w:val="clear" w:pos="708"/>
        <w:tab w:val="center" w:pos="4677" w:leader="none"/>
        <w:tab w:val="right" w:pos="9355" w:leader="none"/>
      </w:tabs>
      <w:spacing w:lineRule="auto" w:line="240"/>
    </w:pPr>
    <w:rPr/>
  </w:style>
  <w:style w:type="paragraph" w:styleId="NormalWeb">
    <w:name w:val="Normal (Web)"/>
    <w:basedOn w:val="Normal"/>
    <w:uiPriority w:val="99"/>
    <w:unhideWhenUsed/>
    <w:qFormat/>
    <w:rsid w:val="00bd7e8d"/>
    <w:pPr>
      <w:spacing w:lineRule="auto" w:line="240" w:beforeAutospacing="1" w:afterAutospacing="1"/>
      <w:ind w:hanging="0"/>
      <w:jc w:val="start"/>
    </w:pPr>
    <w:rPr>
      <w:rFonts w:eastAsia="Times New Roman" w:cs="Times New Roman"/>
      <w:szCs w:val="24"/>
      <w:lang w:val="ru-MD" w:eastAsia="ru-MD"/>
    </w:rPr>
  </w:style>
  <w:style w:type="paragraph" w:styleId="Style12" w:customStyle="1">
    <w:name w:val="для кода"/>
    <w:basedOn w:val="Normal"/>
    <w:link w:val="Style10"/>
    <w:qFormat/>
    <w:rsid w:val="00024697"/>
    <w:pPr>
      <w:shd w:val="clear" w:color="auto" w:fill="1F1F1F"/>
      <w:spacing w:lineRule="auto" w:line="240"/>
      <w:ind w:hanging="0"/>
      <w:jc w:val="start"/>
    </w:pPr>
    <w:rPr>
      <w:rFonts w:ascii="Courier New" w:hAnsi="Courier New" w:eastAsia="Times New Roman" w:cs="Times New Roman"/>
      <w:color w:val="FFFFFF"/>
      <w:sz w:val="20"/>
      <w:szCs w:val="21"/>
      <w:lang w:eastAsia="ru-MD"/>
      <w14:textFill>
        <w14:noFill/>
      </w14:textFill>
    </w:rPr>
  </w:style>
  <w:style w:type="paragraph" w:styleId="Style13" w:customStyle="1">
    <w:name w:val="стиль кода"/>
    <w:basedOn w:val="Normal"/>
    <w:link w:val="Style11"/>
    <w:qFormat/>
    <w:rsid w:val="00024697"/>
    <w:pPr>
      <w:spacing w:lineRule="auto" w:line="240"/>
      <w:ind w:hanging="0"/>
      <w:jc w:val="start"/>
    </w:pPr>
    <w:rPr>
      <w:rFonts w:ascii="Courier New" w:hAnsi="Courier New" w:eastAsia="Times New Roman" w:cs="Courier New"/>
      <w:color w:themeColor="text1" w:val="000000"/>
      <w:sz w:val="20"/>
      <w:szCs w:val="20"/>
      <w:lang w:eastAsia="ru-MD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d2dff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CommentSubjectChar"/>
    <w:uiPriority w:val="99"/>
    <w:semiHidden/>
    <w:unhideWhenUsed/>
    <w:qFormat/>
    <w:rsid w:val="00cd2dff"/>
    <w:pPr/>
    <w:rPr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b07b5d"/>
    <w:pPr>
      <w:spacing w:before="0" w:after="100"/>
      <w:ind w:start="480"/>
    </w:pPr>
    <w:rPr/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6b4314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  <w:ind w:hanging="0"/>
      <w:jc w:val="start"/>
    </w:pPr>
    <w:rPr>
      <w:rFonts w:ascii="Courier New" w:hAnsi="Courier New" w:eastAsia="Times New Roman" w:cs="Courier New"/>
      <w:sz w:val="20"/>
      <w:szCs w:val="20"/>
      <w:lang w:val="ru-MD" w:eastAsia="ru-MD"/>
    </w:rPr>
  </w:style>
  <w:style w:type="paragraph" w:styleId="TOC2">
    <w:name w:val="toc 2"/>
    <w:basedOn w:val="Normal"/>
    <w:next w:val="Normal"/>
    <w:autoRedefine/>
    <w:uiPriority w:val="39"/>
    <w:unhideWhenUsed/>
    <w:rsid w:val="00dc39b2"/>
    <w:pPr>
      <w:spacing w:before="0" w:after="100"/>
      <w:ind w:start="240"/>
    </w:pPr>
    <w:rPr/>
  </w:style>
  <w:style w:type="paragraph" w:styleId="ListParagraph">
    <w:name w:val="List Paragraph"/>
    <w:basedOn w:val="Normal"/>
    <w:uiPriority w:val="34"/>
    <w:qFormat/>
    <w:rsid w:val="00dc39b2"/>
    <w:pPr>
      <w:spacing w:before="0" w:after="0"/>
      <w:ind w:start="720"/>
      <w:contextualSpacing/>
    </w:pPr>
    <w:rPr/>
  </w:style>
  <w:style w:type="paragraph" w:styleId="Subtitle">
    <w:name w:val="Subtitle"/>
    <w:basedOn w:val="Normal"/>
    <w:next w:val="Normal"/>
    <w:link w:val="SubtitleChar"/>
    <w:uiPriority w:val="11"/>
    <w:qFormat/>
    <w:rsid w:val="007055e5"/>
    <w:pPr>
      <w:spacing w:before="0" w:after="160"/>
      <w:ind w:firstLine="709"/>
    </w:pPr>
    <w:rPr>
      <w:rFonts w:ascii="Calibri" w:hAnsi="Calibri" w:asciiTheme="minorHAnsi" w:hAnsiTheme="minorHAnsi"/>
      <w:color w:themeColor="text1" w:themeTint="a5" w:val="5A5A5A"/>
      <w:spacing w:val="15"/>
      <w:sz w:val="22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364a2"/>
    <w:pPr>
      <w:spacing w:lineRule="auto" w:line="240"/>
    </w:pPr>
    <w:rPr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chart" Target="charts/chart1.xml"/><Relationship Id="rId6" Type="http://schemas.openxmlformats.org/officeDocument/2006/relationships/image" Target="media/image4.png"/><Relationship Id="rId7" Type="http://schemas.openxmlformats.org/officeDocument/2006/relationships/chart" Target="charts/chart2.xml"/><Relationship Id="rId8" Type="http://schemas.openxmlformats.org/officeDocument/2006/relationships/footer" Target="footer1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title>
      <c:tx>
        <c:rich>
          <a:bodyPr rot="0"/>
          <a:lstStyle/>
          <a:p>
            <a:pPr>
              <a:defRPr sz="1300" b="0" u="none" strike="noStrike">
                <a:uFillTx/>
                <a:latin typeface="Noto Sans"/>
              </a:defRPr>
            </a:pPr>
            <a:r>
              <a:rPr sz="1300" b="0" u="none" strike="noStrike">
                <a:uFillTx/>
                <a:latin typeface="Noto Sans"/>
              </a:rPr>
              <a:t>Цена за единицу</a:t>
            </a:r>
          </a:p>
        </c:rich>
      </c:tx>
      <c:overlay val="0"/>
      <c:spPr>
        <a:noFill/>
        <a:ln w="0">
          <a:noFill/>
        </a:ln>
      </c:spPr>
    </c:title>
    <c:autoTitleDeleted val="0"/>
    <c:plotArea>
      <c:barChart>
        <c:barDir val="col"/>
        <c:grouping val="clustered"/>
        <c:varyColors val="0"/>
        <c:ser>
          <c:idx val="0"/>
          <c:order val="0"/>
          <c:tx>
            <c:strRef>
              <c:f>label 0</c:f>
              <c:strCache>
                <c:ptCount val="1"/>
                <c:pt idx="0">
                  <c:v>Column B</c:v>
                </c:pt>
              </c:strCache>
            </c:strRef>
          </c:tx>
          <c:spPr>
            <a:solidFill>
              <a:srgbClr val="004586"/>
            </a:solidFill>
            <a:ln w="0">
              <a:noFill/>
            </a:ln>
          </c:spPr>
          <c:invertIfNegative val="0"/>
          <c:dLbls>
            <c:txPr>
              <a:bodyPr wrap="none"/>
              <a:lstStyle/>
              <a:p>
                <a:pPr>
                  <a:defRPr sz="1000" b="0" u="none" strike="noStrike">
                    <a:uFillTx/>
                    <a:latin typeface="Noto Sans"/>
                  </a:defRPr>
                </a:pPr>
              </a:p>
            </c:txPr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leaderLines>
              <c:spPr>
                <a:ln w="0">
                  <a:solidFill>
                    <a:srgbClr val="000000"/>
                  </a:solidFill>
                </a:ln>
              </c:spPr>
            </c:leaderLines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12"/>
                <c:pt idx="0">
                  <c:v>12.66</c:v>
                </c:pt>
                <c:pt idx="1">
                  <c:v>24.94</c:v>
                </c:pt>
                <c:pt idx="2">
                  <c:v>37.22</c:v>
                </c:pt>
                <c:pt idx="3">
                  <c:v>49.5</c:v>
                </c:pt>
                <c:pt idx="4">
                  <c:v>61.79</c:v>
                </c:pt>
                <c:pt idx="5">
                  <c:v>74.07</c:v>
                </c:pt>
                <c:pt idx="6">
                  <c:v>86.35</c:v>
                </c:pt>
                <c:pt idx="7">
                  <c:v>98.63</c:v>
                </c:pt>
                <c:pt idx="8">
                  <c:v>110.91</c:v>
                </c:pt>
                <c:pt idx="9">
                  <c:v>123.19</c:v>
                </c:pt>
                <c:pt idx="10">
                  <c:v>135.48</c:v>
                </c:pt>
                <c:pt idx="11">
                  <c:v>150</c:v>
                </c:pt>
              </c:strCache>
            </c:strRef>
          </c:cat>
          <c:val>
            <c:numRef>
              <c:f>0</c:f>
              <c:numCache>
                <c:formatCode>General</c:formatCode>
                <c:ptCount val="12"/>
                <c:pt idx="0">
                  <c:v>1</c:v>
                </c:pt>
                <c:pt idx="1">
                  <c:v>26</c:v>
                </c:pt>
                <c:pt idx="2">
                  <c:v>28</c:v>
                </c:pt>
                <c:pt idx="3">
                  <c:v>22</c:v>
                </c:pt>
                <c:pt idx="4">
                  <c:v>19</c:v>
                </c:pt>
                <c:pt idx="5">
                  <c:v>17</c:v>
                </c:pt>
                <c:pt idx="6">
                  <c:v>19</c:v>
                </c:pt>
                <c:pt idx="7">
                  <c:v>18</c:v>
                </c:pt>
                <c:pt idx="8">
                  <c:v>22</c:v>
                </c:pt>
                <c:pt idx="9">
                  <c:v>16</c:v>
                </c:pt>
                <c:pt idx="10">
                  <c:v>12</c:v>
                </c:pt>
                <c:pt idx="11">
                  <c:v>0</c:v>
                </c:pt>
              </c:numCache>
            </c:numRef>
          </c:val>
        </c:ser>
        <c:gapWidth val="0"/>
        <c:overlap val="0"/>
        <c:axId val="52099586"/>
        <c:axId val="79367762"/>
      </c:barChart>
      <c:catAx>
        <c:axId val="52099586"/>
        <c:scaling>
          <c:orientation val="minMax"/>
        </c:scaling>
        <c:delete val="0"/>
        <c:axPos val="b"/>
        <c:title>
          <c:tx>
            <c:rich>
              <a:bodyPr rot="0"/>
              <a:lstStyle/>
              <a:p>
                <a:pPr>
                  <a:defRPr sz="1300" b="0" u="none" strike="noStrike">
                    <a:uFillTx/>
                    <a:latin typeface="Noto Sans"/>
                  </a:defRPr>
                </a:pPr>
                <a:r>
                  <a:rPr sz="900" b="0" u="none" strike="noStrike">
                    <a:uFillTx/>
                    <a:latin typeface="Noto Sans"/>
                  </a:rPr>
                  <a:t>интервалы цен</a:t>
                </a:r>
              </a:p>
            </c:rich>
          </c:tx>
          <c:overlay val="0"/>
          <c:spPr>
            <a:noFill/>
            <a:ln w="0">
              <a:noFill/>
            </a:ln>
          </c:spPr>
        </c:title>
        <c:numFmt formatCode="General" sourceLinked="0"/>
        <c:majorTickMark val="out"/>
        <c:minorTickMark val="none"/>
        <c:tickLblPos val="nextTo"/>
        <c:spPr>
          <a:ln w="0">
            <a:solidFill>
              <a:srgbClr val="B3B3B3"/>
            </a:solidFill>
          </a:ln>
        </c:spPr>
        <c:txPr>
          <a:bodyPr/>
          <a:lstStyle/>
          <a:p>
            <a:pPr>
              <a:defRPr sz="1000" b="0" u="none" strike="noStrike">
                <a:uFillTx/>
                <a:latin typeface="Noto Sans"/>
              </a:defRPr>
            </a:pPr>
          </a:p>
        </c:txPr>
        <c:crossAx val="79367762"/>
        <c:crosses val="autoZero"/>
        <c:auto val="1"/>
        <c:lblAlgn val="ctr"/>
        <c:lblOffset val="100"/>
        <c:noMultiLvlLbl val="0"/>
      </c:catAx>
      <c:valAx>
        <c:axId val="79367762"/>
        <c:scaling>
          <c:orientation val="minMax"/>
        </c:scaling>
        <c:delete val="0"/>
        <c:axPos val="l"/>
        <c:majorGridlines>
          <c:spPr>
            <a:ln w="0">
              <a:solidFill>
                <a:srgbClr val="B3B3B3"/>
              </a:solidFill>
            </a:ln>
          </c:spPr>
        </c:majorGridlines>
        <c:title>
          <c:tx>
            <c:rich>
              <a:bodyPr rot="-5400000"/>
              <a:lstStyle/>
              <a:p>
                <a:pPr>
                  <a:defRPr sz="1300" b="0" u="none" strike="noStrike">
                    <a:uFillTx/>
                    <a:latin typeface="Noto Sans"/>
                  </a:defRPr>
                </a:pPr>
                <a:r>
                  <a:rPr sz="900" b="0" u="none" strike="noStrike">
                    <a:uFillTx/>
                    <a:latin typeface="Noto Sans"/>
                  </a:rPr>
                  <a:t>количество товаров</a:t>
                </a:r>
              </a:p>
            </c:rich>
          </c:tx>
          <c:overlay val="0"/>
          <c:spPr>
            <a:noFill/>
            <a:ln w="0">
              <a:noFill/>
            </a:ln>
          </c:spPr>
        </c:title>
        <c:numFmt formatCode="General" sourceLinked="0"/>
        <c:majorTickMark val="out"/>
        <c:minorTickMark val="none"/>
        <c:tickLblPos val="nextTo"/>
        <c:spPr>
          <a:ln w="0">
            <a:solidFill>
              <a:srgbClr val="B3B3B3"/>
            </a:solidFill>
          </a:ln>
        </c:spPr>
        <c:txPr>
          <a:bodyPr/>
          <a:lstStyle/>
          <a:p>
            <a:pPr>
              <a:defRPr sz="1000" b="0" u="none" strike="noStrike">
                <a:uFillTx/>
                <a:latin typeface="Noto Sans"/>
              </a:defRPr>
            </a:pPr>
          </a:p>
        </c:txPr>
        <c:crossAx val="52099586"/>
        <c:crosses val="autoZero"/>
        <c:crossBetween val="between"/>
      </c:valAx>
      <c:spPr>
        <a:noFill/>
        <a:ln w="0">
          <a:solidFill>
            <a:srgbClr val="B3B3B3"/>
          </a:solidFill>
        </a:ln>
      </c:spPr>
    </c:plotArea>
    <c:plotVisOnly val="1"/>
    <c:dispBlanksAs val="gap"/>
  </c:chart>
  <c:spPr>
    <a:solidFill>
      <a:srgbClr val="FFFFFF"/>
    </a:solidFill>
    <a:ln w="0">
      <a:noFill/>
    </a:ln>
  </c:spPr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title>
      <c:tx>
        <c:rich>
          <a:bodyPr rot="0"/>
          <a:lstStyle/>
          <a:p>
            <a:pPr>
              <a:defRPr sz="1300" b="0" u="none" strike="noStrike">
                <a:uFillTx/>
                <a:latin typeface="Noto Sans"/>
              </a:defRPr>
            </a:pPr>
            <a:r>
              <a:rPr sz="1300" b="0" u="none" strike="noStrike">
                <a:uFillTx/>
                <a:latin typeface="Noto Sans"/>
              </a:rPr>
              <a:t>количество товарных позиций</a:t>
            </a:r>
          </a:p>
        </c:rich>
      </c:tx>
      <c:overlay val="0"/>
      <c:spPr>
        <a:noFill/>
        <a:ln w="0">
          <a:noFill/>
        </a:ln>
      </c:spPr>
    </c:title>
    <c:autoTitleDeleted val="0"/>
    <c:plotArea>
      <c:layout>
        <c:manualLayout>
          <c:layoutTarget val="inner"/>
          <c:xMode val="edge"/>
          <c:yMode val="edge"/>
          <c:x val="0.0365480598937369"/>
          <c:y val="0.172219236969371"/>
          <c:w val="0.663097729834165"/>
          <c:h val="0.795002686727566"/>
        </c:manualLayout>
      </c:layout>
      <c:pieChart>
        <c:varyColors val="1"/>
        <c:ser>
          <c:idx val="0"/>
          <c:order val="0"/>
          <c:tx>
            <c:strRef>
              <c:f>label 0</c:f>
              <c:strCache>
                <c:ptCount val="1"/>
                <c:pt idx="0">
                  <c:v>Count - ID</c:v>
                </c:pt>
              </c:strCache>
            </c:strRef>
          </c:tx>
          <c:spPr>
            <a:solidFill>
              <a:srgbClr val="004586"/>
            </a:solidFill>
            <a:ln w="0">
              <a:noFill/>
            </a:ln>
          </c:spPr>
          <c:explosion val="0"/>
          <c:dPt>
            <c:idx val="0"/>
            <c:spPr>
              <a:solidFill>
                <a:srgbClr val="004586"/>
              </a:solidFill>
              <a:ln w="0">
                <a:noFill/>
              </a:ln>
            </c:spPr>
          </c:dPt>
          <c:dPt>
            <c:idx val="1"/>
            <c:spPr>
              <a:solidFill>
                <a:srgbClr val="FF420E"/>
              </a:solidFill>
              <a:ln w="0">
                <a:noFill/>
              </a:ln>
            </c:spPr>
          </c:dPt>
          <c:dPt>
            <c:idx val="2"/>
            <c:spPr>
              <a:solidFill>
                <a:srgbClr val="FFD320"/>
              </a:solidFill>
              <a:ln w="0">
                <a:noFill/>
              </a:ln>
            </c:spPr>
          </c:dPt>
          <c:dPt>
            <c:idx val="3"/>
            <c:spPr>
              <a:solidFill>
                <a:srgbClr val="579D1C"/>
              </a:solidFill>
              <a:ln w="0">
                <a:noFill/>
              </a:ln>
            </c:spPr>
          </c:dPt>
          <c:dPt>
            <c:idx val="4"/>
            <c:spPr>
              <a:solidFill>
                <a:srgbClr val="7E0021"/>
              </a:solidFill>
              <a:ln w="0">
                <a:noFill/>
              </a:ln>
            </c:spPr>
          </c:dPt>
          <c:dLbls>
            <c:dLbl>
              <c:idx val="0"/>
              <c:txPr>
                <a:bodyPr wrap="none"/>
                <a:lstStyle/>
                <a:p>
                  <a:pPr>
                    <a:defRPr sz="1000" b="0" u="none" strike="noStrike">
                      <a:uFillTx/>
                      <a:latin typeface="Noto Sans"/>
                    </a:defRPr>
                  </a:pPr>
                </a:p>
              </c:txPr>
              <c:showLegendKey val="0"/>
              <c:showVal val="0"/>
              <c:showCatName val="0"/>
              <c:showSerName val="0"/>
              <c:showPercent val="0"/>
              <c:separator> </c:separator>
            </c:dLbl>
            <c:dLbl>
              <c:idx val="1"/>
              <c:txPr>
                <a:bodyPr wrap="none"/>
                <a:lstStyle/>
                <a:p>
                  <a:pPr>
                    <a:defRPr sz="1000" b="0" u="none" strike="noStrike">
                      <a:uFillTx/>
                      <a:latin typeface="Noto Sans"/>
                    </a:defRPr>
                  </a:pPr>
                </a:p>
              </c:txPr>
              <c:showLegendKey val="0"/>
              <c:showVal val="0"/>
              <c:showCatName val="0"/>
              <c:showSerName val="0"/>
              <c:showPercent val="0"/>
              <c:separator> </c:separator>
            </c:dLbl>
            <c:dLbl>
              <c:idx val="2"/>
              <c:txPr>
                <a:bodyPr wrap="none"/>
                <a:lstStyle/>
                <a:p>
                  <a:pPr>
                    <a:defRPr sz="1000" b="0" u="none" strike="noStrike">
                      <a:uFillTx/>
                      <a:latin typeface="Noto Sans"/>
                    </a:defRPr>
                  </a:pPr>
                </a:p>
              </c:txPr>
              <c:showLegendKey val="0"/>
              <c:showVal val="0"/>
              <c:showCatName val="0"/>
              <c:showSerName val="0"/>
              <c:showPercent val="0"/>
              <c:separator> </c:separator>
            </c:dLbl>
            <c:dLbl>
              <c:idx val="3"/>
              <c:txPr>
                <a:bodyPr wrap="none"/>
                <a:lstStyle/>
                <a:p>
                  <a:pPr>
                    <a:defRPr sz="1000" b="0" u="none" strike="noStrike">
                      <a:uFillTx/>
                      <a:latin typeface="Noto Sans"/>
                    </a:defRPr>
                  </a:pPr>
                </a:p>
              </c:txPr>
              <c:showLegendKey val="0"/>
              <c:showVal val="0"/>
              <c:showCatName val="0"/>
              <c:showSerName val="0"/>
              <c:showPercent val="0"/>
              <c:separator> </c:separator>
            </c:dLbl>
            <c:dLbl>
              <c:idx val="4"/>
              <c:txPr>
                <a:bodyPr wrap="none"/>
                <a:lstStyle/>
                <a:p>
                  <a:pPr>
                    <a:defRPr sz="1000" b="0" u="none" strike="noStrike">
                      <a:uFillTx/>
                      <a:latin typeface="Noto Sans"/>
                    </a:defRPr>
                  </a:pPr>
                </a:p>
              </c:txPr>
              <c:showLegendKey val="0"/>
              <c:showVal val="0"/>
              <c:showCatName val="0"/>
              <c:showSerName val="0"/>
              <c:showPercent val="0"/>
              <c:separator> </c:separator>
            </c:dLbl>
            <c:txPr>
              <a:bodyPr wrap="none"/>
              <a:lstStyle/>
              <a:p>
                <a:pPr>
                  <a:defRPr sz="1000" b="0" u="none" strike="noStrike">
                    <a:uFillTx/>
                    <a:latin typeface="Noto Sans"/>
                  </a:defRPr>
                </a:pPr>
              </a:p>
            </c:txPr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leaderLines>
              <c:spPr>
                <a:ln w="0">
                  <a:solidFill>
                    <a:srgbClr val="000000"/>
                  </a:solidFill>
                </a:ln>
              </c:spPr>
            </c:leaderLines>
          </c:dLbls>
          <c:cat>
            <c:strRef>
              <c:f>categories</c:f>
              <c:strCache>
                <c:ptCount val="5"/>
                <c:pt idx="0">
                  <c:v>Dairy</c:v>
                </c:pt>
                <c:pt idx="1">
                  <c:v>Drinks</c:v>
                </c:pt>
                <c:pt idx="2">
                  <c:v>Fruits</c:v>
                </c:pt>
                <c:pt idx="3">
                  <c:v>Snacks</c:v>
                </c:pt>
                <c:pt idx="4">
                  <c:v>Vegetables</c:v>
                </c:pt>
              </c:strCache>
            </c:strRef>
          </c:cat>
          <c:val>
            <c:numRef>
              <c:f>0</c:f>
              <c:numCache>
                <c:formatCode>General</c:formatCode>
                <c:ptCount val="5"/>
                <c:pt idx="0">
                  <c:v>36</c:v>
                </c:pt>
                <c:pt idx="1">
                  <c:v>39</c:v>
                </c:pt>
                <c:pt idx="2">
                  <c:v>39</c:v>
                </c:pt>
                <c:pt idx="3">
                  <c:v>40</c:v>
                </c:pt>
                <c:pt idx="4">
                  <c:v>46</c:v>
                </c:pt>
              </c:numCache>
            </c:numRef>
          </c:val>
        </c:ser>
        <c:firstSliceAng val="0"/>
      </c:pieChart>
      <c:spPr>
        <a:noFill/>
        <a:ln w="0">
          <a:noFill/>
        </a:ln>
      </c:spPr>
    </c:plotArea>
    <c:legend>
      <c:legendPos val="r"/>
      <c:layout>
        <c:manualLayout>
          <c:xMode val="edge"/>
          <c:yMode val="edge"/>
          <c:x val="0.799871196264692"/>
          <c:y val="0.329392799570124"/>
          <c:w val="0.145318412366154"/>
          <c:h val="0.331586725782615"/>
        </c:manualLayout>
      </c:layout>
      <c:overlay val="0"/>
      <c:spPr>
        <a:noFill/>
        <a:ln w="0">
          <a:noFill/>
        </a:ln>
      </c:spPr>
      <c:txPr>
        <a:bodyPr/>
        <a:lstStyle/>
        <a:p>
          <a:pPr>
            <a:defRPr sz="1000" b="0" u="none" strike="noStrike">
              <a:uFillTx/>
              <a:latin typeface="Noto Sans"/>
            </a:defRPr>
          </a:pPr>
        </a:p>
      </c:txPr>
    </c:legend>
    <c:plotVisOnly val="1"/>
  </c:chart>
  <c:spPr>
    <a:solidFill>
      <a:srgbClr val="FFFFFF"/>
    </a:solidFill>
    <a:ln w="0">
      <a:noFill/>
    </a:ln>
  </c:spPr>
</c:chartSpace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63EF2-F9B8-4E09-BA3D-D5F6974AEF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Application>LibreOffice/26.2.1.2$Linux_X86_64 LibreOffice_project/620$Build-2</Application>
  <AppVersion>15.0000</AppVersion>
  <Pages>7</Pages>
  <Words>348</Words>
  <Characters>2461</Characters>
  <CharactersWithSpaces>2776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2025-10-27T20:39:00Z</dcterms:created>
  <dc:creator>Екатерина</dc:creator>
  <dc:description/>
  <dc:language>en-GB</dc:language>
  <cp:lastModifiedBy/>
  <cp:lastPrinted>2026-02-12T18:10:00Z</cp:lastPrinted>
  <dcterms:modified xsi:type="dcterms:W3CDTF">2026-03-10T10:16:44Z</dcterms:modified>
  <cp:revision>63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