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right"/>
      </w:pPr>
      <w:r>
        <w:rPr>
          <w:rFonts w:ascii="Arial" w:hAnsi="Arial"/>
          <w:b w:val="0"/>
          <w:i w:val="0"/>
          <w:color w:val="595959"/>
          <w:sz w:val="20"/>
        </w:rPr>
        <w:t>Universidad José Matías Delgado  |  Dirección de Servicios Informáticos</w:t>
      </w:r>
    </w:p>
    <w:p>
      <w:pPr>
        <w:spacing w:before="0" w:after="40"/>
      </w:pPr>
    </w:p>
    <w:p>
      <w:pPr>
        <w:spacing w:before="0" w:after="40"/>
      </w:pPr>
    </w:p>
    <w:p>
      <w:pPr>
        <w:spacing w:before="0" w:after="40"/>
      </w:pPr>
    </w:p>
    <w:p>
      <w:pPr>
        <w:spacing w:before="0" w:after="40"/>
      </w:pPr>
    </w:p>
    <w:p>
      <w:pPr>
        <w:jc w:val="center"/>
      </w:pPr>
      <w:r>
        <w:rPr>
          <w:rFonts w:ascii="Arial" w:hAnsi="Arial"/>
          <w:b/>
          <w:i w:val="0"/>
          <w:color w:val="2E75B6"/>
          <w:sz w:val="28"/>
        </w:rPr>
        <w:t>PLAYBOOK</w:t>
      </w:r>
    </w:p>
    <w:p>
      <w:pPr>
        <w:spacing w:before="80"/>
        <w:jc w:val="center"/>
      </w:pPr>
      <w:r>
        <w:rPr>
          <w:rFonts w:ascii="Arial" w:hAnsi="Arial"/>
          <w:b/>
          <w:i w:val="0"/>
          <w:color w:val="1B4F8A"/>
          <w:sz w:val="64"/>
        </w:rPr>
        <w:t>AI Fluency Program</w:t>
      </w:r>
    </w:p>
    <w:p>
      <w:pPr>
        <w:spacing w:before="160" w:after="160"/>
        <w:jc w:val="center"/>
      </w:pPr>
      <w:r>
        <w:rPr>
          <w:rFonts w:ascii="Arial" w:hAnsi="Arial"/>
          <w:b w:val="0"/>
          <w:i/>
          <w:color w:val="595959"/>
          <w:sz w:val="26"/>
        </w:rPr>
        <w:t>Guía de implementación replicable y escalable — UJMD</w:t>
      </w:r>
    </w:p>
    <w:p>
      <w:pPr>
        <w:spacing w:before="0" w:after="40"/>
      </w:pPr>
    </w:p>
    <w:p>
      <w:pPr>
        <w:spacing w:before="0" w:after="40"/>
      </w:pPr>
    </w:p>
    <w:p>
      <w:pPr>
        <w:spacing w:before="0" w:after="40"/>
      </w:pPr>
    </w:p>
    <w:tbl>
      <w:tblPr>
        <w:tblW w:type="auto" w:w="0"/>
        <w:tblLook w:firstColumn="1" w:firstRow="1" w:lastColumn="0" w:lastRow="0" w:noHBand="0" w:noVBand="1" w:val="04A0"/>
      </w:tblPr>
      <w:tblGrid>
        <w:gridCol w:w="9360"/>
      </w:tblGrid>
      <w:tr>
        <w:tc>
          <w:tcPr>
            <w:tcW w:type="dxa" w:w="9360"/>
            <w:shd w:val="clear" w:color="auto" w:fill="EBF4FB"/>
            <w:tcBorders>
              <w:top w:val="single" w:sz="6" w:space="0" w:color="D6E4F0"/>
              <w:left w:val="single" w:sz="6" w:space="0" w:color="D6E4F0"/>
              <w:bottom w:val="single" w:sz="6" w:space="0" w:color="D6E4F0"/>
              <w:right w:val="single" w:sz="6" w:space="0" w:color="D6E4F0"/>
            </w:tcBorders>
          </w:tcPr>
          <w:p>
            <w:pPr>
              <w:spacing w:before="200"/>
              <w:jc w:val="center"/>
            </w:pPr>
            <w:r>
              <w:rPr>
                <w:rFonts w:ascii="Arial" w:hAnsi="Arial"/>
                <w:b/>
                <w:i w:val="0"/>
                <w:color w:val="1B4F8A"/>
                <w:sz w:val="22"/>
              </w:rPr>
              <w:t>Herramienta central: Hermes Agent (NousResearch)</w:t>
            </w:r>
          </w:p>
          <w:p>
            <w:pPr>
              <w:jc w:val="center"/>
            </w:pPr>
            <w:r>
              <w:rPr>
                <w:rFonts w:ascii="Arial" w:hAnsi="Arial"/>
                <w:b w:val="0"/>
                <w:i/>
                <w:color w:val="2E75B6"/>
                <w:sz w:val="20"/>
              </w:rPr>
              <w:t>github.com/nousresearch/hermes-agent</w:t>
            </w:r>
          </w:p>
          <w:p>
            <w:pPr>
              <w:spacing w:after="200"/>
              <w:jc w:val="center"/>
            </w:pPr>
            <w:r>
              <w:rPr>
                <w:rFonts w:ascii="Arial" w:hAnsi="Arial"/>
                <w:b w:val="0"/>
                <w:i w:val="0"/>
                <w:color w:val="595959"/>
                <w:sz w:val="20"/>
              </w:rPr>
              <w:t>Versión 1.0  |  Junio 2026  |  Dirección de Servicios Informáticos — UJMD</w:t>
            </w:r>
          </w:p>
        </w:tc>
      </w:tr>
    </w:tbl>
    <w:p>
      <w:pPr>
        <w:spacing w:before="0" w:after="40"/>
      </w:pPr>
    </w:p>
    <w:p>
      <w:pPr>
        <w:spacing w:before="0" w:after="40"/>
      </w:pPr>
    </w:p>
    <w:p>
      <w:pPr>
        <w:spacing w:before="0" w:after="4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1B4F8A"/>
            <w:tcBorders>
              <w:top w:val="none" w:sz="0" w:space="0" w:color="auto"/>
              <w:left w:val="none" w:sz="0" w:space="0" w:color="auto"/>
              <w:bottom w:val="none" w:sz="0" w:space="0" w:color="auto"/>
              <w:right w:val="none" w:sz="0" w:space="0" w:color="auto"/>
            </w:tcBorders>
          </w:tcPr>
          <w:p>
            <w:pPr>
              <w:spacing w:before="160"/>
              <w:jc w:val="center"/>
            </w:pPr>
            <w:r>
              <w:rPr>
                <w:rFonts w:ascii="Arial" w:hAnsi="Arial"/>
                <w:b/>
                <w:i w:val="0"/>
                <w:color w:val="FFFFFF"/>
                <w:sz w:val="22"/>
              </w:rPr>
              <w:t>CAPA 0</w:t>
            </w:r>
          </w:p>
          <w:p>
            <w:pPr>
              <w:jc w:val="center"/>
            </w:pPr>
            <w:r>
              <w:rPr>
                <w:rFonts w:ascii="Arial" w:hAnsi="Arial"/>
                <w:b w:val="0"/>
                <w:i w:val="0"/>
                <w:color w:val="FFFFFF"/>
                <w:sz w:val="18"/>
              </w:rPr>
              <w:t>Piloto</w:t>
            </w:r>
          </w:p>
          <w:p>
            <w:pPr>
              <w:spacing w:after="160"/>
              <w:jc w:val="center"/>
            </w:pPr>
            <w:r>
              <w:rPr>
                <w:rFonts w:ascii="Arial" w:hAnsi="Arial"/>
                <w:b w:val="0"/>
                <w:i w:val="0"/>
                <w:color w:val="D6E4F0"/>
                <w:sz w:val="18"/>
              </w:rPr>
              <w:t>1 mes</w:t>
            </w:r>
          </w:p>
        </w:tc>
        <w:tc>
          <w:tcPr>
            <w:tcW w:type="dxa" w:w="2340"/>
            <w:shd w:val="clear" w:color="auto" w:fill="2E75B6"/>
            <w:tcBorders>
              <w:top w:val="none" w:sz="0" w:space="0" w:color="auto"/>
              <w:left w:val="none" w:sz="0" w:space="0" w:color="auto"/>
              <w:bottom w:val="none" w:sz="0" w:space="0" w:color="auto"/>
              <w:right w:val="none" w:sz="0" w:space="0" w:color="auto"/>
            </w:tcBorders>
          </w:tcPr>
          <w:p>
            <w:pPr>
              <w:spacing w:before="160"/>
              <w:jc w:val="center"/>
            </w:pPr>
            <w:r>
              <w:rPr>
                <w:rFonts w:ascii="Arial" w:hAnsi="Arial"/>
                <w:b/>
                <w:i w:val="0"/>
                <w:color w:val="FFFFFF"/>
                <w:sz w:val="22"/>
              </w:rPr>
              <w:t>CAPA 1</w:t>
            </w:r>
          </w:p>
          <w:p>
            <w:pPr>
              <w:jc w:val="center"/>
            </w:pPr>
            <w:r>
              <w:rPr>
                <w:rFonts w:ascii="Arial" w:hAnsi="Arial"/>
                <w:b w:val="0"/>
                <w:i w:val="0"/>
                <w:color w:val="FFFFFF"/>
                <w:sz w:val="18"/>
              </w:rPr>
              <w:t>Dirección IT</w:t>
            </w:r>
          </w:p>
          <w:p>
            <w:pPr>
              <w:spacing w:after="160"/>
              <w:jc w:val="center"/>
            </w:pPr>
            <w:r>
              <w:rPr>
                <w:rFonts w:ascii="Arial" w:hAnsi="Arial"/>
                <w:b w:val="0"/>
                <w:i w:val="0"/>
                <w:color w:val="D6E4F0"/>
                <w:sz w:val="18"/>
              </w:rPr>
              <w:t>Meses 2-3</w:t>
            </w:r>
          </w:p>
        </w:tc>
        <w:tc>
          <w:tcPr>
            <w:tcW w:type="dxa" w:w="2340"/>
            <w:shd w:val="clear" w:color="auto" w:fill="1B4F8A"/>
            <w:tcBorders>
              <w:top w:val="none" w:sz="0" w:space="0" w:color="auto"/>
              <w:left w:val="none" w:sz="0" w:space="0" w:color="auto"/>
              <w:bottom w:val="none" w:sz="0" w:space="0" w:color="auto"/>
              <w:right w:val="none" w:sz="0" w:space="0" w:color="auto"/>
            </w:tcBorders>
          </w:tcPr>
          <w:p>
            <w:pPr>
              <w:spacing w:before="160"/>
              <w:jc w:val="center"/>
            </w:pPr>
            <w:r>
              <w:rPr>
                <w:rFonts w:ascii="Arial" w:hAnsi="Arial"/>
                <w:b/>
                <w:i w:val="0"/>
                <w:color w:val="FFFFFF"/>
                <w:sz w:val="22"/>
              </w:rPr>
              <w:t>CAPA 2</w:t>
            </w:r>
          </w:p>
          <w:p>
            <w:pPr>
              <w:jc w:val="center"/>
            </w:pPr>
            <w:r>
              <w:rPr>
                <w:rFonts w:ascii="Arial" w:hAnsi="Arial"/>
                <w:b w:val="0"/>
                <w:i w:val="0"/>
                <w:color w:val="FFFFFF"/>
                <w:sz w:val="18"/>
              </w:rPr>
              <w:t>Universidad</w:t>
            </w:r>
          </w:p>
          <w:p>
            <w:pPr>
              <w:spacing w:after="160"/>
              <w:jc w:val="center"/>
            </w:pPr>
            <w:r>
              <w:rPr>
                <w:rFonts w:ascii="Arial" w:hAnsi="Arial"/>
                <w:b w:val="0"/>
                <w:i w:val="0"/>
                <w:color w:val="D6E4F0"/>
                <w:sz w:val="18"/>
              </w:rPr>
              <w:t>Meses 4-8</w:t>
            </w:r>
          </w:p>
        </w:tc>
        <w:tc>
          <w:tcPr>
            <w:tcW w:type="dxa" w:w="2340"/>
            <w:shd w:val="clear" w:color="auto" w:fill="2E75B6"/>
            <w:tcBorders>
              <w:top w:val="none" w:sz="0" w:space="0" w:color="auto"/>
              <w:left w:val="none" w:sz="0" w:space="0" w:color="auto"/>
              <w:bottom w:val="none" w:sz="0" w:space="0" w:color="auto"/>
              <w:right w:val="none" w:sz="0" w:space="0" w:color="auto"/>
            </w:tcBorders>
          </w:tcPr>
          <w:p>
            <w:pPr>
              <w:spacing w:before="160"/>
              <w:jc w:val="center"/>
            </w:pPr>
            <w:r>
              <w:rPr>
                <w:rFonts w:ascii="Arial" w:hAnsi="Arial"/>
                <w:b/>
                <w:i w:val="0"/>
                <w:color w:val="FFFFFF"/>
                <w:sz w:val="22"/>
              </w:rPr>
              <w:t>CAPA 3</w:t>
            </w:r>
          </w:p>
          <w:p>
            <w:pPr>
              <w:jc w:val="center"/>
            </w:pPr>
            <w:r>
              <w:rPr>
                <w:rFonts w:ascii="Arial" w:hAnsi="Arial"/>
                <w:b w:val="0"/>
                <w:i w:val="0"/>
                <w:color w:val="FFFFFF"/>
                <w:sz w:val="18"/>
              </w:rPr>
              <w:t>Comunidad</w:t>
            </w:r>
          </w:p>
          <w:p>
            <w:pPr>
              <w:spacing w:after="160"/>
              <w:jc w:val="center"/>
            </w:pPr>
            <w:r>
              <w:rPr>
                <w:rFonts w:ascii="Arial" w:hAnsi="Arial"/>
                <w:b w:val="0"/>
                <w:i w:val="0"/>
                <w:color w:val="D6E4F0"/>
                <w:sz w:val="18"/>
              </w:rPr>
              <w:t>Meses 9-18</w:t>
            </w:r>
          </w:p>
        </w:tc>
      </w:tr>
    </w:tbl>
    <w:p>
      <w:r>
        <w:br w:type="page"/>
      </w:r>
    </w:p>
    <w:p>
      <w:pPr>
        <w:pStyle w:val="Heading1"/>
      </w:pPr>
      <w:r>
        <w:rPr>
          <w:rFonts w:ascii="Arial" w:hAnsi="Arial"/>
          <w:color w:val="1B4F8A"/>
          <w:sz w:val="36"/>
        </w:rPr>
        <w:t>1. Introducción</w:t>
      </w:r>
    </w:p>
    <w:p>
      <w:pPr>
        <w:pStyle w:val="Heading2"/>
      </w:pPr>
      <w:r>
        <w:rPr>
          <w:rFonts w:ascii="Arial" w:hAnsi="Arial"/>
          <w:color w:val="2E75B6"/>
          <w:sz w:val="28"/>
        </w:rPr>
        <w:t>1.1 Propósito de este documento</w:t>
      </w:r>
    </w:p>
    <w:p>
      <w:pPr>
        <w:spacing w:before="0" w:after="120"/>
      </w:pPr>
      <w:r>
        <w:rPr>
          <w:rFonts w:ascii="Arial" w:hAnsi="Arial"/>
          <w:b w:val="0"/>
          <w:i w:val="0"/>
          <w:sz w:val="22"/>
        </w:rPr>
        <w:t>Este Playbook es la guía operativa del AI Fluency Program de la Dirección de Servicios Informáticos de la UJMD. Está diseñado para ser tomado por cualquier facilitador y replicado en diferentes audiencias de la universidad sin perder su esencia ni su efectividad.</w:t>
      </w:r>
    </w:p>
    <w:p>
      <w:pPr>
        <w:spacing w:before="0" w:after="120"/>
      </w:pPr>
      <w:r>
        <w:rPr>
          <w:rFonts w:ascii="Arial" w:hAnsi="Arial"/>
          <w:b w:val="0"/>
          <w:i w:val="0"/>
          <w:sz w:val="22"/>
        </w:rPr>
        <w:t>Cubre cuatro capas de implementación: desde el piloto inicial de tres personas, hasta la comunidad académica (docentes y estudiantes), con instrucciones concretas para adaptar el programa según el perfil de cada audiencia.</w:t>
      </w:r>
    </w:p>
    <w:p>
      <w:pPr>
        <w:spacing w:before="0" w:after="40"/>
      </w:pPr>
    </w:p>
    <w:tbl>
      <w:tblPr>
        <w:tblW w:type="auto" w:w="0"/>
        <w:jc w:val="left"/>
        <w:tblLook w:firstColumn="1" w:firstRow="1" w:lastColumn="0" w:lastRow="0" w:noHBand="0" w:noVBand="1" w:val="04A0"/>
      </w:tblPr>
      <w:tblGrid>
        <w:gridCol w:w="9360"/>
      </w:tblGrid>
      <w:tr>
        <w:tc>
          <w:tcPr>
            <w:tcW w:type="dxa" w:w="9360"/>
            <w:shd w:val="clear" w:color="auto" w:fill="1B4F8A"/>
            <w:tcBorders>
              <w:top w:val="none" w:sz="0" w:space="0" w:color="auto"/>
              <w:left w:val="none" w:sz="0" w:space="0" w:color="auto"/>
              <w:bottom w:val="none" w:sz="0" w:space="0" w:color="auto"/>
              <w:right w:val="none" w:sz="0" w:space="0" w:color="auto"/>
            </w:tcBorders>
          </w:tcPr>
          <w:p>
            <w:pPr>
              <w:spacing w:before="80" w:after="80"/>
            </w:pPr>
            <w:r>
              <w:rPr>
                <w:rFonts w:ascii="Arial" w:hAnsi="Arial"/>
                <w:b/>
                <w:i w:val="0"/>
                <w:color w:val="FFFFFF"/>
                <w:sz w:val="22"/>
              </w:rPr>
              <w:t>► Principio rector</w:t>
            </w:r>
          </w:p>
        </w:tc>
      </w:tr>
      <w:tr>
        <w:tc>
          <w:tcPr>
            <w:tcW w:type="dxa" w:w="9360"/>
            <w:shd w:val="clear" w:color="auto" w:fill="EBF4FB"/>
            <w:tcBorders>
              <w:top w:val="none" w:sz="0" w:space="0" w:color="auto"/>
              <w:left w:val="none" w:sz="0" w:space="0" w:color="auto"/>
              <w:bottom w:val="none" w:sz="0" w:space="0" w:color="auto"/>
              <w:right w:val="none" w:sz="0" w:space="0" w:color="auto"/>
            </w:tcBorders>
          </w:tcPr>
          <w:p>
            <w:pPr>
              <w:spacing w:before="80"/>
            </w:pPr>
            <w:r>
              <w:rPr>
                <w:rFonts w:ascii="Arial" w:hAnsi="Arial"/>
                <w:b/>
                <w:i/>
                <w:color w:val="1B4F8A"/>
                <w:sz w:val="22"/>
              </w:rPr>
              <w:t>"Homogenizar hacia arriba, no hacia el mínimo común."</w:t>
            </w:r>
          </w:p>
          <w:p>
            <w:pPr>
              <w:spacing w:after="80"/>
            </w:pPr>
            <w:r>
              <w:rPr>
                <w:rFonts w:ascii="Arial" w:hAnsi="Arial"/>
                <w:b w:val="0"/>
                <w:i w:val="0"/>
                <w:sz w:val="21"/>
              </w:rPr>
              <w:t>El programa no busca que todos sepan lo mismo, sino que cada persona alcance un umbral funcional desde el cual seguir creciendo de forma autónoma. El aprendizaje es práctico: se aprende usando IA en problemas reales.</w:t>
            </w:r>
          </w:p>
        </w:tc>
      </w:tr>
    </w:tbl>
    <w:p>
      <w:pPr>
        <w:spacing w:before="0" w:after="40"/>
      </w:pPr>
    </w:p>
    <w:p>
      <w:pPr>
        <w:pStyle w:val="Heading2"/>
      </w:pPr>
      <w:r>
        <w:rPr>
          <w:rFonts w:ascii="Arial" w:hAnsi="Arial"/>
          <w:color w:val="2E75B6"/>
          <w:sz w:val="28"/>
        </w:rPr>
        <w:t>1.2 Herramienta central: Hermes Agent</w:t>
      </w:r>
    </w:p>
    <w:p>
      <w:pPr>
        <w:spacing w:before="0" w:after="120"/>
      </w:pPr>
      <w:r>
        <w:rPr>
          <w:rFonts w:ascii="Arial" w:hAnsi="Arial"/>
          <w:b w:val="0"/>
          <w:i w:val="0"/>
          <w:sz w:val="22"/>
        </w:rPr>
        <w:t>Hermes Agent es un framework de agentes de IA de código abierto de NousResearch. Diseñado para ser extensible, ligero y adaptable. Su filosofía: "un agente que crece contigo."</w:t>
      </w:r>
    </w:p>
    <w:tbl>
      <w:tblPr>
        <w:tblStyle w:val="TableGrid"/>
        <w:tblW w:type="auto" w:w="0"/>
        <w:tblLook w:firstColumn="1" w:firstRow="1" w:lastColumn="0" w:lastRow="0" w:noHBand="0" w:noVBand="1" w:val="04A0"/>
      </w:tblPr>
      <w:tblGrid>
        <w:gridCol w:w="4680"/>
        <w:gridCol w:w="4680"/>
      </w:tblGrid>
      <w:tr>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Atributo</w:t>
            </w:r>
          </w:p>
        </w:tc>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Detalle</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Repositorio</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github.com/nousresearch/hermes-agent</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Licencia</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Open source — sin dependencia de plataformas propietarias</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Ventaja institucional</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Control total del entorno, apto para despliegue en infraestructura UJMD</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Conocimiento previo requerido</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Python básico para empezar; agentes avanzados en capas superiores</w:t>
            </w:r>
          </w:p>
        </w:tc>
      </w:tr>
    </w:tbl>
    <w:p>
      <w:pPr>
        <w:spacing w:before="0" w:after="40"/>
      </w:pPr>
    </w:p>
    <w:p>
      <w:pPr>
        <w:pStyle w:val="Heading2"/>
      </w:pPr>
      <w:r>
        <w:rPr>
          <w:rFonts w:ascii="Arial" w:hAnsi="Arial"/>
          <w:color w:val="2E75B6"/>
          <w:sz w:val="28"/>
        </w:rPr>
        <w:t>1.3 Cómo usar este Playbook</w:t>
      </w:r>
    </w:p>
    <w:p>
      <w:pPr>
        <w:pStyle w:val="ListBullet"/>
        <w:spacing w:before="40" w:after="40"/>
        <w:ind w:left="340"/>
      </w:pPr>
      <w:r>
        <w:rPr>
          <w:rFonts w:ascii="Arial" w:hAnsi="Arial"/>
          <w:sz w:val="21"/>
        </w:rPr>
        <w:t>Cada Capa tiene sus propios prerrequisitos, facilitador recomendado y entregables.</w:t>
      </w:r>
    </w:p>
    <w:p>
      <w:pPr>
        <w:pStyle w:val="ListBullet"/>
        <w:spacing w:before="40" w:after="40"/>
        <w:ind w:left="340"/>
      </w:pPr>
      <w:r>
        <w:rPr>
          <w:rFonts w:ascii="Arial" w:hAnsi="Arial"/>
          <w:sz w:val="21"/>
        </w:rPr>
        <w:t>Las Capas son secuenciales: no saltar a la siguiente sin completar la anterior.</w:t>
      </w:r>
    </w:p>
    <w:p>
      <w:pPr>
        <w:pStyle w:val="ListBullet"/>
        <w:spacing w:before="40" w:after="40"/>
        <w:ind w:left="340"/>
      </w:pPr>
      <w:r>
        <w:rPr>
          <w:rFonts w:ascii="Arial" w:hAnsi="Arial"/>
          <w:sz w:val="21"/>
        </w:rPr>
        <w:t>Los Checklists de Preparación al inicio de cada Capa son obligatorios antes de comenzar.</w:t>
      </w:r>
    </w:p>
    <w:p>
      <w:pPr>
        <w:pStyle w:val="ListBullet"/>
        <w:spacing w:before="40" w:after="40"/>
        <w:ind w:left="340"/>
      </w:pPr>
      <w:r>
        <w:rPr>
          <w:rFonts w:ascii="Arial" w:hAnsi="Arial"/>
          <w:sz w:val="21"/>
        </w:rPr>
        <w:t>Las plantillas y recursos reutilizables están en los Anexos.</w:t>
      </w:r>
    </w:p>
    <w:p>
      <w:r>
        <w:br w:type="page"/>
      </w:r>
    </w:p>
    <w:p>
      <w:pPr>
        <w:pStyle w:val="Heading1"/>
      </w:pPr>
      <w:r>
        <w:rPr>
          <w:rFonts w:ascii="Arial" w:hAnsi="Arial"/>
          <w:color w:val="1B4F8A"/>
          <w:sz w:val="36"/>
        </w:rPr>
        <w:t>2. El Modelo de Cuatro Capas</w:t>
      </w:r>
    </w:p>
    <w:p>
      <w:pPr>
        <w:spacing w:before="0" w:after="120"/>
      </w:pPr>
      <w:r>
        <w:rPr>
          <w:rFonts w:ascii="Arial" w:hAnsi="Arial"/>
          <w:b w:val="0"/>
          <w:i w:val="0"/>
          <w:sz w:val="22"/>
        </w:rPr>
        <w:t>El AI Fluency Program se estructura en cuatro capas concéntricas. Cada capa aprende de la anterior y amplía el alcance del programa en la institución.</w:t>
      </w:r>
    </w:p>
    <w:p>
      <w:pPr>
        <w:spacing w:before="0" w:after="40"/>
      </w:pP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Capa</w:t>
            </w:r>
          </w:p>
        </w:tc>
        <w:tc>
          <w:tcPr>
            <w:tcW w:type="dxa" w:w="234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Audiencia</w:t>
            </w:r>
          </w:p>
        </w:tc>
        <w:tc>
          <w:tcPr>
            <w:tcW w:type="dxa" w:w="234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Facilitador</w:t>
            </w:r>
          </w:p>
        </w:tc>
        <w:tc>
          <w:tcPr>
            <w:tcW w:type="dxa" w:w="234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Tool central</w:t>
            </w:r>
          </w:p>
        </w:tc>
      </w:tr>
      <w:tr>
        <w:tc>
          <w:tcPr>
            <w:tcW w:type="dxa" w:w="234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0 — Piloto</w:t>
            </w:r>
          </w:p>
        </w:tc>
        <w:tc>
          <w:tcPr>
            <w:tcW w:type="dxa" w:w="234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3 Champions (1/área)</w:t>
            </w:r>
          </w:p>
        </w:tc>
        <w:tc>
          <w:tcPr>
            <w:tcW w:type="dxa" w:w="234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Director IT</w:t>
            </w:r>
          </w:p>
        </w:tc>
        <w:tc>
          <w:tcPr>
            <w:tcW w:type="dxa" w:w="234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Hermes Agent + Claude</w:t>
            </w:r>
          </w:p>
        </w:tc>
      </w:tr>
      <w:tr>
        <w:tc>
          <w:tcPr>
            <w:tcW w:type="dxa" w:w="234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 — Dirección IT</w:t>
            </w:r>
          </w:p>
        </w:tc>
        <w:tc>
          <w:tcPr>
            <w:tcW w:type="dxa" w:w="234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10-25 personas equipo</w:t>
            </w:r>
          </w:p>
        </w:tc>
        <w:tc>
          <w:tcPr>
            <w:tcW w:type="dxa" w:w="234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Champions Piloto</w:t>
            </w:r>
          </w:p>
        </w:tc>
        <w:tc>
          <w:tcPr>
            <w:tcW w:type="dxa" w:w="234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Hermes + herramientas área</w:t>
            </w:r>
          </w:p>
        </w:tc>
      </w:tr>
      <w:tr>
        <w:tc>
          <w:tcPr>
            <w:tcW w:type="dxa" w:w="234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2 — Unidades</w:t>
            </w:r>
          </w:p>
        </w:tc>
        <w:tc>
          <w:tcPr>
            <w:tcW w:type="dxa" w:w="234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Otras unidades UJMD</w:t>
            </w:r>
          </w:p>
        </w:tc>
        <w:tc>
          <w:tcPr>
            <w:tcW w:type="dxa" w:w="234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Champions formados</w:t>
            </w:r>
          </w:p>
        </w:tc>
        <w:tc>
          <w:tcPr>
            <w:tcW w:type="dxa" w:w="234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Hermes + no-code tools</w:t>
            </w:r>
          </w:p>
        </w:tc>
      </w:tr>
      <w:tr>
        <w:tc>
          <w:tcPr>
            <w:tcW w:type="dxa" w:w="234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3 — Comunidad</w:t>
            </w:r>
          </w:p>
        </w:tc>
        <w:tc>
          <w:tcPr>
            <w:tcW w:type="dxa" w:w="234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Docentes y estudiantes</w:t>
            </w:r>
          </w:p>
        </w:tc>
        <w:tc>
          <w:tcPr>
            <w:tcW w:type="dxa" w:w="234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Equipo IT + Docentes AI</w:t>
            </w:r>
          </w:p>
        </w:tc>
        <w:tc>
          <w:tcPr>
            <w:tcW w:type="dxa" w:w="234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Hermes + plataformas educ.</w:t>
            </w:r>
          </w:p>
        </w:tc>
      </w:tr>
    </w:tbl>
    <w:p>
      <w:r>
        <w:br w:type="page"/>
      </w:r>
    </w:p>
    <w:p>
      <w:pPr>
        <w:pStyle w:val="Heading1"/>
      </w:pPr>
      <w:r>
        <w:rPr>
          <w:rFonts w:ascii="Arial" w:hAnsi="Arial"/>
          <w:color w:val="1B4F8A"/>
          <w:sz w:val="36"/>
        </w:rPr>
        <w:t>3. Capa 0 — Piloto: Los 3 Champions</w:t>
      </w:r>
    </w:p>
    <w:p>
      <w:pPr>
        <w:spacing w:before="0" w:after="40"/>
      </w:pPr>
    </w:p>
    <w:tbl>
      <w:tblPr>
        <w:tblW w:type="auto" w:w="0"/>
        <w:jc w:val="left"/>
        <w:tblLook w:firstColumn="1" w:firstRow="1" w:lastColumn="0" w:lastRow="0" w:noHBand="0" w:noVBand="1" w:val="04A0"/>
      </w:tblPr>
      <w:tblGrid>
        <w:gridCol w:w="4680"/>
        <w:gridCol w:w="4680"/>
      </w:tblGrid>
      <w:tr>
        <w:tc>
          <w:tcPr>
            <w:tcW w:type="dxa" w:w="1701"/>
            <w:shd w:val="clear" w:color="auto" w:fill="1B4F8A"/>
            <w:tcBorders>
              <w:top w:val="none" w:sz="0" w:space="0" w:color="auto"/>
              <w:left w:val="none" w:sz="0" w:space="0" w:color="auto"/>
              <w:bottom w:val="none" w:sz="0" w:space="0" w:color="auto"/>
              <w:right w:val="none" w:sz="0" w:space="0" w:color="auto"/>
            </w:tcBorders>
          </w:tcPr>
          <w:p>
            <w:pPr>
              <w:jc w:val="center"/>
            </w:pPr>
            <w:r>
              <w:rPr>
                <w:rFonts w:ascii="Arial" w:hAnsi="Arial"/>
                <w:b/>
                <w:i w:val="0"/>
                <w:color w:val="FFFFFF"/>
                <w:sz w:val="56"/>
              </w:rPr>
              <w:t>0</w:t>
            </w:r>
          </w:p>
          <w:p>
            <w:pPr>
              <w:jc w:val="center"/>
            </w:pPr>
            <w:r>
              <w:rPr>
                <w:rFonts w:ascii="Arial" w:hAnsi="Arial"/>
                <w:b/>
                <w:i w:val="0"/>
                <w:color w:val="D6E4F0"/>
                <w:sz w:val="18"/>
              </w:rPr>
              <w:t>CAPA</w:t>
            </w:r>
          </w:p>
        </w:tc>
        <w:tc>
          <w:tcPr>
            <w:tcW w:type="dxa" w:w="4680"/>
            <w:shd w:val="clear" w:color="auto" w:fill="D6E4F0"/>
            <w:tcBorders>
              <w:top w:val="none" w:sz="0" w:space="0" w:color="auto"/>
              <w:left w:val="none" w:sz="0" w:space="0" w:color="auto"/>
              <w:bottom w:val="none" w:sz="0" w:space="0" w:color="auto"/>
              <w:right w:val="none" w:sz="0" w:space="0" w:color="auto"/>
            </w:tcBorders>
          </w:tcPr>
          <w:p>
            <w:pPr>
              <w:spacing w:before="120"/>
            </w:pPr>
            <w:r>
              <w:rPr>
                <w:rFonts w:ascii="Arial" w:hAnsi="Arial"/>
                <w:b/>
                <w:i w:val="0"/>
                <w:color w:val="1B4F8A"/>
                <w:sz w:val="30"/>
              </w:rPr>
              <w:t>Piloto: Los 3 Champions</w:t>
            </w:r>
          </w:p>
          <w:p>
            <w:pPr>
              <w:spacing w:after="120"/>
            </w:pPr>
            <w:r>
              <w:rPr>
                <w:rFonts w:ascii="Arial" w:hAnsi="Arial"/>
                <w:b w:val="0"/>
                <w:i/>
                <w:color w:val="595959"/>
                <w:sz w:val="20"/>
              </w:rPr>
              <w:t>Mes 1 — 1 persona por cada área de la Dirección</w:t>
            </w:r>
          </w:p>
        </w:tc>
      </w:tr>
    </w:tbl>
    <w:p>
      <w:pPr>
        <w:spacing w:before="0" w:after="40"/>
      </w:pPr>
    </w:p>
    <w:p>
      <w:pPr>
        <w:pStyle w:val="Heading2"/>
      </w:pPr>
      <w:r>
        <w:rPr>
          <w:rFonts w:ascii="Arial" w:hAnsi="Arial"/>
          <w:color w:val="2E75B6"/>
          <w:sz w:val="28"/>
        </w:rPr>
        <w:t>Descripción</w:t>
      </w:r>
    </w:p>
    <w:p>
      <w:pPr>
        <w:spacing w:before="0" w:after="120"/>
      </w:pPr>
      <w:r>
        <w:rPr>
          <w:rFonts w:ascii="Arial" w:hAnsi="Arial"/>
          <w:b w:val="0"/>
          <w:i w:val="0"/>
          <w:sz w:val="22"/>
        </w:rPr>
        <w:t>Esta capa es el corazón del programa. Se selecciona una persona por cada una de las tres áreas y se la forma intensivamente durante un mes. Al finalizar, se convierten en los AI Champions que lideran la Capa 1.</w:t>
      </w:r>
    </w:p>
    <w:p>
      <w:pPr>
        <w:pStyle w:val="Heading2"/>
      </w:pPr>
      <w:r>
        <w:rPr>
          <w:rFonts w:ascii="Arial" w:hAnsi="Arial"/>
          <w:color w:val="2E75B6"/>
          <w:sz w:val="28"/>
        </w:rPr>
        <w:t>Checklist de Preparación</w:t>
      </w:r>
    </w:p>
    <w:tbl>
      <w:tblPr>
        <w:tblW w:type="auto" w:w="0"/>
        <w:jc w:val="left"/>
        <w:tblLook w:firstColumn="1" w:firstRow="1" w:lastColumn="0" w:lastRow="0" w:noHBand="0" w:noVBand="1" w:val="04A0"/>
      </w:tblPr>
      <w:tblGrid>
        <w:gridCol w:w="9360"/>
      </w:tblGrid>
      <w:tr>
        <w:tc>
          <w:tcPr>
            <w:tcW w:type="dxa" w:w="9360"/>
            <w:shd w:val="clear" w:color="auto" w:fill="7F6000"/>
            <w:tcBorders>
              <w:top w:val="none" w:sz="0" w:space="0" w:color="auto"/>
              <w:left w:val="none" w:sz="0" w:space="0" w:color="auto"/>
              <w:bottom w:val="none" w:sz="0" w:space="0" w:color="auto"/>
              <w:right w:val="none" w:sz="0" w:space="0" w:color="auto"/>
            </w:tcBorders>
          </w:tcPr>
          <w:p>
            <w:pPr>
              <w:spacing w:before="80" w:after="80"/>
            </w:pPr>
            <w:r>
              <w:rPr>
                <w:rFonts w:ascii="Arial" w:hAnsi="Arial"/>
                <w:b/>
                <w:i w:val="0"/>
                <w:color w:val="FFFFFF"/>
                <w:sz w:val="22"/>
              </w:rPr>
              <w:t>Antes de comenzar — verificar cada ítem:</w:t>
            </w:r>
          </w:p>
        </w:tc>
      </w:tr>
      <w:tr>
        <w:tc>
          <w:tcPr>
            <w:tcW w:type="dxa" w:w="9360"/>
            <w:shd w:val="clear" w:color="auto" w:fill="FFEB9C"/>
            <w:tcBorders>
              <w:top w:val="none" w:sz="0" w:space="0" w:color="auto"/>
              <w:left w:val="none" w:sz="0" w:space="0" w:color="auto"/>
              <w:bottom w:val="none" w:sz="0" w:space="0" w:color="auto"/>
              <w:right w:val="none" w:sz="0" w:space="0" w:color="auto"/>
            </w:tcBorders>
          </w:tcPr>
          <w:p>
            <w:pPr>
              <w:spacing w:before="40" w:after="40"/>
            </w:pPr>
            <w:r>
              <w:rPr>
                <w:rFonts w:ascii="Arial" w:hAnsi="Arial"/>
                <w:b w:val="0"/>
                <w:i w:val="0"/>
                <w:sz w:val="21"/>
              </w:rPr>
              <w:t>☐  Identificar y confirmar a los 3 Champions (uno por área)</w:t>
            </w:r>
          </w:p>
          <w:p>
            <w:pPr>
              <w:spacing w:before="40" w:after="40"/>
            </w:pPr>
            <w:r>
              <w:rPr>
                <w:rFonts w:ascii="Arial" w:hAnsi="Arial"/>
                <w:b w:val="0"/>
                <w:i w:val="0"/>
                <w:sz w:val="21"/>
              </w:rPr>
              <w:t>☐  Aplicar el Cuestionario de Baseline a los 3 (Anexo A)</w:t>
            </w:r>
          </w:p>
          <w:p>
            <w:pPr>
              <w:spacing w:before="40" w:after="40"/>
            </w:pPr>
            <w:r>
              <w:rPr>
                <w:rFonts w:ascii="Arial" w:hAnsi="Arial"/>
                <w:b w:val="0"/>
                <w:i w:val="0"/>
                <w:sz w:val="21"/>
              </w:rPr>
              <w:t>☐  Clonar y configurar Hermes Agent en el entorno compartido</w:t>
            </w:r>
          </w:p>
          <w:p>
            <w:pPr>
              <w:spacing w:before="40" w:after="40"/>
            </w:pPr>
            <w:r>
              <w:rPr>
                <w:rFonts w:ascii="Arial" w:hAnsi="Arial"/>
                <w:b w:val="0"/>
                <w:i w:val="0"/>
                <w:sz w:val="21"/>
              </w:rPr>
              <w:t>☐  Definir los KPIs de éxito del piloto (sección 3.4)</w:t>
            </w:r>
          </w:p>
          <w:p>
            <w:pPr>
              <w:spacing w:before="40" w:after="40"/>
            </w:pPr>
            <w:r>
              <w:rPr>
                <w:rFonts w:ascii="Arial" w:hAnsi="Arial"/>
                <w:b w:val="0"/>
                <w:i w:val="0"/>
                <w:sz w:val="21"/>
              </w:rPr>
              <w:t>☐  Agendar las 4 sesiones semanales de 2h con los Champions</w:t>
            </w:r>
          </w:p>
          <w:p>
            <w:pPr>
              <w:spacing w:before="40" w:after="40"/>
            </w:pPr>
            <w:r>
              <w:rPr>
                <w:rFonts w:ascii="Arial" w:hAnsi="Arial"/>
                <w:b w:val="0"/>
                <w:i w:val="0"/>
                <w:sz w:val="21"/>
              </w:rPr>
              <w:t>☐  Crear canal de comunicación exclusivo del piloto (Teams/Slack)</w:t>
            </w:r>
          </w:p>
        </w:tc>
      </w:tr>
    </w:tbl>
    <w:p>
      <w:pPr>
        <w:spacing w:before="0" w:after="40"/>
      </w:pPr>
    </w:p>
    <w:p>
      <w:pPr>
        <w:pStyle w:val="Heading2"/>
      </w:pPr>
      <w:r>
        <w:rPr>
          <w:rFonts w:ascii="Arial" w:hAnsi="Arial"/>
          <w:color w:val="2E75B6"/>
          <w:sz w:val="28"/>
        </w:rPr>
        <w:t>Cómo seleccionar al Champion correcto</w:t>
      </w:r>
    </w:p>
    <w:p>
      <w:pPr>
        <w:spacing w:before="0" w:after="120"/>
      </w:pPr>
      <w:r>
        <w:rPr>
          <w:rFonts w:ascii="Arial" w:hAnsi="Arial"/>
          <w:b w:val="0"/>
          <w:i w:val="0"/>
          <w:sz w:val="22"/>
        </w:rPr>
        <w:t>No elegir al más avanzado técnicamente ni al más novato. El Champion ideal tiene:</w:t>
      </w:r>
    </w:p>
    <w:p>
      <w:pPr>
        <w:pStyle w:val="ListBullet"/>
        <w:spacing w:before="40" w:after="40"/>
        <w:ind w:left="340"/>
      </w:pPr>
      <w:r>
        <w:rPr>
          <w:rFonts w:ascii="Arial" w:hAnsi="Arial"/>
          <w:sz w:val="21"/>
        </w:rPr>
        <w:t>Apertura al cambio: no teme equivocarse en público ni probar cosas nuevas.</w:t>
      </w:r>
    </w:p>
    <w:p>
      <w:pPr>
        <w:pStyle w:val="ListBullet"/>
        <w:spacing w:before="40" w:after="40"/>
        <w:ind w:left="340"/>
      </w:pPr>
      <w:r>
        <w:rPr>
          <w:rFonts w:ascii="Arial" w:hAnsi="Arial"/>
          <w:sz w:val="21"/>
        </w:rPr>
        <w:t>Influencia informal: sus colegas lo escuchan y le preguntan cuando tienen dudas.</w:t>
      </w:r>
    </w:p>
    <w:p>
      <w:pPr>
        <w:pStyle w:val="ListBullet"/>
        <w:spacing w:before="40" w:after="40"/>
        <w:ind w:left="340"/>
      </w:pPr>
      <w:r>
        <w:rPr>
          <w:rFonts w:ascii="Arial" w:hAnsi="Arial"/>
          <w:sz w:val="21"/>
        </w:rPr>
        <w:t>Tiempo real disponible: puede dedicar 4-6 horas semanales sin comprometer sus responsabilidades.</w:t>
      </w:r>
    </w:p>
    <w:p>
      <w:pPr>
        <w:spacing w:before="0" w:after="40"/>
      </w:pPr>
    </w:p>
    <w:p>
      <w:pPr>
        <w:pStyle w:val="Heading2"/>
      </w:pPr>
      <w:r>
        <w:rPr>
          <w:rFonts w:ascii="Arial" w:hAnsi="Arial"/>
          <w:color w:val="2E75B6"/>
          <w:sz w:val="28"/>
        </w:rPr>
        <w:t>Programa semana a semana</w:t>
      </w:r>
    </w:p>
    <w:p>
      <w:pPr>
        <w:spacing w:before="0" w:after="40"/>
      </w:pPr>
    </w:p>
    <w:tbl>
      <w:tblPr>
        <w:tblW w:type="auto" w:w="0"/>
        <w:jc w:val="left"/>
        <w:tblLook w:firstColumn="1" w:firstRow="1" w:lastColumn="0" w:lastRow="0" w:noHBand="0" w:noVBand="1" w:val="04A0"/>
      </w:tblPr>
      <w:tblGrid>
        <w:gridCol w:w="9360"/>
      </w:tblGrid>
      <w:tr>
        <w:tc>
          <w:tcPr>
            <w:tcW w:type="dxa" w:w="9360"/>
            <w:shd w:val="clear" w:color="auto" w:fill="2E75B6"/>
            <w:tcBorders>
              <w:top w:val="none" w:sz="0" w:space="0" w:color="auto"/>
              <w:left w:val="none" w:sz="0" w:space="0" w:color="auto"/>
              <w:bottom w:val="none" w:sz="0" w:space="0" w:color="auto"/>
              <w:right w:val="none" w:sz="0" w:space="0" w:color="auto"/>
            </w:tcBorders>
          </w:tcPr>
          <w:p>
            <w:pPr>
              <w:spacing w:before="80" w:after="80"/>
            </w:pPr>
            <w:r>
              <w:rPr>
                <w:rFonts w:ascii="Arial" w:hAnsi="Arial"/>
                <w:b/>
                <w:i w:val="0"/>
                <w:color w:val="FFFFFF"/>
                <w:sz w:val="22"/>
              </w:rPr>
              <w:t>SEMANA 1 — Fundamentos y nivelación</w:t>
            </w:r>
          </w:p>
        </w:tc>
      </w:tr>
      <w:tr>
        <w:tc>
          <w:tcPr>
            <w:tcW w:type="dxa" w:w="9360"/>
            <w:shd w:val="clear" w:color="auto" w:fill="FFFFFF"/>
            <w:tcBorders>
              <w:top w:val="single" w:sz="4" w:space="0" w:color="D6E4F0"/>
              <w:left w:val="single" w:sz="4" w:space="0" w:color="D6E4F0"/>
              <w:bottom w:val="single" w:sz="4" w:space="0" w:color="D6E4F0"/>
              <w:right w:val="single" w:sz="4" w:space="0" w:color="D6E4F0"/>
            </w:tcBorders>
          </w:tcPr>
          <w:p>
            <w:pPr>
              <w:spacing w:before="120" w:after="80"/>
            </w:pPr>
            <w:r>
              <w:rPr>
                <w:rFonts w:ascii="Arial" w:hAnsi="Arial"/>
                <w:b/>
                <w:i w:val="0"/>
                <w:color w:val="1B4F8A"/>
                <w:sz w:val="22"/>
              </w:rPr>
              <w:t xml:space="preserve">Objetivo: </w:t>
            </w:r>
            <w:r>
              <w:rPr>
                <w:rFonts w:ascii="Arial" w:hAnsi="Arial"/>
                <w:b w:val="0"/>
                <w:i w:val="0"/>
                <w:sz w:val="22"/>
              </w:rPr>
              <w:t>Los 3 Champions parten del mismo punto conceptual, sin importar su nivel previo.</w:t>
            </w:r>
          </w:p>
          <w:p>
            <w:pPr>
              <w:spacing w:after="40"/>
            </w:pPr>
            <w:r>
              <w:rPr>
                <w:rFonts w:ascii="Arial" w:hAnsi="Arial"/>
                <w:b/>
                <w:i w:val="0"/>
                <w:sz w:val="22"/>
              </w:rPr>
              <w:t>Actividades:</w:t>
            </w:r>
          </w:p>
          <w:p>
            <w:pPr>
              <w:pStyle w:val="ListBullet"/>
              <w:spacing w:before="20" w:after="20"/>
              <w:ind w:left="454"/>
            </w:pPr>
            <w:r>
              <w:rPr>
                <w:rFonts w:ascii="Arial" w:hAnsi="Arial"/>
                <w:b w:val="0"/>
                <w:i w:val="0"/>
                <w:sz w:val="20"/>
              </w:rPr>
              <w:t>"¿Qué es el Modelo de Conducción AI y por qué importa en TI?" — marco conceptual, diferencia entre usar IA y conducirla (2h)</w:t>
            </w:r>
          </w:p>
          <w:p>
            <w:pPr>
              <w:pStyle w:val="ListBullet"/>
              <w:spacing w:before="20" w:after="20"/>
              <w:ind w:left="454"/>
            </w:pPr>
            <w:r>
              <w:rPr>
                <w:rFonts w:ascii="Arial" w:hAnsi="Arial"/>
                <w:b w:val="0"/>
                <w:i w:val="0"/>
                <w:sz w:val="20"/>
              </w:rPr>
              <w:t>Lectura guiada: introducción a LLMs, prompting básico y qué es un agente de IA</w:t>
            </w:r>
          </w:p>
          <w:p>
            <w:pPr>
              <w:pStyle w:val="ListBullet"/>
              <w:spacing w:before="20" w:after="20"/>
              <w:ind w:left="454"/>
            </w:pPr>
            <w:r>
              <w:rPr>
                <w:rFonts w:ascii="Arial" w:hAnsi="Arial"/>
                <w:b w:val="0"/>
                <w:i w:val="0"/>
                <w:sz w:val="20"/>
              </w:rPr>
              <w:t>Tarea autónoma: explorar cualquier herramienta de IA para resolver un problema real y documentar el resultado</w:t>
            </w:r>
          </w:p>
          <w:p>
            <w:pPr>
              <w:pStyle w:val="ListBullet"/>
              <w:spacing w:before="20" w:after="20"/>
              <w:ind w:left="454"/>
            </w:pPr>
            <w:r>
              <w:rPr>
                <w:rFonts w:ascii="Arial" w:hAnsi="Arial"/>
                <w:b w:val="0"/>
                <w:i w:val="0"/>
                <w:sz w:val="20"/>
              </w:rPr>
              <w:t>Hermes Agent: primera instalación y exploración del repositorio</w:t>
            </w:r>
          </w:p>
          <w:p>
            <w:pPr>
              <w:spacing w:before="120" w:after="120"/>
            </w:pPr>
            <w:r>
              <w:rPr>
                <w:rFonts w:ascii="Arial" w:hAnsi="Arial"/>
                <w:b/>
                <w:i w:val="0"/>
                <w:color w:val="375623"/>
                <w:sz w:val="22"/>
              </w:rPr>
              <w:t xml:space="preserve">Entregable: </w:t>
            </w:r>
            <w:r>
              <w:rPr>
                <w:rFonts w:ascii="Arial" w:hAnsi="Arial"/>
                <w:b w:val="0"/>
                <w:i w:val="0"/>
                <w:color w:val="375623"/>
                <w:sz w:val="22"/>
              </w:rPr>
              <w:t>Cada Champion documenta 3 casos de uso potencial de IA en su área</w:t>
            </w:r>
          </w:p>
        </w:tc>
      </w:tr>
    </w:tbl>
    <w:p>
      <w:pPr>
        <w:spacing w:before="0" w:after="40"/>
      </w:pPr>
    </w:p>
    <w:tbl>
      <w:tblPr>
        <w:tblW w:type="auto" w:w="0"/>
        <w:jc w:val="left"/>
        <w:tblLook w:firstColumn="1" w:firstRow="1" w:lastColumn="0" w:lastRow="0" w:noHBand="0" w:noVBand="1" w:val="04A0"/>
      </w:tblPr>
      <w:tblGrid>
        <w:gridCol w:w="9360"/>
      </w:tblGrid>
      <w:tr>
        <w:tc>
          <w:tcPr>
            <w:tcW w:type="dxa" w:w="9360"/>
            <w:shd w:val="clear" w:color="auto" w:fill="2E75B6"/>
            <w:tcBorders>
              <w:top w:val="none" w:sz="0" w:space="0" w:color="auto"/>
              <w:left w:val="none" w:sz="0" w:space="0" w:color="auto"/>
              <w:bottom w:val="none" w:sz="0" w:space="0" w:color="auto"/>
              <w:right w:val="none" w:sz="0" w:space="0" w:color="auto"/>
            </w:tcBorders>
          </w:tcPr>
          <w:p>
            <w:pPr>
              <w:spacing w:before="80" w:after="80"/>
            </w:pPr>
            <w:r>
              <w:rPr>
                <w:rFonts w:ascii="Arial" w:hAnsi="Arial"/>
                <w:b/>
                <w:i w:val="0"/>
                <w:color w:val="FFFFFF"/>
                <w:sz w:val="22"/>
              </w:rPr>
              <w:t>SEMANA 2 — Productividad personal con IA</w:t>
            </w:r>
          </w:p>
        </w:tc>
      </w:tr>
      <w:tr>
        <w:tc>
          <w:tcPr>
            <w:tcW w:type="dxa" w:w="9360"/>
            <w:shd w:val="clear" w:color="auto" w:fill="FFFFFF"/>
            <w:tcBorders>
              <w:top w:val="single" w:sz="4" w:space="0" w:color="D6E4F0"/>
              <w:left w:val="single" w:sz="4" w:space="0" w:color="D6E4F0"/>
              <w:bottom w:val="single" w:sz="4" w:space="0" w:color="D6E4F0"/>
              <w:right w:val="single" w:sz="4" w:space="0" w:color="D6E4F0"/>
            </w:tcBorders>
          </w:tcPr>
          <w:p>
            <w:pPr>
              <w:spacing w:before="120" w:after="80"/>
            </w:pPr>
            <w:r>
              <w:rPr>
                <w:rFonts w:ascii="Arial" w:hAnsi="Arial"/>
                <w:b/>
                <w:i w:val="0"/>
                <w:color w:val="1B4F8A"/>
                <w:sz w:val="22"/>
              </w:rPr>
              <w:t xml:space="preserve">Objetivo: </w:t>
            </w:r>
            <w:r>
              <w:rPr>
                <w:rFonts w:ascii="Arial" w:hAnsi="Arial"/>
                <w:b w:val="0"/>
                <w:i w:val="0"/>
                <w:sz w:val="22"/>
              </w:rPr>
              <w:t>Cada Champion integra IA en al menos 2 tareas reales de su trabajo semanal.</w:t>
            </w:r>
          </w:p>
          <w:p>
            <w:pPr>
              <w:spacing w:after="40"/>
            </w:pPr>
            <w:r>
              <w:rPr>
                <w:rFonts w:ascii="Arial" w:hAnsi="Arial"/>
                <w:b/>
                <w:i w:val="0"/>
                <w:sz w:val="22"/>
              </w:rPr>
              <w:t>Actividades:</w:t>
            </w:r>
          </w:p>
          <w:p>
            <w:pPr>
              <w:pStyle w:val="ListBullet"/>
              <w:spacing w:before="20" w:after="20"/>
              <w:ind w:left="454"/>
            </w:pPr>
            <w:r>
              <w:rPr>
                <w:rFonts w:ascii="Arial" w:hAnsi="Arial"/>
                <w:b w:val="0"/>
                <w:i w:val="0"/>
                <w:sz w:val="20"/>
              </w:rPr>
              <w:t>Taller de prompting efectivo y uso de herramientas de IA para tareas técnicas (documentación, análisis, debugging) (2h)</w:t>
            </w:r>
          </w:p>
          <w:p>
            <w:pPr>
              <w:pStyle w:val="ListBullet"/>
              <w:spacing w:before="20" w:after="20"/>
              <w:ind w:left="454"/>
            </w:pPr>
            <w:r>
              <w:rPr>
                <w:rFonts w:ascii="Arial" w:hAnsi="Arial"/>
                <w:b w:val="0"/>
                <w:i w:val="0"/>
                <w:sz w:val="20"/>
              </w:rPr>
              <w:t>Trabajo guiado: aplicar IA a los 3 casos de uso identificados en S1</w:t>
            </w:r>
          </w:p>
          <w:p>
            <w:pPr>
              <w:pStyle w:val="ListBullet"/>
              <w:spacing w:before="20" w:after="20"/>
              <w:ind w:left="454"/>
            </w:pPr>
            <w:r>
              <w:rPr>
                <w:rFonts w:ascii="Arial" w:hAnsi="Arial"/>
                <w:b w:val="0"/>
                <w:i w:val="0"/>
                <w:sz w:val="20"/>
              </w:rPr>
              <w:t>Hermes Agent: ejecutar los ejemplos del repositorio y entender la arquitectura</w:t>
            </w:r>
          </w:p>
          <w:p>
            <w:pPr>
              <w:pStyle w:val="ListBullet"/>
              <w:spacing w:before="20" w:after="20"/>
              <w:ind w:left="454"/>
            </w:pPr>
            <w:r>
              <w:rPr>
                <w:rFonts w:ascii="Arial" w:hAnsi="Arial"/>
                <w:b w:val="0"/>
                <w:i w:val="0"/>
                <w:sz w:val="20"/>
              </w:rPr>
              <w:t>Retrospectiva rápida: ¿qué funcionó?, ¿qué no?, ¿qué sorprendió?</w:t>
            </w:r>
          </w:p>
          <w:p>
            <w:pPr>
              <w:spacing w:before="120" w:after="120"/>
            </w:pPr>
            <w:r>
              <w:rPr>
                <w:rFonts w:ascii="Arial" w:hAnsi="Arial"/>
                <w:b/>
                <w:i w:val="0"/>
                <w:color w:val="375623"/>
                <w:sz w:val="22"/>
              </w:rPr>
              <w:t xml:space="preserve">Entregable: </w:t>
            </w:r>
            <w:r>
              <w:rPr>
                <w:rFonts w:ascii="Arial" w:hAnsi="Arial"/>
                <w:b w:val="0"/>
                <w:i w:val="0"/>
                <w:color w:val="375623"/>
                <w:sz w:val="22"/>
              </w:rPr>
              <w:t>Mini-reporte: "Cómo usé IA esta semana y qué impacto tuvo"</w:t>
            </w:r>
          </w:p>
        </w:tc>
      </w:tr>
    </w:tbl>
    <w:p>
      <w:pPr>
        <w:spacing w:before="0" w:after="40"/>
      </w:pPr>
    </w:p>
    <w:tbl>
      <w:tblPr>
        <w:tblW w:type="auto" w:w="0"/>
        <w:jc w:val="left"/>
        <w:tblLook w:firstColumn="1" w:firstRow="1" w:lastColumn="0" w:lastRow="0" w:noHBand="0" w:noVBand="1" w:val="04A0"/>
      </w:tblPr>
      <w:tblGrid>
        <w:gridCol w:w="9360"/>
      </w:tblGrid>
      <w:tr>
        <w:tc>
          <w:tcPr>
            <w:tcW w:type="dxa" w:w="9360"/>
            <w:shd w:val="clear" w:color="auto" w:fill="2E75B6"/>
            <w:tcBorders>
              <w:top w:val="none" w:sz="0" w:space="0" w:color="auto"/>
              <w:left w:val="none" w:sz="0" w:space="0" w:color="auto"/>
              <w:bottom w:val="none" w:sz="0" w:space="0" w:color="auto"/>
              <w:right w:val="none" w:sz="0" w:space="0" w:color="auto"/>
            </w:tcBorders>
          </w:tcPr>
          <w:p>
            <w:pPr>
              <w:spacing w:before="80" w:after="80"/>
            </w:pPr>
            <w:r>
              <w:rPr>
                <w:rFonts w:ascii="Arial" w:hAnsi="Arial"/>
                <w:b/>
                <w:i w:val="0"/>
                <w:color w:val="FFFFFF"/>
                <w:sz w:val="22"/>
              </w:rPr>
              <w:t>SEMANA 3 — Construcción de agentes con Hermes</w:t>
            </w:r>
          </w:p>
        </w:tc>
      </w:tr>
      <w:tr>
        <w:tc>
          <w:tcPr>
            <w:tcW w:type="dxa" w:w="9360"/>
            <w:shd w:val="clear" w:color="auto" w:fill="FFFFFF"/>
            <w:tcBorders>
              <w:top w:val="single" w:sz="4" w:space="0" w:color="D6E4F0"/>
              <w:left w:val="single" w:sz="4" w:space="0" w:color="D6E4F0"/>
              <w:bottom w:val="single" w:sz="4" w:space="0" w:color="D6E4F0"/>
              <w:right w:val="single" w:sz="4" w:space="0" w:color="D6E4F0"/>
            </w:tcBorders>
          </w:tcPr>
          <w:p>
            <w:pPr>
              <w:spacing w:before="120" w:after="80"/>
            </w:pPr>
            <w:r>
              <w:rPr>
                <w:rFonts w:ascii="Arial" w:hAnsi="Arial"/>
                <w:b/>
                <w:i w:val="0"/>
                <w:color w:val="1B4F8A"/>
                <w:sz w:val="22"/>
              </w:rPr>
              <w:t xml:space="preserve">Objetivo: </w:t>
            </w:r>
            <w:r>
              <w:rPr>
                <w:rFonts w:ascii="Arial" w:hAnsi="Arial"/>
                <w:b w:val="0"/>
                <w:i w:val="0"/>
                <w:sz w:val="22"/>
              </w:rPr>
              <w:t>Cada Champion construye un agente simple orientado a un problema real de su área.</w:t>
            </w:r>
          </w:p>
          <w:p>
            <w:pPr>
              <w:spacing w:after="40"/>
            </w:pPr>
            <w:r>
              <w:rPr>
                <w:rFonts w:ascii="Arial" w:hAnsi="Arial"/>
                <w:b/>
                <w:i w:val="0"/>
                <w:sz w:val="22"/>
              </w:rPr>
              <w:t>Actividades:</w:t>
            </w:r>
          </w:p>
          <w:p>
            <w:pPr>
              <w:pStyle w:val="ListBullet"/>
              <w:spacing w:before="20" w:after="20"/>
              <w:ind w:left="454"/>
            </w:pPr>
            <w:r>
              <w:rPr>
                <w:rFonts w:ascii="Arial" w:hAnsi="Arial"/>
                <w:b w:val="0"/>
                <w:i w:val="0"/>
                <w:sz w:val="20"/>
              </w:rPr>
              <w:t>Anatomía de un agente — tools, memory, reasoning. Cómo diseñar el trabajo de un agente antes de construirlo (2h)</w:t>
            </w:r>
          </w:p>
          <w:p>
            <w:pPr>
              <w:pStyle w:val="ListBullet"/>
              <w:spacing w:before="20" w:after="20"/>
              <w:ind w:left="454"/>
            </w:pPr>
            <w:r>
              <w:rPr>
                <w:rFonts w:ascii="Arial" w:hAnsi="Arial"/>
                <w:b w:val="0"/>
                <w:i w:val="0"/>
                <w:sz w:val="20"/>
              </w:rPr>
              <w:t>Proyecto guiado: diseñar y comenzar a construir el agente de área con Hermes Agent</w:t>
            </w:r>
          </w:p>
          <w:p>
            <w:pPr>
              <w:pStyle w:val="ListBullet"/>
              <w:spacing w:before="20" w:after="20"/>
              <w:ind w:left="454"/>
            </w:pPr>
            <w:r>
              <w:rPr>
                <w:rFonts w:ascii="Arial" w:hAnsi="Arial"/>
                <w:b w:val="0"/>
                <w:i w:val="0"/>
                <w:sz w:val="20"/>
              </w:rPr>
              <w:t>Ejemplos: Infraestructura (infra-triage-incidentes), Desarrollo (dev-code-review), Soporte (soporte-triage-tickets)</w:t>
            </w:r>
          </w:p>
          <w:p>
            <w:pPr>
              <w:pStyle w:val="ListBullet"/>
              <w:spacing w:before="20" w:after="20"/>
              <w:ind w:left="454"/>
            </w:pPr>
            <w:r>
              <w:rPr>
                <w:rFonts w:ascii="Arial" w:hAnsi="Arial"/>
                <w:b w:val="0"/>
                <w:i w:val="0"/>
                <w:sz w:val="20"/>
              </w:rPr>
              <w:t>Checkpoint: ¿el agente resuelve un problema real? ¿es viable en 1 semana?</w:t>
            </w:r>
          </w:p>
          <w:p>
            <w:pPr>
              <w:spacing w:before="120" w:after="120"/>
            </w:pPr>
            <w:r>
              <w:rPr>
                <w:rFonts w:ascii="Arial" w:hAnsi="Arial"/>
                <w:b/>
                <w:i w:val="0"/>
                <w:color w:val="375623"/>
                <w:sz w:val="22"/>
              </w:rPr>
              <w:t xml:space="preserve">Entregable: </w:t>
            </w:r>
            <w:r>
              <w:rPr>
                <w:rFonts w:ascii="Arial" w:hAnsi="Arial"/>
                <w:b w:val="0"/>
                <w:i w:val="0"/>
                <w:color w:val="375623"/>
                <w:sz w:val="22"/>
              </w:rPr>
              <w:t>Agente en estado funcional mínimo (aunque sea básico)</w:t>
            </w:r>
          </w:p>
        </w:tc>
      </w:tr>
    </w:tbl>
    <w:p>
      <w:pPr>
        <w:spacing w:before="0" w:after="40"/>
      </w:pPr>
    </w:p>
    <w:tbl>
      <w:tblPr>
        <w:tblW w:type="auto" w:w="0"/>
        <w:jc w:val="left"/>
        <w:tblLook w:firstColumn="1" w:firstRow="1" w:lastColumn="0" w:lastRow="0" w:noHBand="0" w:noVBand="1" w:val="04A0"/>
      </w:tblPr>
      <w:tblGrid>
        <w:gridCol w:w="9360"/>
      </w:tblGrid>
      <w:tr>
        <w:tc>
          <w:tcPr>
            <w:tcW w:type="dxa" w:w="9360"/>
            <w:shd w:val="clear" w:color="auto" w:fill="2E75B6"/>
            <w:tcBorders>
              <w:top w:val="none" w:sz="0" w:space="0" w:color="auto"/>
              <w:left w:val="none" w:sz="0" w:space="0" w:color="auto"/>
              <w:bottom w:val="none" w:sz="0" w:space="0" w:color="auto"/>
              <w:right w:val="none" w:sz="0" w:space="0" w:color="auto"/>
            </w:tcBorders>
          </w:tcPr>
          <w:p>
            <w:pPr>
              <w:spacing w:before="80" w:after="80"/>
            </w:pPr>
            <w:r>
              <w:rPr>
                <w:rFonts w:ascii="Arial" w:hAnsi="Arial"/>
                <w:b/>
                <w:i w:val="0"/>
                <w:color w:val="FFFFFF"/>
                <w:sz w:val="22"/>
              </w:rPr>
              <w:t>SEMANA 4 — Demo Day y lecciones aprendidas</w:t>
            </w:r>
          </w:p>
        </w:tc>
      </w:tr>
      <w:tr>
        <w:tc>
          <w:tcPr>
            <w:tcW w:type="dxa" w:w="9360"/>
            <w:shd w:val="clear" w:color="auto" w:fill="FFFFFF"/>
            <w:tcBorders>
              <w:top w:val="single" w:sz="4" w:space="0" w:color="D6E4F0"/>
              <w:left w:val="single" w:sz="4" w:space="0" w:color="D6E4F0"/>
              <w:bottom w:val="single" w:sz="4" w:space="0" w:color="D6E4F0"/>
              <w:right w:val="single" w:sz="4" w:space="0" w:color="D6E4F0"/>
            </w:tcBorders>
          </w:tcPr>
          <w:p>
            <w:pPr>
              <w:spacing w:before="120" w:after="80"/>
            </w:pPr>
            <w:r>
              <w:rPr>
                <w:rFonts w:ascii="Arial" w:hAnsi="Arial"/>
                <w:b/>
                <w:i w:val="0"/>
                <w:color w:val="1B4F8A"/>
                <w:sz w:val="22"/>
              </w:rPr>
              <w:t xml:space="preserve">Objetivo: </w:t>
            </w:r>
            <w:r>
              <w:rPr>
                <w:rFonts w:ascii="Arial" w:hAnsi="Arial"/>
                <w:b w:val="0"/>
                <w:i w:val="0"/>
                <w:sz w:val="22"/>
              </w:rPr>
              <w:t>Validar resultados, documentar aprendizajes y preparar la escalada.</w:t>
            </w:r>
          </w:p>
          <w:p>
            <w:pPr>
              <w:spacing w:after="40"/>
            </w:pPr>
            <w:r>
              <w:rPr>
                <w:rFonts w:ascii="Arial" w:hAnsi="Arial"/>
                <w:b/>
                <w:i w:val="0"/>
                <w:sz w:val="22"/>
              </w:rPr>
              <w:t>Actividades:</w:t>
            </w:r>
          </w:p>
          <w:p>
            <w:pPr>
              <w:pStyle w:val="ListBullet"/>
              <w:spacing w:before="20" w:after="20"/>
              <w:ind w:left="454"/>
            </w:pPr>
            <w:r>
              <w:rPr>
                <w:rFonts w:ascii="Arial" w:hAnsi="Arial"/>
                <w:b w:val="0"/>
                <w:i w:val="0"/>
                <w:sz w:val="20"/>
              </w:rPr>
              <w:t>Demo Day (2h): cada Champion presenta su agente al Director. Énfasis en: problema que resuelve, cómo funciona, limitaciones</w:t>
            </w:r>
          </w:p>
          <w:p>
            <w:pPr>
              <w:pStyle w:val="ListBullet"/>
              <w:spacing w:before="20" w:after="20"/>
              <w:ind w:left="454"/>
            </w:pPr>
            <w:r>
              <w:rPr>
                <w:rFonts w:ascii="Arial" w:hAnsi="Arial"/>
                <w:b w:val="0"/>
                <w:i w:val="0"/>
                <w:sz w:val="20"/>
              </w:rPr>
              <w:t>Retrospectiva del piloto: ¿qué aprendimos del proceso? ¿qué cambiaríamos para la escalada?</w:t>
            </w:r>
          </w:p>
          <w:p>
            <w:pPr>
              <w:pStyle w:val="ListBullet"/>
              <w:spacing w:before="20" w:after="20"/>
              <w:ind w:left="454"/>
            </w:pPr>
            <w:r>
              <w:rPr>
                <w:rFonts w:ascii="Arial" w:hAnsi="Arial"/>
                <w:b w:val="0"/>
                <w:i w:val="0"/>
                <w:sz w:val="20"/>
              </w:rPr>
              <w:t>Cuestionario de cierre (comparar con baseline — Anexo A)</w:t>
            </w:r>
          </w:p>
          <w:p>
            <w:pPr>
              <w:pStyle w:val="ListBullet"/>
              <w:spacing w:before="20" w:after="20"/>
              <w:ind w:left="454"/>
            </w:pPr>
            <w:r>
              <w:rPr>
                <w:rFonts w:ascii="Arial" w:hAnsi="Arial"/>
                <w:b w:val="0"/>
                <w:i w:val="0"/>
                <w:sz w:val="20"/>
              </w:rPr>
              <w:t>Plan de transferencia: cada Champion diseña cómo presentará lo aprendido a su área</w:t>
            </w:r>
          </w:p>
          <w:p>
            <w:pPr>
              <w:spacing w:before="120" w:after="120"/>
            </w:pPr>
            <w:r>
              <w:rPr>
                <w:rFonts w:ascii="Arial" w:hAnsi="Arial"/>
                <w:b/>
                <w:i w:val="0"/>
                <w:color w:val="375623"/>
                <w:sz w:val="22"/>
              </w:rPr>
              <w:t xml:space="preserve">Entregable: </w:t>
            </w:r>
            <w:r>
              <w:rPr>
                <w:rFonts w:ascii="Arial" w:hAnsi="Arial"/>
                <w:b w:val="0"/>
                <w:i w:val="0"/>
                <w:color w:val="375623"/>
                <w:sz w:val="22"/>
              </w:rPr>
              <w:t>3 agentes funcionales + 3 mini-guías + Informe de lecciones aprendidas</w:t>
            </w:r>
          </w:p>
        </w:tc>
      </w:tr>
    </w:tbl>
    <w:p>
      <w:pPr>
        <w:spacing w:before="0" w:after="40"/>
      </w:pPr>
    </w:p>
    <w:p>
      <w:pPr>
        <w:pStyle w:val="Heading2"/>
      </w:pPr>
      <w:r>
        <w:rPr>
          <w:rFonts w:ascii="Arial" w:hAnsi="Arial"/>
          <w:color w:val="2E75B6"/>
          <w:sz w:val="28"/>
        </w:rPr>
        <w:t>Métricas de éxito del Piloto</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Métrica</w:t>
            </w:r>
          </w:p>
        </w:tc>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Indicador</w:t>
            </w:r>
          </w:p>
        </w:tc>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Meta</w:t>
            </w:r>
          </w:p>
        </w:tc>
      </w:tr>
      <w:tr>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Adopción</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Casos de uso resueltos con IA por Champion</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 3 casos por persona</w:t>
            </w:r>
          </w:p>
        </w:tc>
      </w:tr>
      <w:tr>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Calidad técnica</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Agentes construidos y funcionales</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 agente por área</w:t>
            </w:r>
          </w:p>
        </w:tc>
      </w:tr>
      <w:tr>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Transferencia</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¿Puede el Champion enseñar lo aprendido?</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Sí (eval. cualitativa)</w:t>
            </w:r>
          </w:p>
        </w:tc>
      </w:tr>
      <w:tr>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Satisfacción</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Score de satisfacción del Champion (1-10)</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 7/10</w:t>
            </w:r>
          </w:p>
        </w:tc>
      </w:tr>
    </w:tbl>
    <w:p>
      <w:r>
        <w:br w:type="page"/>
      </w:r>
    </w:p>
    <w:p>
      <w:pPr>
        <w:pStyle w:val="Heading1"/>
      </w:pPr>
      <w:r>
        <w:rPr>
          <w:rFonts w:ascii="Arial" w:hAnsi="Arial"/>
          <w:color w:val="1B4F8A"/>
          <w:sz w:val="36"/>
        </w:rPr>
        <w:t>4. Capa 1 — Dirección de Servicios Informáticos Completa</w:t>
      </w:r>
    </w:p>
    <w:p>
      <w:pPr>
        <w:spacing w:before="0" w:after="40"/>
      </w:pPr>
    </w:p>
    <w:tbl>
      <w:tblPr>
        <w:tblW w:type="auto" w:w="0"/>
        <w:jc w:val="left"/>
        <w:tblLook w:firstColumn="1" w:firstRow="1" w:lastColumn="0" w:lastRow="0" w:noHBand="0" w:noVBand="1" w:val="04A0"/>
      </w:tblPr>
      <w:tblGrid>
        <w:gridCol w:w="4680"/>
        <w:gridCol w:w="4680"/>
      </w:tblGrid>
      <w:tr>
        <w:tc>
          <w:tcPr>
            <w:tcW w:type="dxa" w:w="1701"/>
            <w:shd w:val="clear" w:color="auto" w:fill="1B4F8A"/>
            <w:tcBorders>
              <w:top w:val="none" w:sz="0" w:space="0" w:color="auto"/>
              <w:left w:val="none" w:sz="0" w:space="0" w:color="auto"/>
              <w:bottom w:val="none" w:sz="0" w:space="0" w:color="auto"/>
              <w:right w:val="none" w:sz="0" w:space="0" w:color="auto"/>
            </w:tcBorders>
          </w:tcPr>
          <w:p>
            <w:pPr>
              <w:jc w:val="center"/>
            </w:pPr>
            <w:r>
              <w:rPr>
                <w:rFonts w:ascii="Arial" w:hAnsi="Arial"/>
                <w:b/>
                <w:i w:val="0"/>
                <w:color w:val="FFFFFF"/>
                <w:sz w:val="56"/>
              </w:rPr>
              <w:t>1</w:t>
            </w:r>
          </w:p>
          <w:p>
            <w:pPr>
              <w:jc w:val="center"/>
            </w:pPr>
            <w:r>
              <w:rPr>
                <w:rFonts w:ascii="Arial" w:hAnsi="Arial"/>
                <w:b/>
                <w:i w:val="0"/>
                <w:color w:val="D6E4F0"/>
                <w:sz w:val="18"/>
              </w:rPr>
              <w:t>CAPA</w:t>
            </w:r>
          </w:p>
        </w:tc>
        <w:tc>
          <w:tcPr>
            <w:tcW w:type="dxa" w:w="4680"/>
            <w:shd w:val="clear" w:color="auto" w:fill="D6E4F0"/>
            <w:tcBorders>
              <w:top w:val="none" w:sz="0" w:space="0" w:color="auto"/>
              <w:left w:val="none" w:sz="0" w:space="0" w:color="auto"/>
              <w:bottom w:val="none" w:sz="0" w:space="0" w:color="auto"/>
              <w:right w:val="none" w:sz="0" w:space="0" w:color="auto"/>
            </w:tcBorders>
          </w:tcPr>
          <w:p>
            <w:pPr>
              <w:spacing w:before="120"/>
            </w:pPr>
            <w:r>
              <w:rPr>
                <w:rFonts w:ascii="Arial" w:hAnsi="Arial"/>
                <w:b/>
                <w:i w:val="0"/>
                <w:color w:val="1B4F8A"/>
                <w:sz w:val="30"/>
              </w:rPr>
              <w:t>Dirección de Servicios Informáticos Completa</w:t>
            </w:r>
          </w:p>
          <w:p>
            <w:pPr>
              <w:spacing w:after="120"/>
            </w:pPr>
            <w:r>
              <w:rPr>
                <w:rFonts w:ascii="Arial" w:hAnsi="Arial"/>
                <w:b w:val="0"/>
                <w:i/>
                <w:color w:val="595959"/>
                <w:sz w:val="20"/>
              </w:rPr>
              <w:t>Meses 2-3 — Todo el equipo (10-25 personas)</w:t>
            </w:r>
          </w:p>
        </w:tc>
      </w:tr>
    </w:tbl>
    <w:p>
      <w:pPr>
        <w:spacing w:before="0" w:after="40"/>
      </w:pPr>
    </w:p>
    <w:p>
      <w:pPr>
        <w:pStyle w:val="Heading2"/>
      </w:pPr>
      <w:r>
        <w:rPr>
          <w:rFonts w:ascii="Arial" w:hAnsi="Arial"/>
          <w:color w:val="2E75B6"/>
          <w:sz w:val="28"/>
        </w:rPr>
        <w:t>Descripción</w:t>
      </w:r>
    </w:p>
    <w:p>
      <w:pPr>
        <w:spacing w:before="0" w:after="120"/>
      </w:pPr>
      <w:r>
        <w:rPr>
          <w:rFonts w:ascii="Arial" w:hAnsi="Arial"/>
          <w:b w:val="0"/>
          <w:i w:val="0"/>
          <w:sz w:val="22"/>
        </w:rPr>
        <w:t>Los 3 Champions lideran la transferencia a todo el equipo de la Dirección. El Director actúa como patrocinador y escalador, no como facilitador principal.</w:t>
      </w:r>
    </w:p>
    <w:p>
      <w:pPr>
        <w:pStyle w:val="Heading2"/>
      </w:pPr>
      <w:r>
        <w:rPr>
          <w:rFonts w:ascii="Arial" w:hAnsi="Arial"/>
          <w:color w:val="2E75B6"/>
          <w:sz w:val="28"/>
        </w:rPr>
        <w:t>Prerrequisitos de entrada</w:t>
      </w:r>
    </w:p>
    <w:p>
      <w:pPr>
        <w:pStyle w:val="ListBullet"/>
        <w:spacing w:before="40" w:after="40"/>
        <w:ind w:left="340"/>
      </w:pPr>
      <w:r>
        <w:rPr>
          <w:rFonts w:ascii="Arial" w:hAnsi="Arial"/>
          <w:sz w:val="21"/>
        </w:rPr>
        <w:t>Los 3 Champions han completado el Piloto y presentado su Demo Day.</w:t>
      </w:r>
    </w:p>
    <w:p>
      <w:pPr>
        <w:pStyle w:val="ListBullet"/>
        <w:spacing w:before="40" w:after="40"/>
        <w:ind w:left="340"/>
      </w:pPr>
      <w:r>
        <w:rPr>
          <w:rFonts w:ascii="Arial" w:hAnsi="Arial"/>
          <w:sz w:val="21"/>
        </w:rPr>
        <w:t>Existe al menos 1 agente funcional por área.</w:t>
      </w:r>
    </w:p>
    <w:p>
      <w:pPr>
        <w:pStyle w:val="ListBullet"/>
        <w:spacing w:before="40" w:after="40"/>
        <w:ind w:left="340"/>
      </w:pPr>
      <w:r>
        <w:rPr>
          <w:rFonts w:ascii="Arial" w:hAnsi="Arial"/>
          <w:sz w:val="21"/>
        </w:rPr>
        <w:t>Cada Champion tiene listo su plan de transferencia.</w:t>
      </w:r>
    </w:p>
    <w:p>
      <w:pPr>
        <w:pStyle w:val="ListBullet"/>
        <w:spacing w:before="40" w:after="40"/>
        <w:ind w:left="340"/>
      </w:pPr>
      <w:r>
        <w:rPr>
          <w:rFonts w:ascii="Arial" w:hAnsi="Arial"/>
          <w:sz w:val="21"/>
        </w:rPr>
        <w:t>El Director ha aplicado el cuestionario de baseline al equipo completo (Anexo A).</w:t>
      </w:r>
    </w:p>
    <w:p>
      <w:pPr>
        <w:spacing w:before="0" w:after="40"/>
      </w:pPr>
    </w:p>
    <w:p>
      <w:pPr>
        <w:pStyle w:val="Heading2"/>
      </w:pPr>
      <w:r>
        <w:rPr>
          <w:rFonts w:ascii="Arial" w:hAnsi="Arial"/>
          <w:color w:val="2E75B6"/>
          <w:sz w:val="28"/>
        </w:rPr>
        <w:t>Estructura de la escalada (8 semanas)</w:t>
      </w:r>
    </w:p>
    <w:tbl>
      <w:tblPr>
        <w:tblStyle w:val="TableGrid"/>
        <w:tblW w:type="auto" w:w="0"/>
        <w:tblLook w:firstColumn="1" w:firstRow="1" w:lastColumn="0" w:lastRow="0" w:noHBand="0" w:noVBand="1" w:val="04A0"/>
      </w:tblPr>
      <w:tblGrid>
        <w:gridCol w:w="4680"/>
        <w:gridCol w:w="4680"/>
      </w:tblGrid>
      <w:tr>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Período</w:t>
            </w:r>
          </w:p>
        </w:tc>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Actividad</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Semanas 5-6</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Champions hacen el Demo Day a sus áreas. El equipo completo realiza el diagnóstico baseline.</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Semanas 7-8</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Sesiones de nivelación por área. Los Champions facilitan, el Director respalda.</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Semanas 9-10</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Cada miembro identifica y trabaja su propio caso de uso. Soporte semanal del Champion.</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Semanas 11-12</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Sesión plenaria: todos comparten casos de uso. Se construye el Catálogo inicial de Soluciones IA.</w:t>
            </w:r>
          </w:p>
        </w:tc>
      </w:tr>
    </w:tbl>
    <w:p>
      <w:pPr>
        <w:spacing w:before="0" w:after="40"/>
      </w:pPr>
    </w:p>
    <w:p>
      <w:pPr>
        <w:pStyle w:val="Heading2"/>
      </w:pPr>
      <w:r>
        <w:rPr>
          <w:rFonts w:ascii="Arial" w:hAnsi="Arial"/>
          <w:color w:val="2E75B6"/>
          <w:sz w:val="28"/>
        </w:rPr>
        <w:t>Métricas de éxito de la Capa 1</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Métrica</w:t>
            </w:r>
          </w:p>
        </w:tc>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Indicador</w:t>
            </w:r>
          </w:p>
        </w:tc>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Meta</w:t>
            </w:r>
          </w:p>
        </w:tc>
      </w:tr>
      <w:tr>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Cobertura</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 del equipo con al menos 1 caso de uso propio</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 80% del equipo</w:t>
            </w:r>
          </w:p>
        </w:tc>
      </w:tr>
      <w:tr>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Profundidad</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Número de agentes en el catálogo institucional</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 5 agentes</w:t>
            </w:r>
          </w:p>
        </w:tc>
      </w:tr>
      <w:tr>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Autonomía</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Miembros que configuran Hermes sin ayuda</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 60%</w:t>
            </w:r>
          </w:p>
        </w:tc>
      </w:tr>
      <w:tr>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Champions</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Calidad de facilitación evaluada por el equipo</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 7/10</w:t>
            </w:r>
          </w:p>
        </w:tc>
      </w:tr>
    </w:tbl>
    <w:p>
      <w:r>
        <w:br w:type="page"/>
      </w:r>
    </w:p>
    <w:p>
      <w:pPr>
        <w:pStyle w:val="Heading1"/>
      </w:pPr>
      <w:r>
        <w:rPr>
          <w:rFonts w:ascii="Arial" w:hAnsi="Arial"/>
          <w:color w:val="1B4F8A"/>
          <w:sz w:val="36"/>
        </w:rPr>
        <w:t>5. Capa 2 — Otras Unidades de Negocio de la UJMD</w:t>
      </w:r>
    </w:p>
    <w:p>
      <w:pPr>
        <w:spacing w:before="0" w:after="40"/>
      </w:pPr>
    </w:p>
    <w:tbl>
      <w:tblPr>
        <w:tblW w:type="auto" w:w="0"/>
        <w:jc w:val="left"/>
        <w:tblLook w:firstColumn="1" w:firstRow="1" w:lastColumn="0" w:lastRow="0" w:noHBand="0" w:noVBand="1" w:val="04A0"/>
      </w:tblPr>
      <w:tblGrid>
        <w:gridCol w:w="4680"/>
        <w:gridCol w:w="4680"/>
      </w:tblGrid>
      <w:tr>
        <w:tc>
          <w:tcPr>
            <w:tcW w:type="dxa" w:w="1701"/>
            <w:shd w:val="clear" w:color="auto" w:fill="375623"/>
            <w:tcBorders>
              <w:top w:val="none" w:sz="0" w:space="0" w:color="auto"/>
              <w:left w:val="none" w:sz="0" w:space="0" w:color="auto"/>
              <w:bottom w:val="none" w:sz="0" w:space="0" w:color="auto"/>
              <w:right w:val="none" w:sz="0" w:space="0" w:color="auto"/>
            </w:tcBorders>
          </w:tcPr>
          <w:p>
            <w:pPr>
              <w:jc w:val="center"/>
            </w:pPr>
            <w:r>
              <w:rPr>
                <w:rFonts w:ascii="Arial" w:hAnsi="Arial"/>
                <w:b/>
                <w:i w:val="0"/>
                <w:color w:val="FFFFFF"/>
                <w:sz w:val="56"/>
              </w:rPr>
              <w:t>2</w:t>
            </w:r>
          </w:p>
          <w:p>
            <w:pPr>
              <w:jc w:val="center"/>
            </w:pPr>
            <w:r>
              <w:rPr>
                <w:rFonts w:ascii="Arial" w:hAnsi="Arial"/>
                <w:b/>
                <w:i w:val="0"/>
                <w:color w:val="D6E4F0"/>
                <w:sz w:val="18"/>
              </w:rPr>
              <w:t>CAPA</w:t>
            </w:r>
          </w:p>
        </w:tc>
        <w:tc>
          <w:tcPr>
            <w:tcW w:type="dxa" w:w="4680"/>
            <w:shd w:val="clear" w:color="auto" w:fill="D6E4F0"/>
            <w:tcBorders>
              <w:top w:val="none" w:sz="0" w:space="0" w:color="auto"/>
              <w:left w:val="none" w:sz="0" w:space="0" w:color="auto"/>
              <w:bottom w:val="none" w:sz="0" w:space="0" w:color="auto"/>
              <w:right w:val="none" w:sz="0" w:space="0" w:color="auto"/>
            </w:tcBorders>
          </w:tcPr>
          <w:p>
            <w:pPr>
              <w:spacing w:before="120"/>
            </w:pPr>
            <w:r>
              <w:rPr>
                <w:rFonts w:ascii="Arial" w:hAnsi="Arial"/>
                <w:b/>
                <w:i w:val="0"/>
                <w:color w:val="375623"/>
                <w:sz w:val="30"/>
              </w:rPr>
              <w:t>Otras Unidades de Negocio</w:t>
            </w:r>
          </w:p>
          <w:p>
            <w:pPr>
              <w:spacing w:after="120"/>
            </w:pPr>
            <w:r>
              <w:rPr>
                <w:rFonts w:ascii="Arial" w:hAnsi="Arial"/>
                <w:b w:val="0"/>
                <w:i/>
                <w:color w:val="595959"/>
                <w:sz w:val="20"/>
              </w:rPr>
              <w:t>Meses 4-8 — Escalada fuera de la Dirección de Informática</w:t>
            </w:r>
          </w:p>
        </w:tc>
      </w:tr>
    </w:tbl>
    <w:p>
      <w:pPr>
        <w:spacing w:before="0" w:after="40"/>
      </w:pPr>
    </w:p>
    <w:p>
      <w:pPr>
        <w:pStyle w:val="Heading2"/>
      </w:pPr>
      <w:r>
        <w:rPr>
          <w:rFonts w:ascii="Arial" w:hAnsi="Arial"/>
          <w:color w:val="2E75B6"/>
          <w:sz w:val="28"/>
        </w:rPr>
        <w:t>Descripción</w:t>
      </w:r>
    </w:p>
    <w:p>
      <w:pPr>
        <w:spacing w:before="0" w:after="120"/>
      </w:pPr>
      <w:r>
        <w:rPr>
          <w:rFonts w:ascii="Arial" w:hAnsi="Arial"/>
          <w:b w:val="0"/>
          <w:i w:val="0"/>
          <w:sz w:val="22"/>
        </w:rPr>
        <w:t>La Dirección de Servicios Informáticos exporta el modelo a otras unidades (Registro Académico, Biblioteca, Bienestar Universitario, Administración, etc.). Cada unidad replica el ciclo Champion → Demo Day → escalada interna.</w:t>
      </w:r>
    </w:p>
    <w:p>
      <w:pPr>
        <w:pStyle w:val="Heading2"/>
      </w:pPr>
      <w:r>
        <w:rPr>
          <w:rFonts w:ascii="Arial" w:hAnsi="Arial"/>
          <w:color w:val="2E75B6"/>
          <w:sz w:val="28"/>
        </w:rPr>
        <w:t>Adaptaciones clave para unidades no-técnicas</w:t>
      </w:r>
    </w:p>
    <w:tbl>
      <w:tblPr>
        <w:tblW w:type="auto" w:w="0"/>
        <w:jc w:val="left"/>
        <w:tblLook w:firstColumn="1" w:firstRow="1" w:lastColumn="0" w:lastRow="0" w:noHBand="0" w:noVBand="1" w:val="04A0"/>
      </w:tblPr>
      <w:tblGrid>
        <w:gridCol w:w="9360"/>
      </w:tblGrid>
      <w:tr>
        <w:tc>
          <w:tcPr>
            <w:tcW w:type="dxa" w:w="9360"/>
            <w:shd w:val="clear" w:color="auto" w:fill="375623"/>
            <w:tcBorders>
              <w:top w:val="none" w:sz="0" w:space="0" w:color="auto"/>
              <w:left w:val="none" w:sz="0" w:space="0" w:color="auto"/>
              <w:bottom w:val="none" w:sz="0" w:space="0" w:color="auto"/>
              <w:right w:val="none" w:sz="0" w:space="0" w:color="auto"/>
            </w:tcBorders>
          </w:tcPr>
          <w:p>
            <w:pPr>
              <w:spacing w:before="80" w:after="80"/>
            </w:pPr>
            <w:r>
              <w:rPr>
                <w:rFonts w:ascii="Arial" w:hAnsi="Arial"/>
                <w:b/>
                <w:i w:val="0"/>
                <w:color w:val="FFFFFF"/>
                <w:sz w:val="22"/>
              </w:rPr>
              <w:t>Diferencias importantes respecto a la Capa 0:</w:t>
            </w:r>
          </w:p>
        </w:tc>
      </w:tr>
      <w:tr>
        <w:tc>
          <w:tcPr>
            <w:tcW w:type="dxa" w:w="9360"/>
            <w:shd w:val="clear" w:color="auto" w:fill="E2EFDA"/>
            <w:tcBorders>
              <w:top w:val="none" w:sz="0" w:space="0" w:color="auto"/>
              <w:left w:val="none" w:sz="0" w:space="0" w:color="auto"/>
              <w:bottom w:val="none" w:sz="0" w:space="0" w:color="auto"/>
              <w:right w:val="none" w:sz="0" w:space="0" w:color="auto"/>
            </w:tcBorders>
          </w:tcPr>
          <w:p>
            <w:pPr>
              <w:spacing w:before="40" w:after="40"/>
            </w:pPr>
            <w:r>
              <w:rPr>
                <w:rFonts w:ascii="Arial" w:hAnsi="Arial"/>
                <w:b w:val="0"/>
                <w:i w:val="0"/>
                <w:sz w:val="21"/>
              </w:rPr>
              <w:t>• Herramientas: priorizar herramientas no-code (Claude, Copilot) para los primeros pasos. Hermes en segundo plano.</w:t>
            </w:r>
          </w:p>
          <w:p>
            <w:pPr>
              <w:spacing w:before="40" w:after="40"/>
            </w:pPr>
            <w:r>
              <w:rPr>
                <w:rFonts w:ascii="Arial" w:hAnsi="Arial"/>
                <w:b w:val="0"/>
                <w:i w:val="0"/>
                <w:sz w:val="21"/>
              </w:rPr>
              <w:t>• Casos de uso: automatización administrativa, generación de documentos, análisis de datos simples.</w:t>
            </w:r>
          </w:p>
          <w:p>
            <w:pPr>
              <w:spacing w:before="40" w:after="40"/>
            </w:pPr>
            <w:r>
              <w:rPr>
                <w:rFonts w:ascii="Arial" w:hAnsi="Arial"/>
                <w:b w:val="0"/>
                <w:i w:val="0"/>
                <w:sz w:val="21"/>
              </w:rPr>
              <w:t>• Facilitadores: Champion IT como embed técnico las primeras 2 semanas; luego el Champion de la unidad toma el liderazgo.</w:t>
            </w:r>
          </w:p>
        </w:tc>
      </w:tr>
    </w:tbl>
    <w:p>
      <w:pPr>
        <w:spacing w:before="0" w:after="40"/>
      </w:pPr>
    </w:p>
    <w:p>
      <w:pPr>
        <w:pStyle w:val="Heading2"/>
      </w:pPr>
      <w:r>
        <w:rPr>
          <w:rFonts w:ascii="Arial" w:hAnsi="Arial"/>
          <w:color w:val="2E75B6"/>
          <w:sz w:val="28"/>
        </w:rPr>
        <w:t>Proceso de activación de una nueva unidad</w:t>
      </w:r>
    </w:p>
    <w:p>
      <w:pPr>
        <w:pStyle w:val="ListNumber"/>
        <w:spacing w:before="40" w:after="40"/>
      </w:pPr>
      <w:r>
        <w:rPr>
          <w:rFonts w:ascii="Arial" w:hAnsi="Arial"/>
          <w:sz w:val="21"/>
        </w:rPr>
        <w:t>Evaluación de readiness: presentar el programa al jefe de la unidad y evaluar motivación.</w:t>
      </w:r>
    </w:p>
    <w:p>
      <w:pPr>
        <w:pStyle w:val="ListNumber"/>
        <w:spacing w:before="40" w:after="40"/>
      </w:pPr>
      <w:r>
        <w:rPr>
          <w:rFonts w:ascii="Arial" w:hAnsi="Arial"/>
          <w:sz w:val="21"/>
        </w:rPr>
        <w:t>Selección del Champion de unidad: mismos criterios que la Capa 0.</w:t>
      </w:r>
    </w:p>
    <w:p>
      <w:pPr>
        <w:pStyle w:val="ListNumber"/>
        <w:spacing w:before="40" w:after="40"/>
      </w:pPr>
      <w:r>
        <w:rPr>
          <w:rFonts w:ascii="Arial" w:hAnsi="Arial"/>
          <w:sz w:val="21"/>
        </w:rPr>
        <w:t>Champion IT asignado: acompaña durante el primer mes de esa unidad.</w:t>
      </w:r>
    </w:p>
    <w:p>
      <w:pPr>
        <w:pStyle w:val="ListNumber"/>
        <w:spacing w:before="40" w:after="40"/>
      </w:pPr>
      <w:r>
        <w:rPr>
          <w:rFonts w:ascii="Arial" w:hAnsi="Arial"/>
          <w:sz w:val="21"/>
        </w:rPr>
        <w:t>Mes de piloto interno: replicar semanas 1-4 adaptadas al contexto de la unidad.</w:t>
      </w:r>
    </w:p>
    <w:p>
      <w:pPr>
        <w:pStyle w:val="ListNumber"/>
        <w:spacing w:before="40" w:after="40"/>
      </w:pPr>
      <w:r>
        <w:rPr>
          <w:rFonts w:ascii="Arial" w:hAnsi="Arial"/>
          <w:sz w:val="21"/>
        </w:rPr>
        <w:t>Demo Day de unidad: presentación al jefe de área y al Director de Informática.</w:t>
      </w:r>
    </w:p>
    <w:p>
      <w:pPr>
        <w:pStyle w:val="ListNumber"/>
        <w:spacing w:before="40" w:after="40"/>
      </w:pPr>
      <w:r>
        <w:rPr>
          <w:rFonts w:ascii="Arial" w:hAnsi="Arial"/>
          <w:sz w:val="21"/>
        </w:rPr>
        <w:t>Escalada interna: el Champion de la unidad lidera la formación de su equipo.</w:t>
      </w:r>
    </w:p>
    <w:p>
      <w:pPr>
        <w:spacing w:before="0" w:after="40"/>
      </w:pPr>
    </w:p>
    <w:p>
      <w:pPr>
        <w:pStyle w:val="Heading2"/>
      </w:pPr>
      <w:r>
        <w:rPr>
          <w:rFonts w:ascii="Arial" w:hAnsi="Arial"/>
          <w:color w:val="2E75B6"/>
          <w:sz w:val="28"/>
        </w:rPr>
        <w:t>Cronograma de activación</w:t>
      </w:r>
    </w:p>
    <w:tbl>
      <w:tblPr>
        <w:tblStyle w:val="TableGrid"/>
        <w:tblW w:type="auto" w:w="0"/>
        <w:tblLook w:firstColumn="1" w:firstRow="1" w:lastColumn="0" w:lastRow="0" w:noHBand="0" w:noVBand="1" w:val="04A0"/>
      </w:tblPr>
      <w:tblGrid>
        <w:gridCol w:w="4680"/>
        <w:gridCol w:w="4680"/>
      </w:tblGrid>
      <w:tr>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Período</w:t>
            </w:r>
          </w:p>
        </w:tc>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Hito</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 4</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Activar 1ª unidad piloto (la más receptiva)</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 5</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Demo Day 1ª unidad. Iniciar 2ª unidad.</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 6</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Iniciar 3ª unidad. Sistematizar lecciones aprendidas.</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Meses 7-8</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Activar unidades restantes (máx. 2 simultáneas por capacidad de soporte IT)</w:t>
            </w:r>
          </w:p>
        </w:tc>
      </w:tr>
    </w:tbl>
    <w:p>
      <w:r>
        <w:br w:type="page"/>
      </w:r>
    </w:p>
    <w:p>
      <w:pPr>
        <w:pStyle w:val="Heading1"/>
      </w:pPr>
      <w:r>
        <w:rPr>
          <w:rFonts w:ascii="Arial" w:hAnsi="Arial"/>
          <w:color w:val="1B4F8A"/>
          <w:sz w:val="36"/>
        </w:rPr>
        <w:t>6. Capa 3 — Comunidad Académica: Docentes y Estudiantes</w:t>
      </w:r>
    </w:p>
    <w:p>
      <w:pPr>
        <w:spacing w:before="0" w:after="40"/>
      </w:pPr>
    </w:p>
    <w:tbl>
      <w:tblPr>
        <w:tblW w:type="auto" w:w="0"/>
        <w:jc w:val="left"/>
        <w:tblLook w:firstColumn="1" w:firstRow="1" w:lastColumn="0" w:lastRow="0" w:noHBand="0" w:noVBand="1" w:val="04A0"/>
      </w:tblPr>
      <w:tblGrid>
        <w:gridCol w:w="4680"/>
        <w:gridCol w:w="4680"/>
      </w:tblGrid>
      <w:tr>
        <w:tc>
          <w:tcPr>
            <w:tcW w:type="dxa" w:w="1701"/>
            <w:shd w:val="clear" w:color="auto" w:fill="843C0C"/>
            <w:tcBorders>
              <w:top w:val="none" w:sz="0" w:space="0" w:color="auto"/>
              <w:left w:val="none" w:sz="0" w:space="0" w:color="auto"/>
              <w:bottom w:val="none" w:sz="0" w:space="0" w:color="auto"/>
              <w:right w:val="none" w:sz="0" w:space="0" w:color="auto"/>
            </w:tcBorders>
          </w:tcPr>
          <w:p>
            <w:pPr>
              <w:jc w:val="center"/>
            </w:pPr>
            <w:r>
              <w:rPr>
                <w:rFonts w:ascii="Arial" w:hAnsi="Arial"/>
                <w:b/>
                <w:i w:val="0"/>
                <w:color w:val="FFFFFF"/>
                <w:sz w:val="56"/>
              </w:rPr>
              <w:t>3</w:t>
            </w:r>
          </w:p>
          <w:p>
            <w:pPr>
              <w:jc w:val="center"/>
            </w:pPr>
            <w:r>
              <w:rPr>
                <w:rFonts w:ascii="Arial" w:hAnsi="Arial"/>
                <w:b/>
                <w:i w:val="0"/>
                <w:color w:val="D6E4F0"/>
                <w:sz w:val="18"/>
              </w:rPr>
              <w:t>CAPA</w:t>
            </w:r>
          </w:p>
        </w:tc>
        <w:tc>
          <w:tcPr>
            <w:tcW w:type="dxa" w:w="4680"/>
            <w:shd w:val="clear" w:color="auto" w:fill="D6E4F0"/>
            <w:tcBorders>
              <w:top w:val="none" w:sz="0" w:space="0" w:color="auto"/>
              <w:left w:val="none" w:sz="0" w:space="0" w:color="auto"/>
              <w:bottom w:val="none" w:sz="0" w:space="0" w:color="auto"/>
              <w:right w:val="none" w:sz="0" w:space="0" w:color="auto"/>
            </w:tcBorders>
          </w:tcPr>
          <w:p>
            <w:pPr>
              <w:spacing w:before="120"/>
            </w:pPr>
            <w:r>
              <w:rPr>
                <w:rFonts w:ascii="Arial" w:hAnsi="Arial"/>
                <w:b/>
                <w:i w:val="0"/>
                <w:color w:val="843C0C"/>
                <w:sz w:val="30"/>
              </w:rPr>
              <w:t>Comunidad Académica</w:t>
            </w:r>
          </w:p>
          <w:p>
            <w:pPr>
              <w:spacing w:after="120"/>
            </w:pPr>
            <w:r>
              <w:rPr>
                <w:rFonts w:ascii="Arial" w:hAnsi="Arial"/>
                <w:b w:val="0"/>
                <w:i/>
                <w:color w:val="595959"/>
                <w:sz w:val="20"/>
              </w:rPr>
              <w:t>Meses 9-18 — Docentes y Estudiantes de la UJMD</w:t>
            </w:r>
          </w:p>
        </w:tc>
      </w:tr>
    </w:tbl>
    <w:p>
      <w:pPr>
        <w:spacing w:before="0" w:after="40"/>
      </w:pPr>
    </w:p>
    <w:p>
      <w:pPr>
        <w:pStyle w:val="Heading2"/>
      </w:pPr>
      <w:r>
        <w:rPr>
          <w:rFonts w:ascii="Arial" w:hAnsi="Arial"/>
          <w:color w:val="2E75B6"/>
          <w:sz w:val="28"/>
        </w:rPr>
        <w:t>Descripción</w:t>
      </w:r>
    </w:p>
    <w:p>
      <w:pPr>
        <w:spacing w:before="0" w:after="120"/>
      </w:pPr>
      <w:r>
        <w:rPr>
          <w:rFonts w:ascii="Arial" w:hAnsi="Arial"/>
          <w:b w:val="0"/>
          <w:i w:val="0"/>
          <w:sz w:val="22"/>
        </w:rPr>
        <w:t>Esta es la capa de mayor impacto institucional. Integra AI Fluency en el ecosistema educativo de la UJMD, tanto para el cuerpo docente como para los estudiantes. Requiere coordinación con las Direcciones Académicas.</w:t>
      </w:r>
    </w:p>
    <w:p>
      <w:pPr>
        <w:pStyle w:val="Heading2"/>
      </w:pPr>
      <w:r>
        <w:rPr>
          <w:rFonts w:ascii="Arial" w:hAnsi="Arial"/>
          <w:color w:val="2E75B6"/>
          <w:sz w:val="28"/>
        </w:rPr>
        <w:t>Dos sub-tracks paralelos</w:t>
      </w:r>
    </w:p>
    <w:tbl>
      <w:tblPr>
        <w:tblStyle w:val="TableGrid"/>
        <w:tblW w:type="auto" w:w="0"/>
        <w:tblLook w:firstColumn="1" w:firstRow="1" w:lastColumn="0" w:lastRow="0" w:noHBand="0" w:noVBand="1" w:val="04A0"/>
      </w:tblPr>
      <w:tblGrid>
        <w:gridCol w:w="4680"/>
        <w:gridCol w:w="4680"/>
      </w:tblGrid>
      <w:tr>
        <w:tc>
          <w:tcPr>
            <w:tcW w:type="dxa" w:w="4680"/>
            <w:shd w:val="clear" w:color="auto" w:fill="1B4F8A"/>
            <w:tcBorders>
              <w:top w:val="single" w:sz="4" w:space="0" w:color="2E75B6"/>
              <w:left w:val="single" w:sz="4" w:space="0" w:color="2E75B6"/>
              <w:bottom w:val="single" w:sz="4" w:space="0" w:color="2E75B6"/>
              <w:right w:val="single" w:sz="4" w:space="0" w:color="2E75B6"/>
            </w:tcBorders>
          </w:tcPr>
          <w:p>
            <w:pPr>
              <w:spacing w:before="120" w:after="120"/>
              <w:jc w:val="center"/>
            </w:pPr>
            <w:r>
              <w:rPr>
                <w:rFonts w:ascii="Arial" w:hAnsi="Arial"/>
                <w:b/>
                <w:i w:val="0"/>
                <w:color w:val="FFFFFF"/>
                <w:sz w:val="26"/>
              </w:rPr>
              <w:t>TRACK A: Docentes</w:t>
            </w:r>
          </w:p>
        </w:tc>
        <w:tc>
          <w:tcPr>
            <w:tcW w:type="dxa" w:w="4680"/>
            <w:shd w:val="clear" w:color="auto" w:fill="2E75B6"/>
            <w:tcBorders>
              <w:top w:val="single" w:sz="4" w:space="0" w:color="2E75B6"/>
              <w:left w:val="single" w:sz="4" w:space="0" w:color="2E75B6"/>
              <w:bottom w:val="single" w:sz="4" w:space="0" w:color="2E75B6"/>
              <w:right w:val="single" w:sz="4" w:space="0" w:color="2E75B6"/>
            </w:tcBorders>
          </w:tcPr>
          <w:p>
            <w:pPr>
              <w:spacing w:before="120" w:after="120"/>
              <w:jc w:val="center"/>
            </w:pPr>
            <w:r>
              <w:rPr>
                <w:rFonts w:ascii="Arial" w:hAnsi="Arial"/>
                <w:b/>
                <w:i w:val="0"/>
                <w:color w:val="FFFFFF"/>
                <w:sz w:val="26"/>
              </w:rPr>
              <w:t>TRACK B: Estudiantes</w:t>
            </w:r>
          </w:p>
        </w:tc>
      </w:tr>
      <w:tr>
        <w:tc>
          <w:tcPr>
            <w:tcW w:type="dxa" w:w="4680"/>
            <w:shd w:val="clear" w:color="auto" w:fill="FFFFFF"/>
            <w:tcBorders>
              <w:top w:val="single" w:sz="2" w:space="0" w:color="D6E4F0"/>
              <w:left w:val="single" w:sz="2" w:space="0" w:color="D6E4F0"/>
              <w:bottom w:val="single" w:sz="2" w:space="0" w:color="D6E4F0"/>
              <w:right w:val="single" w:sz="2" w:space="0" w:color="D6E4F0"/>
            </w:tcBorders>
          </w:tcPr>
          <w:p/>
          <w:p>
            <w:pPr>
              <w:spacing w:before="40" w:after="40"/>
            </w:pPr>
            <w:r>
              <w:rPr>
                <w:rFonts w:ascii="Arial" w:hAnsi="Arial"/>
                <w:b w:val="0"/>
                <w:i w:val="0"/>
                <w:sz w:val="20"/>
              </w:rPr>
              <w:t>• Foco: IA en preparación de clases, evaluación y diseño curricular</w:t>
            </w:r>
          </w:p>
          <w:p>
            <w:pPr>
              <w:spacing w:before="40" w:after="40"/>
            </w:pPr>
            <w:r>
              <w:rPr>
                <w:rFonts w:ascii="Arial" w:hAnsi="Arial"/>
                <w:b w:val="0"/>
                <w:i w:val="0"/>
                <w:sz w:val="20"/>
              </w:rPr>
              <w:t>• Formato: talleres de 4h cada 2 semanas + proyecto de aula con IA</w:t>
            </w:r>
          </w:p>
          <w:p>
            <w:pPr>
              <w:spacing w:before="40" w:after="40"/>
            </w:pPr>
            <w:r>
              <w:rPr>
                <w:rFonts w:ascii="Arial" w:hAnsi="Arial"/>
                <w:b w:val="0"/>
                <w:i w:val="0"/>
                <w:sz w:val="20"/>
              </w:rPr>
              <w:t>• Facilitador: Champion IT + docente líder por facultad</w:t>
            </w:r>
          </w:p>
          <w:p>
            <w:pPr>
              <w:spacing w:before="40" w:after="40"/>
            </w:pPr>
            <w:r>
              <w:rPr>
                <w:rFonts w:ascii="Arial" w:hAnsi="Arial"/>
                <w:b w:val="0"/>
                <w:i w:val="0"/>
                <w:sz w:val="20"/>
              </w:rPr>
              <w:t>• Duración: 3 meses por cohorte</w:t>
            </w:r>
          </w:p>
        </w:tc>
        <w:tc>
          <w:tcPr>
            <w:tcW w:type="dxa" w:w="4680"/>
            <w:shd w:val="clear" w:color="auto" w:fill="EBF4FB"/>
            <w:tcBorders>
              <w:top w:val="single" w:sz="2" w:space="0" w:color="D6E4F0"/>
              <w:left w:val="single" w:sz="2" w:space="0" w:color="D6E4F0"/>
              <w:bottom w:val="single" w:sz="2" w:space="0" w:color="D6E4F0"/>
              <w:right w:val="single" w:sz="2" w:space="0" w:color="D6E4F0"/>
            </w:tcBorders>
          </w:tcPr>
          <w:p/>
          <w:p>
            <w:pPr>
              <w:spacing w:before="40" w:after="40"/>
            </w:pPr>
            <w:r>
              <w:rPr>
                <w:rFonts w:ascii="Arial" w:hAnsi="Arial"/>
                <w:b w:val="0"/>
                <w:i w:val="0"/>
                <w:sz w:val="20"/>
              </w:rPr>
              <w:t>• Foco: IA como herramienta de aprendizaje, productividad y empleabilidad</w:t>
            </w:r>
          </w:p>
          <w:p>
            <w:pPr>
              <w:spacing w:before="40" w:after="40"/>
            </w:pPr>
            <w:r>
              <w:rPr>
                <w:rFonts w:ascii="Arial" w:hAnsi="Arial"/>
                <w:b w:val="0"/>
                <w:i w:val="0"/>
                <w:sz w:val="20"/>
              </w:rPr>
              <w:t>• Formato: integración curricular + electiva de AI Fluency</w:t>
            </w:r>
          </w:p>
          <w:p>
            <w:pPr>
              <w:spacing w:before="40" w:after="40"/>
            </w:pPr>
            <w:r>
              <w:rPr>
                <w:rFonts w:ascii="Arial" w:hAnsi="Arial"/>
                <w:b w:val="0"/>
                <w:i w:val="0"/>
                <w:sz w:val="20"/>
              </w:rPr>
              <w:t>• Facilitador: Docente AI (formado en Track A) + soporte IT</w:t>
            </w:r>
          </w:p>
          <w:p>
            <w:pPr>
              <w:spacing w:before="40" w:after="40"/>
            </w:pPr>
            <w:r>
              <w:rPr>
                <w:rFonts w:ascii="Arial" w:hAnsi="Arial"/>
                <w:b w:val="0"/>
                <w:i w:val="0"/>
                <w:sz w:val="20"/>
              </w:rPr>
              <w:t>• Duración: semestral</w:t>
            </w:r>
          </w:p>
        </w:tc>
      </w:tr>
    </w:tbl>
    <w:p>
      <w:pPr>
        <w:spacing w:before="0" w:after="40"/>
      </w:pPr>
    </w:p>
    <w:p>
      <w:pPr>
        <w:pStyle w:val="Heading2"/>
      </w:pPr>
      <w:r>
        <w:rPr>
          <w:rFonts w:ascii="Arial" w:hAnsi="Arial"/>
          <w:color w:val="2E75B6"/>
          <w:sz w:val="28"/>
        </w:rPr>
        <w:t>Cronograma de la Capa 3</w:t>
      </w:r>
    </w:p>
    <w:tbl>
      <w:tblPr>
        <w:tblStyle w:val="TableGrid"/>
        <w:tblW w:type="auto" w:w="0"/>
        <w:tblLook w:firstColumn="1" w:firstRow="1" w:lastColumn="0" w:lastRow="0" w:noHBand="0" w:noVBand="1" w:val="04A0"/>
      </w:tblPr>
      <w:tblGrid>
        <w:gridCol w:w="4680"/>
        <w:gridCol w:w="4680"/>
      </w:tblGrid>
      <w:tr>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Período</w:t>
            </w:r>
          </w:p>
        </w:tc>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Hito</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Meses 9-10</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Lanzamiento Track A: primera cohorte de docentes (facultades más receptivas)</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 11</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Los primeros docentes certificados diseñan sus proyectos de aula con IA</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 12</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Lanzamiento Track B piloto: electiva o proyecto integrador en 1-2 carreras técnicas</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Meses 13-15</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Segunda cohorte docentes (Track A). Expansión Track B a más asignaturas.</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Meses 16-18</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Evaluación de impacto académico. Decisión institucional sobre integración permanente.</w:t>
            </w:r>
          </w:p>
        </w:tc>
      </w:tr>
    </w:tbl>
    <w:p>
      <w:r>
        <w:br w:type="page"/>
      </w:r>
    </w:p>
    <w:p>
      <w:pPr>
        <w:pStyle w:val="Heading1"/>
      </w:pPr>
      <w:r>
        <w:rPr>
          <w:rFonts w:ascii="Arial" w:hAnsi="Arial"/>
          <w:color w:val="1B4F8A"/>
          <w:sz w:val="36"/>
        </w:rPr>
        <w:t>7. Gobernanza y Mejora Continua</w:t>
      </w:r>
    </w:p>
    <w:p>
      <w:pPr>
        <w:pStyle w:val="Heading2"/>
      </w:pPr>
      <w:r>
        <w:rPr>
          <w:rFonts w:ascii="Arial" w:hAnsi="Arial"/>
          <w:color w:val="2E75B6"/>
          <w:sz w:val="28"/>
        </w:rPr>
        <w:t>Estructura de gobernanza</w:t>
      </w:r>
    </w:p>
    <w:tbl>
      <w:tblPr>
        <w:tblStyle w:val="TableGrid"/>
        <w:tblW w:type="auto" w:w="0"/>
        <w:tblLook w:firstColumn="1" w:firstRow="1" w:lastColumn="0" w:lastRow="0" w:noHBand="0" w:noVBand="1" w:val="04A0"/>
      </w:tblPr>
      <w:tblGrid>
        <w:gridCol w:w="4680"/>
        <w:gridCol w:w="4680"/>
      </w:tblGrid>
      <w:tr>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Rol</w:t>
            </w:r>
          </w:p>
        </w:tc>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Responsabilidad</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Director de Servicios Informáticos</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Patrocinador ejecutivo. Decisiones estratégicas y desbloqueo de recursos.</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Champions IT (3)</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Facilitadores principales de Capas 0 y 1. Embeds técnicos en Capa 2.</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Champions de Unidad</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Lideran la Capa 2 en su unidad. Reportan avance mensualmente al Director IT.</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Docentes AI (Track A)</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Facilitan la Capa 3 Track B en sus asignaturas.</w:t>
            </w:r>
          </w:p>
        </w:tc>
      </w:tr>
    </w:tbl>
    <w:p>
      <w:pPr>
        <w:spacing w:before="0" w:after="40"/>
      </w:pPr>
    </w:p>
    <w:p>
      <w:pPr>
        <w:pStyle w:val="Heading2"/>
      </w:pPr>
      <w:r>
        <w:rPr>
          <w:rFonts w:ascii="Arial" w:hAnsi="Arial"/>
          <w:color w:val="2E75B6"/>
          <w:sz w:val="28"/>
        </w:rPr>
        <w:t>Gestión de riesgos transversales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Riesgo</w:t>
            </w:r>
          </w:p>
        </w:tc>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Probabilidad</w:t>
            </w:r>
          </w:p>
        </w:tc>
        <w:tc>
          <w:tcPr>
            <w:tcW w:type="dxa" w:w="312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Mitigación</w:t>
            </w:r>
          </w:p>
        </w:tc>
      </w:tr>
      <w:tr>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Champions pierden motivación o tiempo</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Alta</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Acordar dedicación explícita (2h/semana). Reconocimiento formal en evaluación de desempeño.</w:t>
            </w:r>
          </w:p>
        </w:tc>
      </w:tr>
      <w:tr>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Brecha técnica bloquea a perfiles no-IT</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Media</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Empezar con herramientas no-code. Hermes Agent a partir de la semana 3.</w:t>
            </w:r>
          </w:p>
        </w:tc>
      </w:tr>
      <w:tr>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Resistencia al cambio en unidades</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Media</w:t>
            </w:r>
          </w:p>
        </w:tc>
        <w:tc>
          <w:tcPr>
            <w:tcW w:type="dxa" w:w="312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Asegurarse del aval del jefe de unidad antes de comenzar.</w:t>
            </w:r>
          </w:p>
        </w:tc>
      </w:tr>
      <w:tr>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Programa se estanca después del piloto</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Alta</w:t>
            </w:r>
          </w:p>
        </w:tc>
        <w:tc>
          <w:tcPr>
            <w:tcW w:type="dxa" w:w="312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Canal activo + Demo Days visibles + métricas compartidas con toda la Dirección.</w:t>
            </w:r>
          </w:p>
        </w:tc>
      </w:tr>
    </w:tbl>
    <w:p>
      <w:r>
        <w:br w:type="page"/>
      </w:r>
    </w:p>
    <w:p>
      <w:pPr>
        <w:pStyle w:val="Heading1"/>
      </w:pPr>
      <w:r>
        <w:rPr>
          <w:rFonts w:ascii="Arial" w:hAnsi="Arial"/>
          <w:color w:val="1B4F8A"/>
          <w:sz w:val="36"/>
        </w:rPr>
        <w:t>8. Anexos y Recursos Reutilizables</w:t>
      </w:r>
    </w:p>
    <w:p>
      <w:pPr>
        <w:pStyle w:val="Heading2"/>
      </w:pPr>
      <w:r>
        <w:rPr>
          <w:rFonts w:ascii="Arial" w:hAnsi="Arial"/>
          <w:color w:val="2E75B6"/>
          <w:sz w:val="28"/>
        </w:rPr>
        <w:t>Anexo A — Cuestionario de Baseline / Cierre</w:t>
      </w:r>
    </w:p>
    <w:p>
      <w:pPr>
        <w:spacing w:before="0" w:after="120"/>
      </w:pPr>
      <w:r>
        <w:rPr>
          <w:rFonts w:ascii="Arial" w:hAnsi="Arial"/>
          <w:b w:val="0"/>
          <w:i w:val="0"/>
          <w:sz w:val="22"/>
        </w:rPr>
        <w:t>Aplicar antes de iniciar cualquier Capa y al finalizar, para medir progreso. Escala 1-5.</w:t>
      </w:r>
    </w:p>
    <w:p>
      <w:pPr>
        <w:spacing w:before="0" w:after="40"/>
      </w:pPr>
    </w:p>
    <w:tbl>
      <w:tblPr>
        <w:tblStyle w:val="TableGrid"/>
        <w:tblW w:type="auto" w:w="0"/>
        <w:tblLook w:firstColumn="1" w:firstRow="1" w:lastColumn="0" w:lastRow="0" w:noHBand="0" w:noVBand="1" w:val="04A0"/>
      </w:tblPr>
      <w:tblGrid>
        <w:gridCol w:w="4680"/>
        <w:gridCol w:w="4680"/>
      </w:tblGrid>
      <w:tr>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Pregunta</w:t>
            </w:r>
          </w:p>
        </w:tc>
        <w:tc>
          <w:tcPr>
            <w:tcW w:type="dxa" w:w="4680"/>
            <w:shd w:val="clear" w:color="auto" w:fill="1B4F8A"/>
            <w:tcBorders>
              <w:top w:val="single" w:sz="4" w:space="0" w:color="1B4F8A"/>
              <w:left w:val="single" w:sz="4" w:space="0" w:color="1B4F8A"/>
              <w:bottom w:val="single" w:sz="4" w:space="0" w:color="1B4F8A"/>
              <w:right w:val="single" w:sz="4" w:space="0" w:color="1B4F8A"/>
            </w:tcBorders>
          </w:tcPr>
          <w:p>
            <w:r>
              <w:rPr>
                <w:rFonts w:ascii="Arial" w:hAnsi="Arial"/>
                <w:b/>
                <w:i w:val="0"/>
                <w:color w:val="FFFFFF"/>
                <w:sz w:val="20"/>
              </w:rPr>
              <w:t>Escala / Tipo</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 ¿Con qué frecuencia usas herramientas de IA en tu trabajo?</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 (Nunca) — 5 (Diariamente)</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2. ¿Puedes describir qué es un agente de IA y para qué sirve?</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 (No idea) — 5 (Lo puedo enseñar)</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3. ¿Has automatizado alguna tarea de tu trabajo con IA?</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 (No) — 5 (Sí, varias)</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4. ¿Te sientes cómodo probando nuevas herramientas de IA?</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 (Para nada) — 5 (Totalmente)</w:t>
            </w:r>
          </w:p>
        </w:tc>
      </w:tr>
      <w:tr>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5. ¿Puedes construir un prompt efectivo para tu contexto?</w:t>
            </w:r>
          </w:p>
        </w:tc>
        <w:tc>
          <w:tcPr>
            <w:tcW w:type="dxa" w:w="4680"/>
            <w:shd w:val="clear" w:color="auto" w:fill="FFFFFF"/>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1 (No sé qué es un prompt) — 5 (Sí, y lo optimizo)</w:t>
            </w:r>
          </w:p>
        </w:tc>
      </w:tr>
      <w:tr>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6. ¿Qué te impide usar IA más en tu trabajo hoy?</w:t>
            </w:r>
          </w:p>
        </w:tc>
        <w:tc>
          <w:tcPr>
            <w:tcW w:type="dxa" w:w="4680"/>
            <w:shd w:val="clear" w:color="auto" w:fill="F2F2F2"/>
            <w:tcBorders>
              <w:top w:val="single" w:sz="4" w:space="0" w:color="4472C4"/>
              <w:left w:val="single" w:sz="4" w:space="0" w:color="4472C4"/>
              <w:bottom w:val="single" w:sz="4" w:space="0" w:color="4472C4"/>
              <w:right w:val="single" w:sz="4" w:space="0" w:color="4472C4"/>
            </w:tcBorders>
          </w:tcPr>
          <w:p>
            <w:r>
              <w:rPr>
                <w:rFonts w:ascii="Arial" w:hAnsi="Arial"/>
                <w:b w:val="0"/>
                <w:i w:val="0"/>
                <w:sz w:val="20"/>
              </w:rPr>
              <w:t>Respuesta abierta</w:t>
            </w:r>
          </w:p>
        </w:tc>
      </w:tr>
    </w:tbl>
    <w:p>
      <w:pPr>
        <w:spacing w:before="0" w:after="40"/>
      </w:pPr>
    </w:p>
    <w:p>
      <w:pPr>
        <w:pStyle w:val="Heading2"/>
      </w:pPr>
      <w:r>
        <w:rPr>
          <w:rFonts w:ascii="Arial" w:hAnsi="Arial"/>
          <w:color w:val="2E75B6"/>
          <w:sz w:val="28"/>
        </w:rPr>
        <w:t>Anexo B — Criterios de Certificación AI Fluency UJMD</w:t>
      </w:r>
    </w:p>
    <w:p>
      <w:pPr>
        <w:spacing w:before="0" w:after="120"/>
      </w:pPr>
      <w:r>
        <w:rPr>
          <w:rFonts w:ascii="Arial" w:hAnsi="Arial"/>
          <w:b/>
          <w:i w:val="0"/>
          <w:sz w:val="22"/>
        </w:rPr>
        <w:t>Nivel 1 — AI User (completar Capa 0 o Capa 1):</w:t>
      </w:r>
    </w:p>
    <w:p>
      <w:pPr>
        <w:pStyle w:val="ListBullet"/>
        <w:spacing w:before="40" w:after="40"/>
        <w:ind w:left="340"/>
      </w:pPr>
      <w:r>
        <w:rPr>
          <w:rFonts w:ascii="Arial" w:hAnsi="Arial"/>
          <w:sz w:val="21"/>
        </w:rPr>
        <w:t>Usa IA regularmente en al menos 2 tareas semanales.</w:t>
      </w:r>
    </w:p>
    <w:p>
      <w:pPr>
        <w:pStyle w:val="ListBullet"/>
        <w:spacing w:before="40" w:after="40"/>
        <w:ind w:left="340"/>
      </w:pPr>
      <w:r>
        <w:rPr>
          <w:rFonts w:ascii="Arial" w:hAnsi="Arial"/>
          <w:sz w:val="21"/>
        </w:rPr>
        <w:t>Puede construir prompts efectivos para su contexto.</w:t>
      </w:r>
    </w:p>
    <w:p>
      <w:pPr>
        <w:pStyle w:val="ListBullet"/>
        <w:spacing w:before="40" w:after="40"/>
        <w:ind w:left="340"/>
      </w:pPr>
      <w:r>
        <w:rPr>
          <w:rFonts w:ascii="Arial" w:hAnsi="Arial"/>
          <w:sz w:val="21"/>
        </w:rPr>
        <w:t>Comprende qué es un agente y para qué sirve.</w:t>
      </w:r>
    </w:p>
    <w:p>
      <w:pPr>
        <w:spacing w:before="0" w:after="40"/>
      </w:pPr>
    </w:p>
    <w:p>
      <w:pPr>
        <w:spacing w:before="0" w:after="120"/>
      </w:pPr>
      <w:r>
        <w:rPr>
          <w:rFonts w:ascii="Arial" w:hAnsi="Arial"/>
          <w:b/>
          <w:i w:val="0"/>
          <w:sz w:val="22"/>
        </w:rPr>
        <w:t>Nivel 2 — AI Builder (Champion de Capa 1):</w:t>
      </w:r>
    </w:p>
    <w:p>
      <w:pPr>
        <w:pStyle w:val="ListBullet"/>
        <w:spacing w:before="40" w:after="40"/>
        <w:ind w:left="340"/>
      </w:pPr>
      <w:r>
        <w:rPr>
          <w:rFonts w:ascii="Arial" w:hAnsi="Arial"/>
          <w:sz w:val="21"/>
        </w:rPr>
        <w:t>Ha construido al menos 1 agente funcional con Hermes Agent.</w:t>
      </w:r>
    </w:p>
    <w:p>
      <w:pPr>
        <w:pStyle w:val="ListBullet"/>
        <w:spacing w:before="40" w:after="40"/>
        <w:ind w:left="340"/>
      </w:pPr>
      <w:r>
        <w:rPr>
          <w:rFonts w:ascii="Arial" w:hAnsi="Arial"/>
          <w:sz w:val="21"/>
        </w:rPr>
        <w:t>Ha facilitado al menos 1 sesión de formación a colegas.</w:t>
      </w:r>
    </w:p>
    <w:p>
      <w:pPr>
        <w:pStyle w:val="ListBullet"/>
        <w:spacing w:before="40" w:after="40"/>
        <w:ind w:left="340"/>
      </w:pPr>
      <w:r>
        <w:rPr>
          <w:rFonts w:ascii="Arial" w:hAnsi="Arial"/>
          <w:sz w:val="21"/>
        </w:rPr>
        <w:t>Mantiene activa una solución de IA en producción en su área.</w:t>
      </w:r>
    </w:p>
    <w:p>
      <w:pPr>
        <w:spacing w:before="0" w:after="40"/>
      </w:pPr>
    </w:p>
    <w:p>
      <w:pPr>
        <w:spacing w:before="0" w:after="120"/>
      </w:pPr>
      <w:r>
        <w:rPr>
          <w:rFonts w:ascii="Arial" w:hAnsi="Arial"/>
          <w:b/>
          <w:i w:val="0"/>
          <w:sz w:val="22"/>
        </w:rPr>
        <w:t>Nivel 3 — AI Champion (Capa 2 como embed técnico o Capa 3):</w:t>
      </w:r>
    </w:p>
    <w:p>
      <w:pPr>
        <w:pStyle w:val="ListBullet"/>
        <w:spacing w:before="40" w:after="40"/>
        <w:ind w:left="340"/>
      </w:pPr>
      <w:r>
        <w:rPr>
          <w:rFonts w:ascii="Arial" w:hAnsi="Arial"/>
          <w:sz w:val="21"/>
        </w:rPr>
        <w:t>Ha replicado el programa en una unidad externa a IT.</w:t>
      </w:r>
    </w:p>
    <w:p>
      <w:pPr>
        <w:pStyle w:val="ListBullet"/>
        <w:spacing w:before="40" w:after="40"/>
        <w:ind w:left="340"/>
      </w:pPr>
      <w:r>
        <w:rPr>
          <w:rFonts w:ascii="Arial" w:hAnsi="Arial"/>
          <w:sz w:val="21"/>
        </w:rPr>
        <w:t>Tiene un catálogo personal de ≥ 3 agentes documentados.</w:t>
      </w:r>
    </w:p>
    <w:p>
      <w:pPr>
        <w:pStyle w:val="ListBullet"/>
        <w:spacing w:before="40" w:after="40"/>
        <w:ind w:left="340"/>
      </w:pPr>
      <w:r>
        <w:rPr>
          <w:rFonts w:ascii="Arial" w:hAnsi="Arial"/>
          <w:sz w:val="21"/>
        </w:rPr>
        <w:t>Ha formado a al menos 5 personas fuera de la Dirección de Informática.</w:t>
      </w:r>
    </w:p>
    <w:p>
      <w:r>
        <w:br w:type="page"/>
      </w:r>
    </w:p>
    <w:p>
      <w:pPr>
        <w:pStyle w:val="Heading1"/>
      </w:pPr>
      <w:r>
        <w:rPr>
          <w:rFonts w:ascii="Arial" w:hAnsi="Arial"/>
          <w:color w:val="1B4F8A"/>
          <w:sz w:val="36"/>
        </w:rPr>
        <w:t>9. Próximos Pasos Inmediatos</w:t>
      </w:r>
    </w:p>
    <w:tbl>
      <w:tblPr>
        <w:tblW w:type="auto" w:w="0"/>
        <w:jc w:val="left"/>
        <w:tblLook w:firstColumn="1" w:firstRow="1" w:lastColumn="0" w:lastRow="0" w:noHBand="0" w:noVBand="1" w:val="04A0"/>
      </w:tblPr>
      <w:tblGrid>
        <w:gridCol w:w="9360"/>
      </w:tblGrid>
      <w:tr>
        <w:tc>
          <w:tcPr>
            <w:tcW w:type="dxa" w:w="9360"/>
            <w:shd w:val="clear" w:color="auto" w:fill="1B4F8A"/>
            <w:tcBorders>
              <w:top w:val="none" w:sz="0" w:space="0" w:color="auto"/>
              <w:left w:val="none" w:sz="0" w:space="0" w:color="auto"/>
              <w:bottom w:val="none" w:sz="0" w:space="0" w:color="auto"/>
              <w:right w:val="none" w:sz="0" w:space="0" w:color="auto"/>
            </w:tcBorders>
          </w:tcPr>
          <w:p>
            <w:pPr>
              <w:spacing w:before="80" w:after="80"/>
            </w:pPr>
            <w:r>
              <w:rPr>
                <w:rFonts w:ascii="Arial" w:hAnsi="Arial"/>
                <w:b/>
                <w:i w:val="0"/>
                <w:color w:val="FFFFFF"/>
                <w:sz w:val="22"/>
              </w:rPr>
              <w:t>Los 3 pasos concretos para esta semana</w:t>
            </w:r>
          </w:p>
        </w:tc>
      </w:tr>
      <w:tr>
        <w:tc>
          <w:tcPr>
            <w:tcW w:type="dxa" w:w="9360"/>
            <w:shd w:val="clear" w:color="auto" w:fill="EBF4FB"/>
            <w:tcBorders>
              <w:top w:val="none" w:sz="0" w:space="0" w:color="auto"/>
              <w:left w:val="none" w:sz="0" w:space="0" w:color="auto"/>
              <w:bottom w:val="none" w:sz="0" w:space="0" w:color="auto"/>
              <w:right w:val="none" w:sz="0" w:space="0" w:color="auto"/>
            </w:tcBorders>
          </w:tcPr>
          <w:p>
            <w:pPr>
              <w:spacing w:before="80" w:after="80"/>
            </w:pPr>
            <w:r>
              <w:rPr>
                <w:rFonts w:ascii="Arial" w:hAnsi="Arial"/>
                <w:b w:val="0"/>
                <w:i w:val="0"/>
                <w:sz w:val="22"/>
              </w:rPr>
              <w:t>1. Identificar y confirmar a los 3 Champions (uno por área de la Dirección)</w:t>
            </w:r>
          </w:p>
          <w:p>
            <w:pPr>
              <w:spacing w:before="80" w:after="80"/>
            </w:pPr>
            <w:r>
              <w:rPr>
                <w:rFonts w:ascii="Arial" w:hAnsi="Arial"/>
                <w:b w:val="0"/>
                <w:i w:val="0"/>
                <w:sz w:val="22"/>
              </w:rPr>
              <w:t>2. Completar el setup de Hermes Agent en el entorno que usarán durante el piloto</w:t>
            </w:r>
          </w:p>
          <w:p>
            <w:pPr>
              <w:spacing w:before="80" w:after="80"/>
            </w:pPr>
            <w:r>
              <w:rPr>
                <w:rFonts w:ascii="Arial" w:hAnsi="Arial"/>
                <w:b w:val="0"/>
                <w:i w:val="0"/>
                <w:sz w:val="22"/>
              </w:rPr>
              <w:t>3. Aplicar el Cuestionario de Baseline (Anexo A) a los 3 Champions y agendar la Sesión S0</w:t>
            </w:r>
          </w:p>
        </w:tc>
      </w:tr>
    </w:tbl>
    <w:p>
      <w:pPr>
        <w:spacing w:before="0" w:after="40"/>
      </w:pPr>
    </w:p>
    <w:p>
      <w:pPr>
        <w:spacing w:before="0" w:after="40"/>
      </w:pPr>
    </w:p>
    <w:p>
      <w:pPr>
        <w:spacing w:before="0" w:after="40"/>
      </w:pPr>
    </w:p>
    <w:p>
      <w:pPr>
        <w:jc w:val="center"/>
      </w:pPr>
      <w:r>
        <w:rPr>
          <w:rFonts w:ascii="Arial" w:hAnsi="Arial"/>
          <w:b w:val="0"/>
          <w:i/>
          <w:color w:val="595959"/>
          <w:sz w:val="20"/>
        </w:rPr>
        <w:t>AI Fluency Program — UJMD Dirección de Servicios Informáticos</w:t>
      </w:r>
    </w:p>
    <w:p>
      <w:pPr>
        <w:jc w:val="center"/>
      </w:pPr>
      <w:r>
        <w:rPr>
          <w:rFonts w:ascii="Arial" w:hAnsi="Arial"/>
          <w:b w:val="0"/>
          <w:i w:val="0"/>
          <w:color w:val="2E75B6"/>
          <w:sz w:val="18"/>
        </w:rPr>
        <w:t>Playbook v1.0  |  Junio 2026  |  github.com/nousresearch/hermes-agent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