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uujv2gs16l7" w:id="0"/>
      <w:bookmarkEnd w:id="0"/>
      <w:r w:rsidDel="00000000" w:rsidR="00000000" w:rsidRPr="00000000">
        <w:rPr>
          <w:rtl w:val="0"/>
        </w:rPr>
        <w:t xml:space="preserve">Questionnaire for Sr. ML Scientist - Applied Research</w:t>
      </w:r>
    </w:p>
    <w:p w:rsidR="00000000" w:rsidDel="00000000" w:rsidP="00000000" w:rsidRDefault="00000000" w:rsidRPr="00000000" w14:paraId="00000002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rate yourself from 1–5 on each category below, and briefly provide relevant examples (projects, publications, production deployments, etc.).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Deep Learning and Neural Networks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DL Theory and related Mathematics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Research and Development (applied research → prototype → production):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general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Transformer Models Research (e.g., task-specific adaptation, architecture changes, training recipes, fine-tuning, RL tuning, PEFT).: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Large scale distributed training (multi GPU / multi Node)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PyTorch and/or TensorFlow: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NLP (mention languages worked in):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Dataset Preparation and Management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Coding and Development Skills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ML Engineering in the Python Ecosystem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cloud platforms like AWS, GCP etc.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Other programming languages if any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Knowledge of latest trends in modern AI / Deep Learning</w:t>
      </w:r>
    </w:p>
    <w:p w:rsidR="00000000" w:rsidDel="00000000" w:rsidP="00000000" w:rsidRDefault="00000000" w:rsidRPr="00000000" w14:paraId="00000011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briefly share your relevant experience with examples for the following topics.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off-the-shelf models (open-source or proprietary / APIs) including LLMs, SLMs, other foundation models and task-specific models (e.g. OCR). Please also include agentic and RAG systems.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Scale / Size: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Size of datasets used for training and testing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Sizes of models trained or finetuned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Training cluster size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Number of GPUs and nodes for distributed training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comment as applicable if you possess expertise in any of the following areas: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Transfer Learning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Interpretability &amp; Explainability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Continual Learning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Active Learning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Reinforcement Learning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Other modalities: vision, video, audio/speech, robotics, medical, genetics, graphs, time-series, tabular, etc. (specify which)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 Deca">
    <w:embedRegular w:fontKey="{00000000-0000-0000-0000-000000000000}" r:id="rId5" w:subsetted="0"/>
    <w:embedBold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575757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eeff1" w:space="0" w:sz="0" w:val="none"/>
        <w:left w:color="eeeff1" w:space="0" w:sz="0" w:val="none"/>
        <w:bottom w:color="eeeff1" w:space="0" w:sz="0" w:val="none"/>
        <w:right w:color="eeeff1" w:space="0" w:sz="0" w:val="none"/>
        <w:between w:color="eeeff1" w:space="0" w:sz="0" w:val="none"/>
      </w:pBdr>
      <w:shd w:fill="ffffff" w:val="clear"/>
      <w:spacing w:before="600" w:lineRule="auto"/>
    </w:pPr>
    <w:rPr>
      <w:rFonts w:ascii="Lexend Deca" w:cs="Lexend Deca" w:eastAsia="Lexend Deca" w:hAnsi="Lexend Deca"/>
      <w:color w:val="0096f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500" w:lineRule="auto"/>
    </w:pPr>
    <w:rPr>
      <w:rFonts w:ascii="Open Sans SemiBold" w:cs="Open Sans SemiBold" w:eastAsia="Open Sans SemiBold" w:hAnsi="Open Sans SemiBold"/>
      <w:color w:val="003c4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40" w:lineRule="auto"/>
    </w:pPr>
    <w:rPr>
      <w:rFonts w:ascii="Open Sans SemiBold" w:cs="Open Sans SemiBold" w:eastAsia="Open Sans SemiBold" w:hAnsi="Open Sans SemiBold"/>
      <w:sz w:val="29"/>
      <w:szCs w:val="29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before="360" w:lineRule="auto"/>
      <w:jc w:val="both"/>
    </w:pPr>
    <w:rPr>
      <w:rFonts w:ascii="Open Sans SemiBold" w:cs="Open Sans SemiBold" w:eastAsia="Open Sans SemiBold" w:hAnsi="Open Sans SemiBold"/>
      <w:color w:val="003c4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0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ind w:left="720" w:firstLine="0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00" w:lineRule="auto"/>
      <w:ind w:right="1980"/>
    </w:pPr>
    <w:rPr>
      <w:rFonts w:ascii="Lexend Deca" w:cs="Lexend Deca" w:eastAsia="Lexend Deca" w:hAnsi="Lexend Deca"/>
      <w:color w:val="003c46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700" w:lineRule="auto"/>
    </w:pPr>
    <w:rPr>
      <w:color w:val="003c4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LexendDeca-regular.ttf"/><Relationship Id="rId6" Type="http://schemas.openxmlformats.org/officeDocument/2006/relationships/font" Target="fonts/LexendDeca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