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9882" w14:textId="77777777" w:rsidR="004D4A1B" w:rsidRDefault="004D4A1B">
      <w:pPr>
        <w:spacing w:before="1700"/>
      </w:pPr>
    </w:p>
    <w:p w14:paraId="584E8BB7" w14:textId="77777777" w:rsidR="004D4A1B" w:rsidRDefault="00CC7541">
      <w:pPr>
        <w:spacing w:after="80"/>
        <w:jc w:val="center"/>
      </w:pPr>
      <w:r>
        <w:rPr>
          <w:b/>
          <w:bCs/>
          <w:color w:val="2E75B6"/>
          <w:spacing w:val="60"/>
        </w:rPr>
        <w:t xml:space="preserve">SAGE 300 </w:t>
      </w:r>
      <w:proofErr w:type="gramStart"/>
      <w:r>
        <w:rPr>
          <w:b/>
          <w:bCs/>
          <w:color w:val="2E75B6"/>
          <w:spacing w:val="60"/>
        </w:rPr>
        <w:t>ERP  ·</w:t>
      </w:r>
      <w:proofErr w:type="gramEnd"/>
      <w:r>
        <w:rPr>
          <w:b/>
          <w:bCs/>
          <w:color w:val="2E75B6"/>
          <w:spacing w:val="60"/>
        </w:rPr>
        <w:t xml:space="preserve">  INVENTORY CONTROL</w:t>
      </w:r>
    </w:p>
    <w:p w14:paraId="5852D92D" w14:textId="77777777" w:rsidR="004D4A1B" w:rsidRDefault="004D4A1B">
      <w:pPr>
        <w:pBdr>
          <w:bottom w:val="single" w:sz="18" w:space="1" w:color="2E75B6"/>
        </w:pBdr>
        <w:spacing w:before="60" w:after="120"/>
      </w:pPr>
    </w:p>
    <w:p w14:paraId="7D626A30" w14:textId="77777777" w:rsidR="004D4A1B" w:rsidRDefault="00CC7541">
      <w:pPr>
        <w:spacing w:before="200" w:after="60"/>
        <w:jc w:val="center"/>
      </w:pPr>
      <w:r>
        <w:rPr>
          <w:b/>
          <w:bCs/>
          <w:color w:val="1F3864"/>
          <w:sz w:val="72"/>
          <w:szCs w:val="72"/>
        </w:rPr>
        <w:t>Location Transfers</w:t>
      </w:r>
    </w:p>
    <w:p w14:paraId="4390A148" w14:textId="77777777" w:rsidR="004D4A1B" w:rsidRDefault="00CC7541">
      <w:pPr>
        <w:spacing w:after="40"/>
        <w:jc w:val="center"/>
      </w:pPr>
      <w:r>
        <w:rPr>
          <w:color w:val="44546A"/>
          <w:sz w:val="36"/>
          <w:szCs w:val="36"/>
        </w:rPr>
        <w:t>User Guide</w:t>
      </w:r>
    </w:p>
    <w:p w14:paraId="1E882C16" w14:textId="77777777" w:rsidR="004D4A1B" w:rsidRDefault="004D4A1B">
      <w:pPr>
        <w:pBdr>
          <w:bottom w:val="single" w:sz="18" w:space="1" w:color="2E75B6"/>
        </w:pBdr>
        <w:spacing w:before="160" w:after="200"/>
      </w:pPr>
    </w:p>
    <w:p w14:paraId="6910152B" w14:textId="77777777" w:rsidR="004D4A1B" w:rsidRDefault="00CC7541">
      <w:pPr>
        <w:spacing w:before="120" w:after="1000"/>
        <w:jc w:val="center"/>
      </w:pPr>
      <w:r>
        <w:rPr>
          <w:i/>
          <w:iCs/>
          <w:sz w:val="24"/>
          <w:szCs w:val="24"/>
        </w:rPr>
        <w:t>Transferring inventory items between locations (stores / warehouses)</w:t>
      </w:r>
    </w:p>
    <w:tbl>
      <w:tblPr>
        <w:tblW w:w="7200" w:type="dxa"/>
        <w:jc w:val="center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4D4A1B" w14:paraId="2F1A5A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1F386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908EFE9" w14:textId="77777777" w:rsidR="004D4A1B" w:rsidRDefault="00CC7541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4800" w:type="dxa"/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6E87697" w14:textId="77777777" w:rsidR="004D4A1B" w:rsidRDefault="00CC7541">
            <w:r>
              <w:rPr>
                <w:sz w:val="20"/>
                <w:szCs w:val="20"/>
              </w:rPr>
              <w:t>Sage 300 ERP</w:t>
            </w:r>
          </w:p>
        </w:tc>
      </w:tr>
      <w:tr w:rsidR="004D4A1B" w14:paraId="18D98B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1F386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10E733C" w14:textId="77777777" w:rsidR="004D4A1B" w:rsidRDefault="00CC7541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800" w:type="dxa"/>
            <w:shd w:val="clear" w:color="auto" w:fill="EEF2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2678802" w14:textId="77777777" w:rsidR="004D4A1B" w:rsidRDefault="00CC7541">
            <w:r>
              <w:rPr>
                <w:sz w:val="20"/>
                <w:szCs w:val="20"/>
              </w:rPr>
              <w:t xml:space="preserve">Inventory </w:t>
            </w:r>
            <w:proofErr w:type="gramStart"/>
            <w:r>
              <w:rPr>
                <w:sz w:val="20"/>
                <w:szCs w:val="20"/>
              </w:rPr>
              <w:t>Control — I</w:t>
            </w:r>
            <w:proofErr w:type="gramEnd"/>
            <w:r>
              <w:rPr>
                <w:sz w:val="20"/>
                <w:szCs w:val="20"/>
              </w:rPr>
              <w:t>/C Transactions</w:t>
            </w:r>
          </w:p>
        </w:tc>
      </w:tr>
      <w:tr w:rsidR="004D4A1B" w14:paraId="23E255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1F386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DA86DF" w14:textId="77777777" w:rsidR="004D4A1B" w:rsidRDefault="00CC7541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800" w:type="dxa"/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750F8D" w14:textId="77777777" w:rsidR="004D4A1B" w:rsidRDefault="00CC7541">
            <w:r>
              <w:rPr>
                <w:sz w:val="20"/>
                <w:szCs w:val="20"/>
              </w:rPr>
              <w:t>Location Transfers</w:t>
            </w:r>
          </w:p>
        </w:tc>
      </w:tr>
      <w:tr w:rsidR="004D4A1B" w14:paraId="2CFF1F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1F386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CF657E7" w14:textId="77777777" w:rsidR="004D4A1B" w:rsidRDefault="00CC7541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4800" w:type="dxa"/>
            <w:shd w:val="clear" w:color="auto" w:fill="EEF2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1971B4C" w14:textId="77777777" w:rsidR="004D4A1B" w:rsidRDefault="00CC7541">
            <w:r>
              <w:rPr>
                <w:sz w:val="20"/>
                <w:szCs w:val="20"/>
              </w:rPr>
              <w:t>Inventory &amp; Warehouse Users</w:t>
            </w:r>
          </w:p>
        </w:tc>
      </w:tr>
      <w:tr w:rsidR="004D4A1B" w14:paraId="621695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1F386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264A8BB" w14:textId="77777777" w:rsidR="004D4A1B" w:rsidRDefault="00CC7541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00" w:type="dxa"/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AA9E080" w14:textId="77777777" w:rsidR="004D4A1B" w:rsidRDefault="00CC7541">
            <w:r>
              <w:rPr>
                <w:sz w:val="20"/>
                <w:szCs w:val="20"/>
              </w:rPr>
              <w:t>1.0</w:t>
            </w:r>
          </w:p>
        </w:tc>
      </w:tr>
      <w:tr w:rsidR="004D4A1B" w14:paraId="786000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1F3864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649605" w14:textId="77777777" w:rsidR="004D4A1B" w:rsidRDefault="00CC7541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800" w:type="dxa"/>
            <w:shd w:val="clear" w:color="auto" w:fill="EEF2F8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8DBEEAC" w14:textId="77777777" w:rsidR="004D4A1B" w:rsidRDefault="00CC7541">
            <w:r>
              <w:rPr>
                <w:sz w:val="20"/>
                <w:szCs w:val="20"/>
              </w:rPr>
              <w:t>June 2026</w:t>
            </w:r>
          </w:p>
        </w:tc>
      </w:tr>
    </w:tbl>
    <w:p w14:paraId="15FDE597" w14:textId="77777777" w:rsidR="004D4A1B" w:rsidRDefault="00CC7541">
      <w:r>
        <w:br w:type="page"/>
      </w:r>
    </w:p>
    <w:p w14:paraId="485D931E" w14:textId="77777777" w:rsidR="004D4A1B" w:rsidRDefault="00CC7541">
      <w:pPr>
        <w:spacing w:after="200"/>
      </w:pPr>
      <w:r>
        <w:rPr>
          <w:b/>
          <w:bCs/>
          <w:color w:val="1F3864"/>
          <w:sz w:val="36"/>
          <w:szCs w:val="36"/>
        </w:rPr>
        <w:lastRenderedPageBreak/>
        <w:t>Contents</w:t>
      </w:r>
    </w:p>
    <w:p w14:paraId="48E1C7C1" w14:textId="77777777" w:rsidR="004D4A1B" w:rsidRDefault="004D4A1B">
      <w:pPr>
        <w:pBdr>
          <w:bottom w:val="single" w:sz="12" w:space="1" w:color="2E75B6"/>
        </w:pBdr>
        <w:spacing w:after="200"/>
      </w:pPr>
    </w:p>
    <w:sdt>
      <w:sdtPr>
        <w:alias w:val="Contents"/>
        <w:id w:val="-1703466508"/>
      </w:sdtPr>
      <w:sdtEndPr/>
      <w:sdtContent>
        <w:p w14:paraId="18B9197F" w14:textId="78CDBC24" w:rsidR="00D64304" w:rsidRDefault="00CC754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462103" w:history="1">
            <w:r w:rsidR="00D64304" w:rsidRPr="00B12E84">
              <w:rPr>
                <w:rStyle w:val="Hyperlink"/>
                <w:noProof/>
              </w:rPr>
              <w:t>1.  Overview</w:t>
            </w:r>
            <w:r w:rsidR="00D64304">
              <w:rPr>
                <w:noProof/>
              </w:rPr>
              <w:tab/>
            </w:r>
            <w:r w:rsidR="00D64304">
              <w:rPr>
                <w:noProof/>
              </w:rPr>
              <w:fldChar w:fldCharType="begin"/>
            </w:r>
            <w:r w:rsidR="00D64304">
              <w:rPr>
                <w:noProof/>
              </w:rPr>
              <w:instrText xml:space="preserve"> PAGEREF _Toc233462103 \h </w:instrText>
            </w:r>
            <w:r w:rsidR="00D64304">
              <w:rPr>
                <w:noProof/>
              </w:rPr>
            </w:r>
            <w:r w:rsidR="00D64304">
              <w:rPr>
                <w:noProof/>
              </w:rPr>
              <w:fldChar w:fldCharType="separate"/>
            </w:r>
            <w:r w:rsidR="00AE0379">
              <w:rPr>
                <w:noProof/>
              </w:rPr>
              <w:t>3</w:t>
            </w:r>
            <w:r w:rsidR="00D64304">
              <w:rPr>
                <w:noProof/>
              </w:rPr>
              <w:fldChar w:fldCharType="end"/>
            </w:r>
          </w:hyperlink>
        </w:p>
        <w:p w14:paraId="1013E393" w14:textId="10E4F60F" w:rsidR="00D64304" w:rsidRDefault="00D643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62104" w:history="1">
            <w:r w:rsidRPr="00B12E84">
              <w:rPr>
                <w:rStyle w:val="Hyperlink"/>
                <w:noProof/>
              </w:rPr>
              <w:t>2.  Before You Begin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0E27FC" w14:textId="02294C07" w:rsidR="00D64304" w:rsidRDefault="00D643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62105" w:history="1">
            <w:r w:rsidRPr="00B12E84">
              <w:rPr>
                <w:rStyle w:val="Hyperlink"/>
                <w:noProof/>
              </w:rPr>
              <w:t>3.  Step-by-Step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20E77B" w14:textId="5F9040E8" w:rsidR="00D64304" w:rsidRDefault="00D643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62106" w:history="1">
            <w:r w:rsidRPr="00B12E84">
              <w:rPr>
                <w:rStyle w:val="Hyperlink"/>
                <w:noProof/>
              </w:rPr>
              <w:t>Step 1 — Open the Transfers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5D39F8" w14:textId="593348CB" w:rsidR="00D64304" w:rsidRDefault="00D643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62107" w:history="1">
            <w:r w:rsidRPr="00B12E84">
              <w:rPr>
                <w:rStyle w:val="Hyperlink"/>
                <w:noProof/>
              </w:rPr>
              <w:t>Step 2 — Review the Transfers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85A23A" w14:textId="0550D07A" w:rsidR="00D64304" w:rsidRDefault="00D643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62108" w:history="1">
            <w:r w:rsidRPr="00B12E84">
              <w:rPr>
                <w:rStyle w:val="Hyperlink"/>
                <w:noProof/>
              </w:rPr>
              <w:t>Step 3 — Enter the Header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AD81B0" w14:textId="138CAFFA" w:rsidR="00D64304" w:rsidRDefault="00D643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62109" w:history="1">
            <w:r w:rsidRPr="00B12E84">
              <w:rPr>
                <w:rStyle w:val="Hyperlink"/>
                <w:noProof/>
              </w:rPr>
              <w:t>Step 4 — Click in the Item 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54DEA7" w14:textId="35E561E7" w:rsidR="00D64304" w:rsidRDefault="00D643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62110" w:history="1">
            <w:r w:rsidRPr="00B12E84">
              <w:rPr>
                <w:rStyle w:val="Hyperlink"/>
                <w:noProof/>
              </w:rPr>
              <w:t>Step 5 — Enter the Item and Locations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EEA2D4" w14:textId="0FC28869" w:rsidR="00D64304" w:rsidRDefault="00D643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62111" w:history="1">
            <w:r w:rsidRPr="00B12E84">
              <w:rPr>
                <w:rStyle w:val="Hyperlink"/>
                <w:noProof/>
              </w:rPr>
              <w:t>Step 6 — Enter the Quantities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E9A104" w14:textId="2442B2FC" w:rsidR="00D64304" w:rsidRDefault="00D643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62112" w:history="1">
            <w:r w:rsidRPr="00B12E84">
              <w:rPr>
                <w:rStyle w:val="Hyperlink"/>
                <w:noProof/>
              </w:rPr>
              <w:t>Step 7 — Add More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D2F5FD" w14:textId="02863ECC" w:rsidR="00D64304" w:rsidRDefault="00D6430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462113" w:history="1">
            <w:r w:rsidRPr="00B12E84">
              <w:rPr>
                <w:rStyle w:val="Hyperlink"/>
                <w:noProof/>
              </w:rPr>
              <w:t>Step 8 — Post or Save the 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33B517" w14:textId="3FC4857A" w:rsidR="00D64304" w:rsidRDefault="00D643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62114" w:history="1">
            <w:r w:rsidRPr="00B12E84">
              <w:rPr>
                <w:rStyle w:val="Hyperlink"/>
                <w:noProof/>
              </w:rPr>
              <w:t>4.  Example of a Completed 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B70673" w14:textId="7622869E" w:rsidR="00D64304" w:rsidRDefault="00D6430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462115" w:history="1">
            <w:r w:rsidRPr="00B12E84">
              <w:rPr>
                <w:rStyle w:val="Hyperlink"/>
                <w:noProof/>
              </w:rPr>
              <w:t>5. 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_Toc233462115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E0379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7F5479" w14:textId="77777777" w:rsidR="004D4A1B" w:rsidRDefault="00CC7541">
          <w:r>
            <w:fldChar w:fldCharType="end"/>
          </w:r>
        </w:p>
      </w:sdtContent>
    </w:sdt>
    <w:p w14:paraId="79D898F8" w14:textId="77777777" w:rsidR="004D4A1B" w:rsidRDefault="00CC7541">
      <w:r>
        <w:br w:type="page"/>
      </w:r>
    </w:p>
    <w:p w14:paraId="05715B55" w14:textId="77777777" w:rsidR="004D4A1B" w:rsidRDefault="00CC7541">
      <w:pPr>
        <w:pStyle w:val="Heading1"/>
      </w:pPr>
      <w:bookmarkStart w:id="0" w:name="_Toc233462103"/>
      <w:r>
        <w:lastRenderedPageBreak/>
        <w:t>1</w:t>
      </w:r>
      <w:proofErr w:type="gramStart"/>
      <w:r>
        <w:t>.  Overview</w:t>
      </w:r>
      <w:bookmarkEnd w:id="0"/>
      <w:proofErr w:type="gramEnd"/>
    </w:p>
    <w:p w14:paraId="68C97B75" w14:textId="77777777" w:rsidR="004D4A1B" w:rsidRDefault="00CC7541">
      <w:pPr>
        <w:spacing w:after="120" w:line="276" w:lineRule="auto"/>
      </w:pPr>
      <w:r>
        <w:t>A location transfer moves inventory items from one location to another within Sage 300. In Sage, a location is the term used for a store, warehouse, or any other stocking point where inventory is held.</w:t>
      </w:r>
    </w:p>
    <w:p w14:paraId="14921E75" w14:textId="77777777" w:rsidR="004D4A1B" w:rsidRDefault="00CC7541">
      <w:pPr>
        <w:spacing w:after="60" w:line="276" w:lineRule="auto"/>
      </w:pPr>
      <w:r>
        <w:t>This guide walks through the full process of transferring inventory items between locations using the Inventory Control Transfers screen — from opening the screen and entering header details, through adding items and quantities, to posting the completed transfer.</w:t>
      </w:r>
    </w:p>
    <w:tbl>
      <w:tblPr>
        <w:tblW w:w="9360" w:type="dxa"/>
        <w:tblBorders>
          <w:top w:val="single" w:sz="2" w:space="0" w:color="D9E2F3"/>
          <w:left w:val="single" w:sz="24" w:space="0" w:color="2E75B6"/>
          <w:bottom w:val="single" w:sz="2" w:space="0" w:color="D9E2F3"/>
          <w:right w:val="single" w:sz="2" w:space="0" w:color="D9E2F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4A1B" w14:paraId="07472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73802" w14:textId="77777777" w:rsidR="004D4A1B" w:rsidRDefault="00CC7541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When to use this</w:t>
            </w:r>
          </w:p>
          <w:p w14:paraId="5E1C85D5" w14:textId="77777777" w:rsidR="004D4A1B" w:rsidRDefault="00CC7541">
            <w:pPr>
              <w:spacing w:line="264" w:lineRule="auto"/>
            </w:pPr>
            <w:r>
              <w:rPr>
                <w:sz w:val="21"/>
                <w:szCs w:val="21"/>
              </w:rPr>
              <w:t>Use a location transfer whenever stock physically moves between two of your locations and the inventory records need to reflect that move — for example, sending parts from a central warehouse to a site store.</w:t>
            </w:r>
          </w:p>
        </w:tc>
      </w:tr>
    </w:tbl>
    <w:p w14:paraId="4F82191D" w14:textId="77777777" w:rsidR="004D4A1B" w:rsidRDefault="00CC7541">
      <w:pPr>
        <w:pStyle w:val="Heading1"/>
      </w:pPr>
      <w:bookmarkStart w:id="1" w:name="_Toc233462104"/>
      <w:r>
        <w:t>2</w:t>
      </w:r>
      <w:proofErr w:type="gramStart"/>
      <w:r>
        <w:t>.  Before</w:t>
      </w:r>
      <w:proofErr w:type="gramEnd"/>
      <w:r>
        <w:t xml:space="preserve"> You Begin</w:t>
      </w:r>
      <w:bookmarkEnd w:id="1"/>
    </w:p>
    <w:p w14:paraId="4D0A601A" w14:textId="77777777" w:rsidR="004D4A1B" w:rsidRDefault="00CC7541">
      <w:pPr>
        <w:spacing w:after="80" w:line="276" w:lineRule="auto"/>
      </w:pPr>
      <w:r>
        <w:t>Make sure the following are in place before starting a transfer:</w:t>
      </w:r>
    </w:p>
    <w:p w14:paraId="221594DF" w14:textId="77777777" w:rsidR="004D4A1B" w:rsidRDefault="00CC7541">
      <w:pPr>
        <w:pStyle w:val="ListParagraph"/>
        <w:numPr>
          <w:ilvl w:val="0"/>
          <w:numId w:val="2"/>
        </w:numPr>
        <w:spacing w:after="60" w:line="270" w:lineRule="auto"/>
      </w:pPr>
      <w:r>
        <w:t>You have access to the Inventory Control module, specifically Inventory Control → I/C Transactions.</w:t>
      </w:r>
    </w:p>
    <w:p w14:paraId="30FCF72B" w14:textId="77777777" w:rsidR="004D4A1B" w:rsidRDefault="00CC7541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The item you want to move already exists in Inventory Control and has stock available in the </w:t>
      </w:r>
      <w:r>
        <w:rPr>
          <w:b/>
          <w:bCs/>
        </w:rPr>
        <w:t>From Location</w:t>
      </w:r>
      <w:r>
        <w:t>.</w:t>
      </w:r>
    </w:p>
    <w:p w14:paraId="73A30363" w14:textId="77777777" w:rsidR="004D4A1B" w:rsidRDefault="00CC7541">
      <w:pPr>
        <w:pStyle w:val="ListParagraph"/>
        <w:numPr>
          <w:ilvl w:val="0"/>
          <w:numId w:val="2"/>
        </w:numPr>
        <w:spacing w:after="60" w:line="270" w:lineRule="auto"/>
      </w:pPr>
      <w:r>
        <w:t>Both the source (</w:t>
      </w:r>
      <w:r>
        <w:rPr>
          <w:b/>
          <w:bCs/>
        </w:rPr>
        <w:t>From Location</w:t>
      </w:r>
      <w:r>
        <w:t>) and destination (</w:t>
      </w:r>
      <w:r>
        <w:rPr>
          <w:b/>
          <w:bCs/>
        </w:rPr>
        <w:t>To Location</w:t>
      </w:r>
      <w:r>
        <w:t>) are valid, set-up locations.</w:t>
      </w:r>
    </w:p>
    <w:p w14:paraId="5AB52004" w14:textId="77777777" w:rsidR="00D64304" w:rsidRDefault="00D64304">
      <w:pPr>
        <w:rPr>
          <w:b/>
          <w:bCs/>
          <w:color w:val="1F3864"/>
          <w:sz w:val="30"/>
          <w:szCs w:val="30"/>
        </w:rPr>
      </w:pPr>
      <w:bookmarkStart w:id="2" w:name="_Toc233462105"/>
      <w:r>
        <w:br w:type="page"/>
      </w:r>
    </w:p>
    <w:p w14:paraId="4FC5D3D7" w14:textId="3A0E8946" w:rsidR="004D4A1B" w:rsidRDefault="00CC7541" w:rsidP="00D64304">
      <w:pPr>
        <w:pStyle w:val="Heading1"/>
        <w:tabs>
          <w:tab w:val="left" w:pos="6135"/>
        </w:tabs>
      </w:pPr>
      <w:r>
        <w:lastRenderedPageBreak/>
        <w:t>3</w:t>
      </w:r>
      <w:proofErr w:type="gramStart"/>
      <w:r>
        <w:t>.  Step</w:t>
      </w:r>
      <w:proofErr w:type="gramEnd"/>
      <w:r>
        <w:t>-by-Step Instructions</w:t>
      </w:r>
      <w:bookmarkEnd w:id="2"/>
      <w:r w:rsidR="00D64304">
        <w:tab/>
      </w:r>
    </w:p>
    <w:p w14:paraId="49749376" w14:textId="719A0E45" w:rsidR="004D4A1B" w:rsidRDefault="00CC7541" w:rsidP="00D64304">
      <w:pPr>
        <w:pStyle w:val="Heading2"/>
      </w:pPr>
      <w:bookmarkStart w:id="3" w:name="_Toc233462106"/>
      <w:r>
        <w:t>Step 1 — Open the Transfers Screen</w:t>
      </w:r>
      <w:bookmarkEnd w:id="3"/>
    </w:p>
    <w:p w14:paraId="1849FACC" w14:textId="77777777" w:rsidR="004D4A1B" w:rsidRDefault="00CC7541">
      <w:pPr>
        <w:spacing w:before="40" w:after="120"/>
        <w:jc w:val="center"/>
      </w:pPr>
      <w:r>
        <w:rPr>
          <w:b/>
          <w:bCs/>
          <w:color w:val="1F3864"/>
        </w:rPr>
        <w:t>I</w:t>
      </w:r>
      <w:r>
        <w:rPr>
          <w:b/>
          <w:bCs/>
          <w:color w:val="1F3864"/>
        </w:rPr>
        <w:t xml:space="preserve">nventory </w:t>
      </w:r>
      <w:proofErr w:type="gramStart"/>
      <w:r>
        <w:rPr>
          <w:b/>
          <w:bCs/>
          <w:color w:val="1F3864"/>
        </w:rPr>
        <w:t>Control  →</w:t>
      </w:r>
      <w:proofErr w:type="gramEnd"/>
      <w:r>
        <w:rPr>
          <w:b/>
          <w:bCs/>
          <w:color w:val="1F3864"/>
        </w:rPr>
        <w:t xml:space="preserve">  I/C </w:t>
      </w:r>
      <w:proofErr w:type="gramStart"/>
      <w:r>
        <w:rPr>
          <w:b/>
          <w:bCs/>
          <w:color w:val="1F3864"/>
        </w:rPr>
        <w:t>Transactions  →</w:t>
      </w:r>
      <w:proofErr w:type="gramEnd"/>
      <w:r>
        <w:rPr>
          <w:b/>
          <w:bCs/>
          <w:color w:val="1F3864"/>
        </w:rPr>
        <w:t xml:space="preserve">  Transfers</w:t>
      </w:r>
    </w:p>
    <w:p w14:paraId="69273149" w14:textId="77777777" w:rsidR="004D4A1B" w:rsidRDefault="00CC7541">
      <w:pPr>
        <w:spacing w:before="120" w:after="60"/>
        <w:jc w:val="center"/>
      </w:pPr>
      <w:r>
        <w:rPr>
          <w:noProof/>
        </w:rPr>
        <w:drawing>
          <wp:inline distT="0" distB="0" distL="0" distR="0" wp14:anchorId="171AEE16" wp14:editId="7F2C6EA5">
            <wp:extent cx="4297680" cy="30531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05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9ACF" w14:textId="77777777" w:rsidR="004D4A1B" w:rsidRDefault="00CC7541">
      <w:pPr>
        <w:spacing w:after="200"/>
        <w:jc w:val="center"/>
      </w:pPr>
      <w:r>
        <w:rPr>
          <w:b/>
          <w:bCs/>
          <w:i/>
          <w:iCs/>
          <w:color w:val="44546A"/>
          <w:sz w:val="17"/>
          <w:szCs w:val="17"/>
        </w:rPr>
        <w:t xml:space="preserve">Figure 1.  </w:t>
      </w:r>
      <w:r>
        <w:rPr>
          <w:i/>
          <w:iCs/>
          <w:color w:val="44546A"/>
          <w:sz w:val="17"/>
          <w:szCs w:val="17"/>
        </w:rPr>
        <w:t>The Transfers icon under Inventory Control → I/C Transactions.</w:t>
      </w:r>
    </w:p>
    <w:p w14:paraId="0931B026" w14:textId="77777777" w:rsidR="004D4A1B" w:rsidRDefault="00CC7541">
      <w:pPr>
        <w:pStyle w:val="Heading2"/>
      </w:pPr>
      <w:bookmarkStart w:id="4" w:name="_Toc233462107"/>
      <w:r>
        <w:t>Step 2 — Review the Transfers Screen</w:t>
      </w:r>
      <w:bookmarkEnd w:id="4"/>
    </w:p>
    <w:p w14:paraId="523F5714" w14:textId="77777777" w:rsidR="004D4A1B" w:rsidRDefault="00CC7541">
      <w:pPr>
        <w:spacing w:after="120" w:line="276" w:lineRule="auto"/>
      </w:pPr>
      <w:r>
        <w:t xml:space="preserve">The Transfers screen opens. The upper area holds the document header information; the grid in the middle is where you enter the items to transfer; and the panel at the bottom </w:t>
      </w:r>
      <w:proofErr w:type="gramStart"/>
      <w:r>
        <w:t>shows</w:t>
      </w:r>
      <w:proofErr w:type="gramEnd"/>
      <w:r>
        <w:t xml:space="preserve"> quantity information for the selected item and locations.</w:t>
      </w:r>
    </w:p>
    <w:p w14:paraId="62FC79B9" w14:textId="77777777" w:rsidR="004D4A1B" w:rsidRDefault="00CC7541">
      <w:pPr>
        <w:spacing w:before="120" w:after="60"/>
        <w:jc w:val="center"/>
      </w:pPr>
      <w:r>
        <w:rPr>
          <w:noProof/>
        </w:rPr>
        <w:drawing>
          <wp:inline distT="0" distB="0" distL="0" distR="0" wp14:anchorId="669DBA08" wp14:editId="4BF6BC1E">
            <wp:extent cx="5669280" cy="2763328"/>
            <wp:effectExtent l="0" t="0" r="0" b="0"/>
            <wp:docPr id="907204251" name="Picture 90720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97C9" w14:textId="77777777" w:rsidR="004D4A1B" w:rsidRDefault="00CC7541">
      <w:pPr>
        <w:spacing w:after="200"/>
        <w:jc w:val="center"/>
      </w:pPr>
      <w:r>
        <w:rPr>
          <w:b/>
          <w:bCs/>
          <w:i/>
          <w:iCs/>
          <w:color w:val="44546A"/>
          <w:sz w:val="17"/>
          <w:szCs w:val="17"/>
        </w:rPr>
        <w:t xml:space="preserve">Figure 2.  </w:t>
      </w:r>
      <w:r>
        <w:rPr>
          <w:i/>
          <w:iCs/>
          <w:color w:val="44546A"/>
          <w:sz w:val="17"/>
          <w:szCs w:val="17"/>
        </w:rPr>
        <w:t>The I/C Transfers screen, ready for a new transfer.</w:t>
      </w:r>
    </w:p>
    <w:p w14:paraId="35496A33" w14:textId="77777777" w:rsidR="00CC7541" w:rsidRDefault="00CC7541">
      <w:pPr>
        <w:rPr>
          <w:b/>
          <w:bCs/>
          <w:color w:val="2E75B6"/>
          <w:sz w:val="24"/>
          <w:szCs w:val="24"/>
        </w:rPr>
      </w:pPr>
      <w:bookmarkStart w:id="5" w:name="_Toc233462108"/>
      <w:r>
        <w:lastRenderedPageBreak/>
        <w:br w:type="page"/>
      </w:r>
    </w:p>
    <w:p w14:paraId="6589AADF" w14:textId="1971940D" w:rsidR="004D4A1B" w:rsidRDefault="00CC7541">
      <w:pPr>
        <w:pStyle w:val="Heading2"/>
      </w:pPr>
      <w:r>
        <w:t>Step 3 — Enter the Header Information</w:t>
      </w:r>
      <w:bookmarkEnd w:id="5"/>
    </w:p>
    <w:p w14:paraId="6D6D1755" w14:textId="77777777" w:rsidR="004D4A1B" w:rsidRDefault="00CC7541">
      <w:pPr>
        <w:spacing w:after="120" w:line="276" w:lineRule="auto"/>
      </w:pPr>
      <w:r>
        <w:t>Complete the header fields at the top of the screen — the Date, Description, and Reference information that identify the transfer.</w:t>
      </w:r>
    </w:p>
    <w:p w14:paraId="0D250E6B" w14:textId="77777777" w:rsidR="004D4A1B" w:rsidRDefault="00CC7541">
      <w:pPr>
        <w:spacing w:before="120" w:after="60"/>
        <w:jc w:val="center"/>
      </w:pPr>
      <w:r>
        <w:rPr>
          <w:noProof/>
        </w:rPr>
        <w:drawing>
          <wp:inline distT="0" distB="0" distL="0" distR="0" wp14:anchorId="539BA45D" wp14:editId="14FD58FB">
            <wp:extent cx="5669280" cy="2763328"/>
            <wp:effectExtent l="0" t="0" r="0" b="0"/>
            <wp:docPr id="2124882191" name="Picture 2124882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E022" w14:textId="77777777" w:rsidR="004D4A1B" w:rsidRDefault="00CC7541">
      <w:pPr>
        <w:spacing w:after="200"/>
        <w:jc w:val="center"/>
      </w:pPr>
      <w:r>
        <w:rPr>
          <w:b/>
          <w:bCs/>
          <w:i/>
          <w:iCs/>
          <w:color w:val="44546A"/>
          <w:sz w:val="17"/>
          <w:szCs w:val="17"/>
        </w:rPr>
        <w:t xml:space="preserve">Figure 3.  </w:t>
      </w:r>
      <w:r>
        <w:rPr>
          <w:i/>
          <w:iCs/>
          <w:color w:val="44546A"/>
          <w:sz w:val="17"/>
          <w:szCs w:val="17"/>
        </w:rPr>
        <w:t>Entering the document date, description, and reference.</w:t>
      </w:r>
    </w:p>
    <w:tbl>
      <w:tblPr>
        <w:tblW w:w="9360" w:type="dxa"/>
        <w:tblBorders>
          <w:top w:val="single" w:sz="1" w:space="0" w:color="C9D3E0"/>
          <w:left w:val="single" w:sz="1" w:space="0" w:color="C9D3E0"/>
          <w:bottom w:val="single" w:sz="1" w:space="0" w:color="C9D3E0"/>
          <w:right w:val="single" w:sz="1" w:space="0" w:color="C9D3E0"/>
          <w:insideH w:val="single" w:sz="1" w:space="0" w:color="C9D3E0"/>
          <w:insideV w:val="single" w:sz="1" w:space="0" w:color="C9D3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D4A1B" w14:paraId="7CF984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F15A35" w14:textId="77777777" w:rsidR="004D4A1B" w:rsidRDefault="00CC754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1F386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1E85A3" w14:textId="77777777" w:rsidR="004D4A1B" w:rsidRDefault="00CC754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D4A1B" w14:paraId="6B2FDF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62A442" w14:textId="77777777" w:rsidR="004D4A1B" w:rsidRDefault="00CC7541">
            <w:r>
              <w:rPr>
                <w:b/>
                <w:bCs/>
                <w:color w:val="1F3864"/>
                <w:sz w:val="20"/>
                <w:szCs w:val="20"/>
              </w:rPr>
              <w:t>Document Date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442442" w14:textId="77777777" w:rsidR="004D4A1B" w:rsidRDefault="00CC7541">
            <w:r>
              <w:rPr>
                <w:sz w:val="20"/>
                <w:szCs w:val="20"/>
              </w:rPr>
              <w:t>Defaults to the session date. This is the date of the transfer document.</w:t>
            </w:r>
          </w:p>
        </w:tc>
      </w:tr>
      <w:tr w:rsidR="004D4A1B" w14:paraId="53A990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EF2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939973" w14:textId="77777777" w:rsidR="004D4A1B" w:rsidRDefault="00CC7541">
            <w:r>
              <w:rPr>
                <w:b/>
                <w:bCs/>
                <w:color w:val="1F3864"/>
                <w:sz w:val="20"/>
                <w:szCs w:val="20"/>
              </w:rPr>
              <w:t>Posting Date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EF2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72A17B" w14:textId="77777777" w:rsidR="004D4A1B" w:rsidRDefault="00CC7541">
            <w:r>
              <w:rPr>
                <w:sz w:val="20"/>
                <w:szCs w:val="20"/>
              </w:rPr>
              <w:t xml:space="preserve">Defaults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the Document Date. Controls the period the transaction posts to.</w:t>
            </w:r>
          </w:p>
        </w:tc>
      </w:tr>
      <w:tr w:rsidR="004D4A1B" w14:paraId="21B088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26B245" w14:textId="77777777" w:rsidR="004D4A1B" w:rsidRDefault="00CC7541">
            <w:r>
              <w:rPr>
                <w:b/>
                <w:bCs/>
                <w:color w:val="1F3864"/>
                <w:sz w:val="20"/>
                <w:szCs w:val="20"/>
              </w:rPr>
              <w:t>Description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91C7F4" w14:textId="77777777" w:rsidR="004D4A1B" w:rsidRDefault="00CC7541">
            <w:r>
              <w:rPr>
                <w:sz w:val="20"/>
                <w:szCs w:val="20"/>
              </w:rPr>
              <w:t>A general description of the transfer.</w:t>
            </w:r>
          </w:p>
        </w:tc>
      </w:tr>
      <w:tr w:rsidR="004D4A1B" w14:paraId="308685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EF2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780EB2" w14:textId="77777777" w:rsidR="004D4A1B" w:rsidRDefault="00CC7541">
            <w:r>
              <w:rPr>
                <w:b/>
                <w:bCs/>
                <w:color w:val="1F3864"/>
                <w:sz w:val="20"/>
                <w:szCs w:val="20"/>
              </w:rPr>
              <w:t>Reference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EF2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D87ED4" w14:textId="77777777" w:rsidR="004D4A1B" w:rsidRDefault="00CC7541">
            <w:r>
              <w:rPr>
                <w:sz w:val="20"/>
                <w:szCs w:val="20"/>
              </w:rPr>
              <w:t>Documents the source or reason for the transfer (for example, a request or ticket number).</w:t>
            </w:r>
          </w:p>
        </w:tc>
      </w:tr>
    </w:tbl>
    <w:p w14:paraId="33C5DE9B" w14:textId="77777777" w:rsidR="004D4A1B" w:rsidRDefault="004D4A1B">
      <w:pPr>
        <w:spacing w:after="80"/>
      </w:pPr>
    </w:p>
    <w:p w14:paraId="47935B29" w14:textId="77777777" w:rsidR="00D64304" w:rsidRDefault="00D64304">
      <w:pPr>
        <w:rPr>
          <w:b/>
          <w:bCs/>
          <w:color w:val="2E75B6"/>
          <w:sz w:val="24"/>
          <w:szCs w:val="24"/>
        </w:rPr>
      </w:pPr>
      <w:bookmarkStart w:id="6" w:name="_Toc233462109"/>
      <w:r>
        <w:br w:type="page"/>
      </w:r>
    </w:p>
    <w:p w14:paraId="48F9C191" w14:textId="3E225E95" w:rsidR="004D4A1B" w:rsidRDefault="00CC7541">
      <w:pPr>
        <w:pStyle w:val="Heading2"/>
      </w:pPr>
      <w:r>
        <w:lastRenderedPageBreak/>
        <w:t>Step 4 — Click in the Item Area</w:t>
      </w:r>
      <w:bookmarkEnd w:id="6"/>
    </w:p>
    <w:p w14:paraId="3083A8AD" w14:textId="77777777" w:rsidR="004D4A1B" w:rsidRDefault="00CC7541">
      <w:pPr>
        <w:spacing w:after="120" w:line="276" w:lineRule="auto"/>
      </w:pPr>
      <w:r>
        <w:t>Click into the item grid in the middle of the screen to begin adding the items you want to transfer.</w:t>
      </w:r>
    </w:p>
    <w:p w14:paraId="45EAB5E3" w14:textId="77777777" w:rsidR="004D4A1B" w:rsidRDefault="00CC7541">
      <w:pPr>
        <w:spacing w:before="120" w:after="60"/>
        <w:jc w:val="center"/>
      </w:pPr>
      <w:r>
        <w:rPr>
          <w:noProof/>
        </w:rPr>
        <w:drawing>
          <wp:inline distT="0" distB="0" distL="0" distR="0" wp14:anchorId="564B5CD0" wp14:editId="24348A48">
            <wp:extent cx="5669280" cy="2763328"/>
            <wp:effectExtent l="0" t="0" r="0" b="0"/>
            <wp:docPr id="1066731391" name="Picture 106673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926A" w14:textId="77777777" w:rsidR="004D4A1B" w:rsidRDefault="00CC7541">
      <w:pPr>
        <w:spacing w:after="200"/>
        <w:jc w:val="center"/>
      </w:pPr>
      <w:r>
        <w:rPr>
          <w:b/>
          <w:bCs/>
          <w:i/>
          <w:iCs/>
          <w:color w:val="44546A"/>
          <w:sz w:val="17"/>
          <w:szCs w:val="17"/>
        </w:rPr>
        <w:t xml:space="preserve">Figure 4.  </w:t>
      </w:r>
      <w:r>
        <w:rPr>
          <w:i/>
          <w:iCs/>
          <w:color w:val="44546A"/>
          <w:sz w:val="17"/>
          <w:szCs w:val="17"/>
        </w:rPr>
        <w:t>Clicking into the item grid to start the first line.</w:t>
      </w:r>
    </w:p>
    <w:p w14:paraId="7CA111EB" w14:textId="3CE6F130" w:rsidR="004D4A1B" w:rsidRDefault="00CC7541" w:rsidP="00D64304">
      <w:pPr>
        <w:pStyle w:val="Heading2"/>
      </w:pPr>
      <w:bookmarkStart w:id="7" w:name="_Toc233462110"/>
      <w:r>
        <w:t>Step 5 — Enter the Item and Locations</w:t>
      </w:r>
      <w:bookmarkEnd w:id="7"/>
    </w:p>
    <w:p w14:paraId="4A39653F" w14:textId="77777777" w:rsidR="004D4A1B" w:rsidRDefault="00CC7541">
      <w:pPr>
        <w:spacing w:before="120" w:after="60"/>
        <w:jc w:val="center"/>
      </w:pPr>
      <w:r>
        <w:rPr>
          <w:noProof/>
        </w:rPr>
        <w:drawing>
          <wp:inline distT="0" distB="0" distL="0" distR="0" wp14:anchorId="0EA9A328" wp14:editId="1CE4F573">
            <wp:extent cx="4206240" cy="3134458"/>
            <wp:effectExtent l="0" t="0" r="0" b="0"/>
            <wp:docPr id="1704420578" name="Picture 1704420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3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0BEA" w14:textId="77777777" w:rsidR="004D4A1B" w:rsidRDefault="00CC7541">
      <w:pPr>
        <w:spacing w:after="200"/>
        <w:jc w:val="center"/>
      </w:pPr>
      <w:r>
        <w:rPr>
          <w:b/>
          <w:bCs/>
          <w:i/>
          <w:iCs/>
          <w:color w:val="44546A"/>
          <w:sz w:val="17"/>
          <w:szCs w:val="17"/>
        </w:rPr>
        <w:t xml:space="preserve">Figure 5.  </w:t>
      </w:r>
      <w:r>
        <w:rPr>
          <w:i/>
          <w:iCs/>
          <w:color w:val="44546A"/>
          <w:sz w:val="17"/>
          <w:szCs w:val="17"/>
        </w:rPr>
        <w:t xml:space="preserve">Entering the item number with its From and </w:t>
      </w:r>
      <w:proofErr w:type="gramStart"/>
      <w:r>
        <w:rPr>
          <w:i/>
          <w:iCs/>
          <w:color w:val="44546A"/>
          <w:sz w:val="17"/>
          <w:szCs w:val="17"/>
        </w:rPr>
        <w:t>To</w:t>
      </w:r>
      <w:proofErr w:type="gramEnd"/>
      <w:r>
        <w:rPr>
          <w:i/>
          <w:iCs/>
          <w:color w:val="44546A"/>
          <w:sz w:val="17"/>
          <w:szCs w:val="17"/>
        </w:rPr>
        <w:t xml:space="preserve"> locations.</w:t>
      </w:r>
    </w:p>
    <w:p w14:paraId="0C0244CE" w14:textId="77777777" w:rsidR="00D64304" w:rsidRDefault="00D64304">
      <w:pPr>
        <w:rPr>
          <w:b/>
          <w:bCs/>
          <w:color w:val="2E75B6"/>
          <w:sz w:val="24"/>
          <w:szCs w:val="24"/>
        </w:rPr>
      </w:pPr>
      <w:bookmarkStart w:id="8" w:name="_Toc233462111"/>
      <w:r>
        <w:br w:type="page"/>
      </w:r>
    </w:p>
    <w:p w14:paraId="06B6DC4D" w14:textId="4E163E4C" w:rsidR="004D4A1B" w:rsidRDefault="00CC7541" w:rsidP="00D64304">
      <w:pPr>
        <w:pStyle w:val="Heading2"/>
      </w:pPr>
      <w:r>
        <w:lastRenderedPageBreak/>
        <w:t>Step 6 — Enter the Quantities</w:t>
      </w:r>
      <w:bookmarkEnd w:id="8"/>
    </w:p>
    <w:p w14:paraId="302E2208" w14:textId="77777777" w:rsidR="004D4A1B" w:rsidRDefault="00CC7541">
      <w:pPr>
        <w:spacing w:before="120" w:after="60"/>
        <w:jc w:val="center"/>
      </w:pPr>
      <w:r>
        <w:rPr>
          <w:noProof/>
        </w:rPr>
        <w:drawing>
          <wp:inline distT="0" distB="0" distL="0" distR="0" wp14:anchorId="16A8EDEF" wp14:editId="69BCA34B">
            <wp:extent cx="5669280" cy="2763328"/>
            <wp:effectExtent l="0" t="0" r="0" b="0"/>
            <wp:docPr id="1258796110" name="Picture 1258796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5F40" w14:textId="77777777" w:rsidR="004D4A1B" w:rsidRDefault="00CC7541">
      <w:pPr>
        <w:spacing w:after="200"/>
        <w:jc w:val="center"/>
      </w:pPr>
      <w:r>
        <w:rPr>
          <w:b/>
          <w:bCs/>
          <w:i/>
          <w:iCs/>
          <w:color w:val="44546A"/>
          <w:sz w:val="17"/>
          <w:szCs w:val="17"/>
        </w:rPr>
        <w:t xml:space="preserve">Figure 6.  </w:t>
      </w:r>
      <w:r>
        <w:rPr>
          <w:i/>
          <w:iCs/>
          <w:color w:val="44546A"/>
          <w:sz w:val="17"/>
          <w:szCs w:val="17"/>
        </w:rPr>
        <w:t xml:space="preserve">Entering the </w:t>
      </w:r>
      <w:proofErr w:type="gramStart"/>
      <w:r>
        <w:rPr>
          <w:i/>
          <w:iCs/>
          <w:color w:val="44546A"/>
          <w:sz w:val="17"/>
          <w:szCs w:val="17"/>
        </w:rPr>
        <w:t>requested</w:t>
      </w:r>
      <w:proofErr w:type="gramEnd"/>
      <w:r>
        <w:rPr>
          <w:i/>
          <w:iCs/>
          <w:color w:val="44546A"/>
          <w:sz w:val="17"/>
          <w:szCs w:val="17"/>
        </w:rPr>
        <w:t xml:space="preserve"> and transfer quantities.</w:t>
      </w:r>
    </w:p>
    <w:tbl>
      <w:tblPr>
        <w:tblW w:w="9360" w:type="dxa"/>
        <w:tblBorders>
          <w:top w:val="single" w:sz="2" w:space="0" w:color="FCE4D6"/>
          <w:left w:val="single" w:sz="24" w:space="0" w:color="C55A11"/>
          <w:bottom w:val="single" w:sz="2" w:space="0" w:color="FCE4D6"/>
          <w:right w:val="single" w:sz="2" w:space="0" w:color="FCE4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4A1B" w14:paraId="2863E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3F0BFE" w14:textId="77777777" w:rsidR="004D4A1B" w:rsidRDefault="00CC7541">
            <w:pPr>
              <w:spacing w:after="60"/>
            </w:pPr>
            <w:r>
              <w:rPr>
                <w:b/>
                <w:bCs/>
                <w:color w:val="C55A11"/>
                <w:sz w:val="20"/>
                <w:szCs w:val="20"/>
              </w:rPr>
              <w:t>If the quantity is not available</w:t>
            </w:r>
          </w:p>
          <w:p w14:paraId="1EBBDEED" w14:textId="77777777" w:rsidR="004D4A1B" w:rsidRDefault="00CC7541">
            <w:pPr>
              <w:spacing w:line="264" w:lineRule="auto"/>
            </w:pPr>
            <w:r>
              <w:t xml:space="preserve">If the </w:t>
            </w:r>
            <w:r>
              <w:rPr>
                <w:b/>
                <w:bCs/>
              </w:rPr>
              <w:t>Transfer Quantity</w:t>
            </w:r>
            <w:r>
              <w:t xml:space="preserve"> exceeds the quantity available in the </w:t>
            </w:r>
            <w:r>
              <w:rPr>
                <w:b/>
                <w:bCs/>
              </w:rPr>
              <w:t>From Location</w:t>
            </w:r>
            <w:r>
              <w:t xml:space="preserve">, Sage 300 displays an </w:t>
            </w:r>
            <w:proofErr w:type="gramStart"/>
            <w:r>
              <w:t>error</w:t>
            </w:r>
            <w:proofErr w:type="gramEnd"/>
            <w:r>
              <w:t xml:space="preserve"> and the transfer cannot proceed for that line until the quantity is corrected.</w:t>
            </w:r>
          </w:p>
        </w:tc>
      </w:tr>
    </w:tbl>
    <w:p w14:paraId="1AB3BC84" w14:textId="77777777" w:rsidR="004D4A1B" w:rsidRDefault="00CC7541">
      <w:pPr>
        <w:spacing w:before="120" w:after="60"/>
        <w:jc w:val="center"/>
      </w:pPr>
      <w:r>
        <w:rPr>
          <w:noProof/>
        </w:rPr>
        <w:drawing>
          <wp:inline distT="0" distB="0" distL="0" distR="0" wp14:anchorId="04D15A4D" wp14:editId="6E81FE95">
            <wp:extent cx="3108960" cy="1463468"/>
            <wp:effectExtent l="0" t="0" r="0" b="0"/>
            <wp:docPr id="371498779" name="Picture 371498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46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D596" w14:textId="77777777" w:rsidR="004D4A1B" w:rsidRDefault="00CC7541">
      <w:pPr>
        <w:spacing w:after="200"/>
        <w:jc w:val="center"/>
      </w:pPr>
      <w:r>
        <w:rPr>
          <w:b/>
          <w:bCs/>
          <w:i/>
          <w:iCs/>
          <w:color w:val="44546A"/>
          <w:sz w:val="17"/>
          <w:szCs w:val="17"/>
        </w:rPr>
        <w:t xml:space="preserve">Figure 7.  </w:t>
      </w:r>
      <w:r>
        <w:rPr>
          <w:i/>
          <w:iCs/>
          <w:color w:val="44546A"/>
          <w:sz w:val="17"/>
          <w:szCs w:val="17"/>
        </w:rPr>
        <w:t>The error shown when the transfer quantity exceeds available stock.</w:t>
      </w:r>
    </w:p>
    <w:p w14:paraId="08EEABAD" w14:textId="77777777" w:rsidR="00D64304" w:rsidRDefault="00D64304">
      <w:pPr>
        <w:rPr>
          <w:b/>
          <w:bCs/>
          <w:color w:val="2E75B6"/>
          <w:sz w:val="24"/>
          <w:szCs w:val="24"/>
        </w:rPr>
      </w:pPr>
      <w:bookmarkStart w:id="9" w:name="_Toc233462112"/>
      <w:r>
        <w:br w:type="page"/>
      </w:r>
    </w:p>
    <w:p w14:paraId="28E685A7" w14:textId="473CB0B6" w:rsidR="004D4A1B" w:rsidRDefault="00CC7541" w:rsidP="00D64304">
      <w:pPr>
        <w:pStyle w:val="Heading2"/>
      </w:pPr>
      <w:r>
        <w:lastRenderedPageBreak/>
        <w:t>Step 7 — Add More Items</w:t>
      </w:r>
      <w:bookmarkEnd w:id="9"/>
    </w:p>
    <w:p w14:paraId="2EA226F2" w14:textId="77777777" w:rsidR="004D4A1B" w:rsidRDefault="00CC7541">
      <w:pPr>
        <w:spacing w:before="120" w:after="60"/>
        <w:jc w:val="center"/>
      </w:pPr>
      <w:r>
        <w:rPr>
          <w:noProof/>
        </w:rPr>
        <w:drawing>
          <wp:inline distT="0" distB="0" distL="0" distR="0" wp14:anchorId="0C108654" wp14:editId="70FE0314">
            <wp:extent cx="5669280" cy="2763328"/>
            <wp:effectExtent l="0" t="0" r="0" b="0"/>
            <wp:docPr id="1620883235" name="Picture 162088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CC23" w14:textId="77777777" w:rsidR="004D4A1B" w:rsidRDefault="00CC7541">
      <w:pPr>
        <w:spacing w:after="200"/>
        <w:jc w:val="center"/>
      </w:pPr>
      <w:r>
        <w:rPr>
          <w:b/>
          <w:bCs/>
          <w:i/>
          <w:iCs/>
          <w:color w:val="44546A"/>
          <w:sz w:val="17"/>
          <w:szCs w:val="17"/>
        </w:rPr>
        <w:t xml:space="preserve">Figure 8.  </w:t>
      </w:r>
      <w:r>
        <w:rPr>
          <w:i/>
          <w:iCs/>
          <w:color w:val="44546A"/>
          <w:sz w:val="17"/>
          <w:szCs w:val="17"/>
        </w:rPr>
        <w:t>Pressing Insert to add another item line to the transfer.</w:t>
      </w:r>
    </w:p>
    <w:p w14:paraId="6EF0135C" w14:textId="77777777" w:rsidR="004D4A1B" w:rsidRDefault="00CC7541">
      <w:pPr>
        <w:pStyle w:val="Heading2"/>
      </w:pPr>
      <w:bookmarkStart w:id="10" w:name="_Toc233462113"/>
      <w:r>
        <w:t>Step 8 — Post or Save the Transfer</w:t>
      </w:r>
      <w:bookmarkEnd w:id="10"/>
    </w:p>
    <w:p w14:paraId="0B23968D" w14:textId="77777777" w:rsidR="004D4A1B" w:rsidRDefault="00CC7541">
      <w:pPr>
        <w:spacing w:after="120" w:line="276" w:lineRule="auto"/>
      </w:pPr>
      <w:r>
        <w:t>Once all items have been entered, complete the transfer:</w:t>
      </w:r>
    </w:p>
    <w:p w14:paraId="6F5368E0" w14:textId="77777777" w:rsidR="004D4A1B" w:rsidRDefault="00CC7541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Click </w:t>
      </w:r>
      <w:r>
        <w:rPr>
          <w:b/>
          <w:bCs/>
        </w:rPr>
        <w:t>Post</w:t>
      </w:r>
      <w:r>
        <w:t xml:space="preserve"> to post the transfer immediately.</w:t>
      </w:r>
    </w:p>
    <w:p w14:paraId="6DEB486B" w14:textId="77777777" w:rsidR="004D4A1B" w:rsidRDefault="00CC7541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Or click </w:t>
      </w:r>
      <w:r>
        <w:rPr>
          <w:b/>
          <w:bCs/>
        </w:rPr>
        <w:t>Save</w:t>
      </w:r>
      <w:r>
        <w:t xml:space="preserve"> to save the transfer and post it later.</w:t>
      </w:r>
    </w:p>
    <w:tbl>
      <w:tblPr>
        <w:tblW w:w="9360" w:type="dxa"/>
        <w:tblBorders>
          <w:top w:val="single" w:sz="2" w:space="0" w:color="D9E2F3"/>
          <w:left w:val="single" w:sz="24" w:space="0" w:color="2E75B6"/>
          <w:bottom w:val="single" w:sz="2" w:space="0" w:color="D9E2F3"/>
          <w:right w:val="single" w:sz="2" w:space="0" w:color="D9E2F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4A1B" w14:paraId="72043F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461233" w14:textId="77777777" w:rsidR="004D4A1B" w:rsidRDefault="00CC7541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Document number &amp; when it takes effect</w:t>
            </w:r>
          </w:p>
          <w:p w14:paraId="79352CEE" w14:textId="77777777" w:rsidR="004D4A1B" w:rsidRDefault="00CC7541">
            <w:pPr>
              <w:spacing w:after="40" w:line="264" w:lineRule="auto"/>
            </w:pPr>
            <w:r>
              <w:t xml:space="preserve">On posting, the system assigns a document number in the format </w:t>
            </w:r>
            <w:r>
              <w:rPr>
                <w:b/>
                <w:bCs/>
              </w:rPr>
              <w:t>TRF-</w:t>
            </w:r>
            <w:proofErr w:type="spellStart"/>
            <w:r>
              <w:rPr>
                <w:b/>
                <w:bCs/>
              </w:rPr>
              <w:t>nnnnn</w:t>
            </w:r>
            <w:proofErr w:type="spellEnd"/>
            <w:r>
              <w:t>.</w:t>
            </w:r>
          </w:p>
          <w:p w14:paraId="080990CA" w14:textId="77777777" w:rsidR="004D4A1B" w:rsidRDefault="00CC7541">
            <w:pPr>
              <w:spacing w:line="264" w:lineRule="auto"/>
            </w:pPr>
            <w:r>
              <w:rPr>
                <w:sz w:val="21"/>
                <w:szCs w:val="21"/>
              </w:rPr>
              <w:t>The transfer takes effect — and inventory balances update — only once the transaction is posted.</w:t>
            </w:r>
          </w:p>
        </w:tc>
      </w:tr>
    </w:tbl>
    <w:p w14:paraId="7C11635C" w14:textId="77777777" w:rsidR="00D64304" w:rsidRDefault="00D64304">
      <w:pPr>
        <w:pStyle w:val="Heading1"/>
      </w:pPr>
      <w:bookmarkStart w:id="11" w:name="_Toc233462114"/>
    </w:p>
    <w:p w14:paraId="09489953" w14:textId="77777777" w:rsidR="00D64304" w:rsidRDefault="00D64304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27FC0226" w14:textId="421DB8D5" w:rsidR="004D4A1B" w:rsidRDefault="00CC7541">
      <w:pPr>
        <w:pStyle w:val="Heading1"/>
      </w:pPr>
      <w:r>
        <w:lastRenderedPageBreak/>
        <w:t>4</w:t>
      </w:r>
      <w:proofErr w:type="gramStart"/>
      <w:r>
        <w:t>.  Example</w:t>
      </w:r>
      <w:proofErr w:type="gramEnd"/>
      <w:r>
        <w:t xml:space="preserve"> of a Completed Transfer</w:t>
      </w:r>
      <w:bookmarkEnd w:id="11"/>
    </w:p>
    <w:p w14:paraId="09EB3BC2" w14:textId="77777777" w:rsidR="004D4A1B" w:rsidRDefault="00CC7541">
      <w:pPr>
        <w:spacing w:after="120" w:line="276" w:lineRule="auto"/>
      </w:pPr>
      <w:r>
        <w:t xml:space="preserve">The screen below shows a completed, posted transfer. Note the assigned document number, the populated header information, and the list of transferred items with their From and </w:t>
      </w:r>
      <w:proofErr w:type="gramStart"/>
      <w:r>
        <w:t>To</w:t>
      </w:r>
      <w:proofErr w:type="gramEnd"/>
      <w:r>
        <w:t xml:space="preserve"> locations and quantities.</w:t>
      </w:r>
    </w:p>
    <w:p w14:paraId="20602DB0" w14:textId="77777777" w:rsidR="004D4A1B" w:rsidRDefault="00CC7541">
      <w:pPr>
        <w:spacing w:before="120" w:after="60"/>
        <w:jc w:val="center"/>
      </w:pPr>
      <w:r>
        <w:rPr>
          <w:noProof/>
        </w:rPr>
        <w:drawing>
          <wp:inline distT="0" distB="0" distL="0" distR="0" wp14:anchorId="5BC909CE" wp14:editId="4A8A0145">
            <wp:extent cx="5852160" cy="2852468"/>
            <wp:effectExtent l="0" t="0" r="0" b="0"/>
            <wp:docPr id="1048715357" name="Picture 1048715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85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72DC" w14:textId="77777777" w:rsidR="004D4A1B" w:rsidRDefault="00CC7541">
      <w:pPr>
        <w:spacing w:after="200"/>
        <w:jc w:val="center"/>
      </w:pPr>
      <w:r>
        <w:rPr>
          <w:b/>
          <w:bCs/>
          <w:i/>
          <w:iCs/>
          <w:color w:val="44546A"/>
          <w:sz w:val="17"/>
          <w:szCs w:val="17"/>
        </w:rPr>
        <w:t xml:space="preserve">Figure 9.  </w:t>
      </w:r>
      <w:r>
        <w:rPr>
          <w:i/>
          <w:iCs/>
          <w:color w:val="44546A"/>
          <w:sz w:val="17"/>
          <w:szCs w:val="17"/>
        </w:rPr>
        <w:t>A completed transfer showing document number TRF-00023 with multiple posted item lines.</w:t>
      </w:r>
    </w:p>
    <w:p w14:paraId="45D4250F" w14:textId="77777777" w:rsidR="004D4A1B" w:rsidRDefault="00CC7541">
      <w:pPr>
        <w:pStyle w:val="Heading1"/>
      </w:pPr>
      <w:bookmarkStart w:id="12" w:name="_Toc233462115"/>
      <w:r>
        <w:t>5</w:t>
      </w:r>
      <w:proofErr w:type="gramStart"/>
      <w:r>
        <w:t>.  Quick</w:t>
      </w:r>
      <w:proofErr w:type="gramEnd"/>
      <w:r>
        <w:t xml:space="preserve"> Reference</w:t>
      </w:r>
      <w:bookmarkEnd w:id="12"/>
    </w:p>
    <w:p w14:paraId="769E80B2" w14:textId="77777777" w:rsidR="004D4A1B" w:rsidRDefault="00CC7541">
      <w:pPr>
        <w:spacing w:after="80" w:line="276" w:lineRule="auto"/>
      </w:pPr>
      <w:r>
        <w:t xml:space="preserve">The full process </w:t>
      </w:r>
      <w:proofErr w:type="gramStart"/>
      <w:r>
        <w:t>at a glance</w:t>
      </w:r>
      <w:proofErr w:type="gramEnd"/>
      <w:r>
        <w:t>:</w:t>
      </w:r>
    </w:p>
    <w:p w14:paraId="39BC1B1C" w14:textId="77777777" w:rsidR="004D4A1B" w:rsidRDefault="00CC7541">
      <w:pPr>
        <w:pStyle w:val="ListParagraph"/>
        <w:numPr>
          <w:ilvl w:val="0"/>
          <w:numId w:val="3"/>
        </w:numPr>
        <w:spacing w:after="60" w:line="270" w:lineRule="auto"/>
      </w:pPr>
      <w:proofErr w:type="gramStart"/>
      <w:r>
        <w:t>Open  Inventory</w:t>
      </w:r>
      <w:proofErr w:type="gramEnd"/>
      <w:r>
        <w:t xml:space="preserve"> </w:t>
      </w:r>
      <w:proofErr w:type="gramStart"/>
      <w:r>
        <w:t>Control → I</w:t>
      </w:r>
      <w:proofErr w:type="gramEnd"/>
      <w:r>
        <w:t>/C Transactions → Transfers.</w:t>
      </w:r>
    </w:p>
    <w:p w14:paraId="0068D120" w14:textId="77777777" w:rsidR="004D4A1B" w:rsidRDefault="00CC7541">
      <w:pPr>
        <w:pStyle w:val="ListParagraph"/>
        <w:numPr>
          <w:ilvl w:val="0"/>
          <w:numId w:val="3"/>
        </w:numPr>
        <w:spacing w:after="60" w:line="270" w:lineRule="auto"/>
      </w:pPr>
      <w:r>
        <w:t>Enter the Document Date, Description, and Reference.</w:t>
      </w:r>
    </w:p>
    <w:p w14:paraId="502B64D5" w14:textId="77777777" w:rsidR="004D4A1B" w:rsidRDefault="00CC7541">
      <w:pPr>
        <w:pStyle w:val="ListParagraph"/>
        <w:numPr>
          <w:ilvl w:val="0"/>
          <w:numId w:val="3"/>
        </w:numPr>
        <w:spacing w:after="60" w:line="270" w:lineRule="auto"/>
      </w:pPr>
      <w:r>
        <w:t>Click into the item grid.</w:t>
      </w:r>
    </w:p>
    <w:p w14:paraId="2BC81FAA" w14:textId="77777777" w:rsidR="004D4A1B" w:rsidRDefault="00CC7541">
      <w:pPr>
        <w:pStyle w:val="ListParagraph"/>
        <w:numPr>
          <w:ilvl w:val="0"/>
          <w:numId w:val="3"/>
        </w:numPr>
        <w:spacing w:after="60" w:line="270" w:lineRule="auto"/>
      </w:pPr>
      <w:r>
        <w:t>Enter the Item Number, From Location, and To Location.</w:t>
      </w:r>
    </w:p>
    <w:p w14:paraId="37738E48" w14:textId="77777777" w:rsidR="004D4A1B" w:rsidRDefault="00CC7541">
      <w:pPr>
        <w:pStyle w:val="ListParagraph"/>
        <w:numPr>
          <w:ilvl w:val="0"/>
          <w:numId w:val="3"/>
        </w:numPr>
        <w:spacing w:after="60" w:line="270" w:lineRule="auto"/>
      </w:pPr>
      <w:r>
        <w:t>Enter the Requested Qty and Transfer Quantity.</w:t>
      </w:r>
    </w:p>
    <w:p w14:paraId="67262B9B" w14:textId="77777777" w:rsidR="004D4A1B" w:rsidRDefault="00CC7541">
      <w:pPr>
        <w:pStyle w:val="ListParagraph"/>
        <w:numPr>
          <w:ilvl w:val="0"/>
          <w:numId w:val="3"/>
        </w:numPr>
        <w:spacing w:after="60" w:line="270" w:lineRule="auto"/>
      </w:pPr>
      <w:r>
        <w:t>Press Insert to add more items as needed.</w:t>
      </w:r>
    </w:p>
    <w:p w14:paraId="3E63D624" w14:textId="77777777" w:rsidR="004D4A1B" w:rsidRDefault="00CC7541">
      <w:pPr>
        <w:pStyle w:val="ListParagraph"/>
        <w:numPr>
          <w:ilvl w:val="0"/>
          <w:numId w:val="3"/>
        </w:numPr>
        <w:spacing w:after="60" w:line="270" w:lineRule="auto"/>
      </w:pPr>
      <w:r>
        <w:t xml:space="preserve">Click Post to post </w:t>
      </w:r>
      <w:proofErr w:type="gramStart"/>
      <w:r>
        <w:t>now, or</w:t>
      </w:r>
      <w:proofErr w:type="gramEnd"/>
      <w:r>
        <w:t xml:space="preserve"> Save to post later.</w:t>
      </w:r>
    </w:p>
    <w:sectPr w:rsidR="004D4A1B" w:rsidSect="00AE0379">
      <w:headerReference w:type="default" r:id="rId16"/>
      <w:footerReference w:type="default" r:id="rId17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658E" w14:textId="77777777" w:rsidR="00CC7541" w:rsidRDefault="00CC7541">
      <w:r>
        <w:separator/>
      </w:r>
    </w:p>
  </w:endnote>
  <w:endnote w:type="continuationSeparator" w:id="0">
    <w:p w14:paraId="75DFD4D1" w14:textId="77777777" w:rsidR="00CC7541" w:rsidRDefault="00CC7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6B93A" w14:textId="77777777" w:rsidR="004D4A1B" w:rsidRDefault="00CC7541">
    <w:pPr>
      <w:pBdr>
        <w:top w:val="single" w:sz="4" w:space="4" w:color="C9D3E0"/>
      </w:pBdr>
      <w:tabs>
        <w:tab w:val="right" w:pos="9360"/>
      </w:tabs>
    </w:pPr>
    <w:r>
      <w:rPr>
        <w:color w:val="44546A"/>
        <w:sz w:val="16"/>
        <w:szCs w:val="16"/>
      </w:rPr>
      <w:t>AMAK · Sage 300 ERP User Guide</w:t>
    </w:r>
    <w:r>
      <w:rPr>
        <w:color w:val="44546A"/>
        <w:sz w:val="16"/>
        <w:szCs w:val="16"/>
      </w:rPr>
      <w:tab/>
      <w:t xml:space="preserve">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D64304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NUMPAGES</w:instrText>
    </w:r>
    <w:r>
      <w:rPr>
        <w:color w:val="44546A"/>
        <w:sz w:val="16"/>
        <w:szCs w:val="16"/>
      </w:rPr>
      <w:fldChar w:fldCharType="separate"/>
    </w:r>
    <w:r w:rsidR="00D64304">
      <w:rPr>
        <w:noProof/>
        <w:color w:val="44546A"/>
        <w:sz w:val="16"/>
        <w:szCs w:val="16"/>
      </w:rPr>
      <w:t>2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C4D76" w14:textId="77777777" w:rsidR="00CC7541" w:rsidRDefault="00CC7541">
      <w:r>
        <w:separator/>
      </w:r>
    </w:p>
  </w:footnote>
  <w:footnote w:type="continuationSeparator" w:id="0">
    <w:p w14:paraId="025565A7" w14:textId="77777777" w:rsidR="00CC7541" w:rsidRDefault="00CC7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46C6B" w14:textId="77777777" w:rsidR="004D4A1B" w:rsidRDefault="00CC7541">
    <w:pPr>
      <w:pBdr>
        <w:bottom w:val="single" w:sz="4" w:space="4" w:color="C9D3E0"/>
      </w:pBdr>
      <w:tabs>
        <w:tab w:val="right" w:pos="9360"/>
      </w:tabs>
      <w:spacing w:after="40"/>
    </w:pPr>
    <w:r>
      <w:rPr>
        <w:color w:val="44546A"/>
        <w:sz w:val="16"/>
        <w:szCs w:val="16"/>
      </w:rPr>
      <w:t>Location Transfers — User Guide</w:t>
    </w:r>
    <w:r>
      <w:rPr>
        <w:color w:val="44546A"/>
        <w:sz w:val="16"/>
        <w:szCs w:val="16"/>
      </w:rPr>
      <w:tab/>
      <w:t>Sage 300 ERP · Inventory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990"/>
    <w:multiLevelType w:val="hybridMultilevel"/>
    <w:tmpl w:val="210AFCFA"/>
    <w:lvl w:ilvl="0" w:tplc="84DA36D2">
      <w:start w:val="1"/>
      <w:numFmt w:val="decimal"/>
      <w:lvlText w:val="%1."/>
      <w:lvlJc w:val="left"/>
      <w:pPr>
        <w:ind w:left="540" w:hanging="300"/>
      </w:pPr>
    </w:lvl>
    <w:lvl w:ilvl="1" w:tplc="7A1E5288">
      <w:numFmt w:val="decimal"/>
      <w:lvlText w:val=""/>
      <w:lvlJc w:val="left"/>
    </w:lvl>
    <w:lvl w:ilvl="2" w:tplc="C4521146">
      <w:numFmt w:val="decimal"/>
      <w:lvlText w:val=""/>
      <w:lvlJc w:val="left"/>
    </w:lvl>
    <w:lvl w:ilvl="3" w:tplc="06C4E458">
      <w:numFmt w:val="decimal"/>
      <w:lvlText w:val=""/>
      <w:lvlJc w:val="left"/>
    </w:lvl>
    <w:lvl w:ilvl="4" w:tplc="84C038A0">
      <w:numFmt w:val="decimal"/>
      <w:lvlText w:val=""/>
      <w:lvlJc w:val="left"/>
    </w:lvl>
    <w:lvl w:ilvl="5" w:tplc="D9A88F2C">
      <w:numFmt w:val="decimal"/>
      <w:lvlText w:val=""/>
      <w:lvlJc w:val="left"/>
    </w:lvl>
    <w:lvl w:ilvl="6" w:tplc="1F7EA1E0">
      <w:numFmt w:val="decimal"/>
      <w:lvlText w:val=""/>
      <w:lvlJc w:val="left"/>
    </w:lvl>
    <w:lvl w:ilvl="7" w:tplc="AB22D3B6">
      <w:numFmt w:val="decimal"/>
      <w:lvlText w:val=""/>
      <w:lvlJc w:val="left"/>
    </w:lvl>
    <w:lvl w:ilvl="8" w:tplc="A83EBDC2">
      <w:numFmt w:val="decimal"/>
      <w:lvlText w:val=""/>
      <w:lvlJc w:val="left"/>
    </w:lvl>
  </w:abstractNum>
  <w:abstractNum w:abstractNumId="1" w15:restartNumberingAfterBreak="0">
    <w:nsid w:val="58711D33"/>
    <w:multiLevelType w:val="hybridMultilevel"/>
    <w:tmpl w:val="AE5EC38C"/>
    <w:lvl w:ilvl="0" w:tplc="4CCE030C">
      <w:start w:val="1"/>
      <w:numFmt w:val="bullet"/>
      <w:lvlText w:val="•"/>
      <w:lvlJc w:val="left"/>
      <w:pPr>
        <w:ind w:left="540" w:hanging="260"/>
      </w:pPr>
      <w:rPr>
        <w:color w:val="2E75B6"/>
      </w:rPr>
    </w:lvl>
    <w:lvl w:ilvl="1" w:tplc="3018668C">
      <w:numFmt w:val="decimal"/>
      <w:lvlText w:val=""/>
      <w:lvlJc w:val="left"/>
    </w:lvl>
    <w:lvl w:ilvl="2" w:tplc="9FAC196C">
      <w:numFmt w:val="decimal"/>
      <w:lvlText w:val=""/>
      <w:lvlJc w:val="left"/>
    </w:lvl>
    <w:lvl w:ilvl="3" w:tplc="91FE43C2">
      <w:numFmt w:val="decimal"/>
      <w:lvlText w:val=""/>
      <w:lvlJc w:val="left"/>
    </w:lvl>
    <w:lvl w:ilvl="4" w:tplc="F52A029A">
      <w:numFmt w:val="decimal"/>
      <w:lvlText w:val=""/>
      <w:lvlJc w:val="left"/>
    </w:lvl>
    <w:lvl w:ilvl="5" w:tplc="43487BE4">
      <w:numFmt w:val="decimal"/>
      <w:lvlText w:val=""/>
      <w:lvlJc w:val="left"/>
    </w:lvl>
    <w:lvl w:ilvl="6" w:tplc="3CA04F7C">
      <w:numFmt w:val="decimal"/>
      <w:lvlText w:val=""/>
      <w:lvlJc w:val="left"/>
    </w:lvl>
    <w:lvl w:ilvl="7" w:tplc="9B8E114A">
      <w:numFmt w:val="decimal"/>
      <w:lvlText w:val=""/>
      <w:lvlJc w:val="left"/>
    </w:lvl>
    <w:lvl w:ilvl="8" w:tplc="9A72B3DC">
      <w:numFmt w:val="decimal"/>
      <w:lvlText w:val=""/>
      <w:lvlJc w:val="left"/>
    </w:lvl>
  </w:abstractNum>
  <w:abstractNum w:abstractNumId="2" w15:restartNumberingAfterBreak="0">
    <w:nsid w:val="5D001DC5"/>
    <w:multiLevelType w:val="hybridMultilevel"/>
    <w:tmpl w:val="A736656A"/>
    <w:lvl w:ilvl="0" w:tplc="1B9EEBAA">
      <w:start w:val="1"/>
      <w:numFmt w:val="bullet"/>
      <w:lvlText w:val="●"/>
      <w:lvlJc w:val="left"/>
      <w:pPr>
        <w:ind w:left="720" w:hanging="360"/>
      </w:pPr>
    </w:lvl>
    <w:lvl w:ilvl="1" w:tplc="5622AB46">
      <w:start w:val="1"/>
      <w:numFmt w:val="bullet"/>
      <w:lvlText w:val="○"/>
      <w:lvlJc w:val="left"/>
      <w:pPr>
        <w:ind w:left="1440" w:hanging="360"/>
      </w:pPr>
    </w:lvl>
    <w:lvl w:ilvl="2" w:tplc="0F2083EE">
      <w:start w:val="1"/>
      <w:numFmt w:val="bullet"/>
      <w:lvlText w:val="■"/>
      <w:lvlJc w:val="left"/>
      <w:pPr>
        <w:ind w:left="2160" w:hanging="360"/>
      </w:pPr>
    </w:lvl>
    <w:lvl w:ilvl="3" w:tplc="CA1C4E24">
      <w:start w:val="1"/>
      <w:numFmt w:val="bullet"/>
      <w:lvlText w:val="●"/>
      <w:lvlJc w:val="left"/>
      <w:pPr>
        <w:ind w:left="2880" w:hanging="360"/>
      </w:pPr>
    </w:lvl>
    <w:lvl w:ilvl="4" w:tplc="49C6B730">
      <w:start w:val="1"/>
      <w:numFmt w:val="bullet"/>
      <w:lvlText w:val="○"/>
      <w:lvlJc w:val="left"/>
      <w:pPr>
        <w:ind w:left="3600" w:hanging="360"/>
      </w:pPr>
    </w:lvl>
    <w:lvl w:ilvl="5" w:tplc="3A961C5E">
      <w:start w:val="1"/>
      <w:numFmt w:val="bullet"/>
      <w:lvlText w:val="■"/>
      <w:lvlJc w:val="left"/>
      <w:pPr>
        <w:ind w:left="4320" w:hanging="360"/>
      </w:pPr>
    </w:lvl>
    <w:lvl w:ilvl="6" w:tplc="9EB06286">
      <w:start w:val="1"/>
      <w:numFmt w:val="bullet"/>
      <w:lvlText w:val="●"/>
      <w:lvlJc w:val="left"/>
      <w:pPr>
        <w:ind w:left="5040" w:hanging="360"/>
      </w:pPr>
    </w:lvl>
    <w:lvl w:ilvl="7" w:tplc="34367C16">
      <w:start w:val="1"/>
      <w:numFmt w:val="bullet"/>
      <w:lvlText w:val="●"/>
      <w:lvlJc w:val="left"/>
      <w:pPr>
        <w:ind w:left="5760" w:hanging="360"/>
      </w:pPr>
    </w:lvl>
    <w:lvl w:ilvl="8" w:tplc="E40C4426">
      <w:start w:val="1"/>
      <w:numFmt w:val="bullet"/>
      <w:lvlText w:val="●"/>
      <w:lvlJc w:val="left"/>
      <w:pPr>
        <w:ind w:left="6480" w:hanging="360"/>
      </w:pPr>
    </w:lvl>
  </w:abstractNum>
  <w:num w:numId="1" w16cid:durableId="21058960">
    <w:abstractNumId w:val="2"/>
    <w:lvlOverride w:ilvl="0">
      <w:startOverride w:val="1"/>
    </w:lvlOverride>
  </w:num>
  <w:num w:numId="2" w16cid:durableId="677998314">
    <w:abstractNumId w:val="1"/>
    <w:lvlOverride w:ilvl="0">
      <w:startOverride w:val="1"/>
    </w:lvlOverride>
  </w:num>
  <w:num w:numId="3" w16cid:durableId="1666006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A1B"/>
    <w:rsid w:val="004D4A1B"/>
    <w:rsid w:val="00AE0379"/>
    <w:rsid w:val="00CC7541"/>
    <w:rsid w:val="00D64304"/>
    <w:rsid w:val="00E5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2F7"/>
  <w15:docId w15:val="{3445DC05-D024-43FE-A178-916F7672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2E75B6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643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3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Location Transfers — Sage 300 User Guide</vt:lpstr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Location Transfers — Sage 300 User Guide</dc:title>
  <dc:creator>Ubaidullah Nubar</dc:creator>
  <cp:lastModifiedBy>Ubaidullah Nubar</cp:lastModifiedBy>
  <cp:revision>4</cp:revision>
  <dcterms:created xsi:type="dcterms:W3CDTF">2026-06-27T11:10:00Z</dcterms:created>
  <dcterms:modified xsi:type="dcterms:W3CDTF">2026-06-27T11:18:00Z</dcterms:modified>
</cp:coreProperties>
</file>