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2128" w14:textId="77777777" w:rsidR="00CA66EC" w:rsidRDefault="00CA66EC">
      <w:pPr>
        <w:spacing w:before="1200"/>
        <w:jc w:val="center"/>
      </w:pPr>
    </w:p>
    <w:p w14:paraId="1EAEE28F" w14:textId="77777777" w:rsidR="00CA66EC" w:rsidRDefault="00D12A24">
      <w:pPr>
        <w:spacing w:after="12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Web </w:t>
      </w:r>
      <w:r>
        <w:rPr>
          <w:rFonts w:ascii="Arial" w:eastAsia="黑体" w:hAnsi="Arial"/>
          <w:b/>
          <w:bCs/>
          <w:sz w:val="40"/>
          <w:szCs w:val="40"/>
        </w:rPr>
        <w:t>应用开发技术</w:t>
      </w:r>
    </w:p>
    <w:p w14:paraId="36365880" w14:textId="77777777" w:rsidR="00CA66EC" w:rsidRDefault="00D12A24">
      <w:pPr>
        <w:spacing w:after="600"/>
        <w:jc w:val="center"/>
      </w:pPr>
      <w:r>
        <w:rPr>
          <w:rFonts w:ascii="Arial" w:eastAsia="黑体" w:hAnsi="Arial"/>
          <w:b/>
          <w:bCs/>
          <w:color w:val="555555"/>
          <w:sz w:val="30"/>
          <w:szCs w:val="30"/>
        </w:rPr>
        <w:t>课程大作业</w:t>
      </w:r>
      <w:r>
        <w:rPr>
          <w:rFonts w:ascii="Arial" w:eastAsia="黑体" w:hAnsi="Arial"/>
          <w:b/>
          <w:bCs/>
          <w:color w:val="555555"/>
          <w:sz w:val="30"/>
          <w:szCs w:val="30"/>
        </w:rPr>
        <w:t xml:space="preserve"> · </w:t>
      </w:r>
      <w:r>
        <w:rPr>
          <w:rFonts w:ascii="Arial" w:eastAsia="黑体" w:hAnsi="Arial"/>
          <w:b/>
          <w:bCs/>
          <w:color w:val="555555"/>
          <w:sz w:val="30"/>
          <w:szCs w:val="30"/>
        </w:rPr>
        <w:t>辅助文档</w:t>
      </w:r>
    </w:p>
    <w:p w14:paraId="5DEDE417" w14:textId="77777777" w:rsidR="00CA66EC" w:rsidRPr="00B7144E" w:rsidRDefault="00D12A24">
      <w:pPr>
        <w:spacing w:after="100"/>
        <w:jc w:val="center"/>
        <w:rPr>
          <w:color w:val="000000" w:themeColor="text1"/>
        </w:rPr>
      </w:pPr>
      <w:r w:rsidRPr="00B7144E">
        <w:rPr>
          <w:rFonts w:eastAsia="楷体"/>
          <w:color w:val="000000" w:themeColor="text1"/>
          <w:sz w:val="28"/>
          <w:szCs w:val="28"/>
        </w:rPr>
        <w:t xml:space="preserve">PaperWeave · </w:t>
      </w:r>
      <w:r w:rsidRPr="00B7144E">
        <w:rPr>
          <w:rFonts w:eastAsia="楷体"/>
          <w:color w:val="000000" w:themeColor="text1"/>
          <w:sz w:val="28"/>
          <w:szCs w:val="28"/>
        </w:rPr>
        <w:t>研究型论文助手</w:t>
      </w:r>
    </w:p>
    <w:p w14:paraId="0A542C09" w14:textId="77777777" w:rsidR="00CA66EC" w:rsidRDefault="00D12A24">
      <w:pPr>
        <w:spacing w:after="700"/>
        <w:jc w:val="center"/>
      </w:pPr>
      <w:r>
        <w:rPr>
          <w:rFonts w:eastAsia="楷体"/>
          <w:color w:val="777777"/>
          <w:sz w:val="22"/>
          <w:szCs w:val="22"/>
        </w:rPr>
        <w:t>检索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精读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梳理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立论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撰写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制图</w:t>
      </w:r>
    </w:p>
    <w:p w14:paraId="5A2A1B67" w14:textId="77777777" w:rsidR="00CA66EC" w:rsidRDefault="00D12A24">
      <w:pPr>
        <w:spacing w:after="120"/>
        <w:jc w:val="center"/>
      </w:pPr>
      <w:r>
        <w:rPr>
          <w:rFonts w:ascii="Arial" w:eastAsia="黑体" w:hAnsi="Arial"/>
          <w:b/>
          <w:bCs/>
          <w:color w:val="311B92"/>
          <w:sz w:val="52"/>
          <w:szCs w:val="52"/>
        </w:rPr>
        <w:t>用户使用手册</w:t>
      </w:r>
    </w:p>
    <w:p w14:paraId="1C6A18DC" w14:textId="77777777" w:rsidR="00CA66EC" w:rsidRDefault="00D12A24">
      <w:pPr>
        <w:spacing w:after="900"/>
        <w:jc w:val="center"/>
      </w:pPr>
      <w:r>
        <w:rPr>
          <w:rFonts w:eastAsia="楷体"/>
          <w:color w:val="666666"/>
        </w:rPr>
        <w:t xml:space="preserve">PaperWeave </w:t>
      </w:r>
      <w:r>
        <w:rPr>
          <w:rFonts w:eastAsia="楷体"/>
          <w:color w:val="666666"/>
        </w:rPr>
        <w:t>论文精读与研究推进工作台</w:t>
      </w:r>
      <w:r>
        <w:rPr>
          <w:rFonts w:eastAsia="楷体"/>
          <w:color w:val="666666"/>
        </w:rPr>
        <w:t xml:space="preserve"> · </w:t>
      </w:r>
      <w:r>
        <w:rPr>
          <w:rFonts w:eastAsia="楷体"/>
          <w:color w:val="666666"/>
        </w:rPr>
        <w:t>面向使用者的操作指南</w:t>
      </w:r>
    </w:p>
    <w:p w14:paraId="2D486C9E" w14:textId="77777777" w:rsidR="00CA66EC" w:rsidRDefault="00D12A24">
      <w:pPr>
        <w:spacing w:after="80"/>
        <w:jc w:val="center"/>
      </w:pPr>
      <w:r>
        <w:rPr>
          <w:rFonts w:ascii="Arial" w:eastAsia="黑体" w:hAnsi="Arial"/>
        </w:rPr>
        <w:t>课程名称：</w:t>
      </w:r>
      <w:r>
        <w:t xml:space="preserve">Web </w:t>
      </w:r>
      <w:r>
        <w:t>应用开发技术</w:t>
      </w:r>
    </w:p>
    <w:p w14:paraId="4E7BA1D2" w14:textId="77777777" w:rsidR="00CA66EC" w:rsidRDefault="00D12A24">
      <w:pPr>
        <w:spacing w:after="80"/>
        <w:jc w:val="center"/>
      </w:pPr>
      <w:r>
        <w:rPr>
          <w:rFonts w:ascii="Arial" w:eastAsia="黑体" w:hAnsi="Arial"/>
        </w:rPr>
        <w:t>项目名称：</w:t>
      </w:r>
      <w:r>
        <w:t xml:space="preserve">PaperWeave </w:t>
      </w:r>
      <w:r>
        <w:t>论文精读与研究推进工作台</w:t>
      </w:r>
    </w:p>
    <w:p w14:paraId="10FB6589" w14:textId="3D57686A" w:rsidR="00CA66EC" w:rsidRDefault="00B7144E" w:rsidP="00B7144E">
      <w:pPr>
        <w:spacing w:after="80"/>
        <w:jc w:val="center"/>
      </w:pPr>
      <w:r>
        <w:rPr>
          <w:rFonts w:ascii="Arial" w:eastAsia="黑体" w:hAnsi="Arial" w:hint="eastAsia"/>
        </w:rPr>
        <w:t>组长</w:t>
      </w:r>
      <w:r w:rsidR="00D12A24">
        <w:rPr>
          <w:rFonts w:ascii="Arial" w:eastAsia="黑体" w:hAnsi="Arial"/>
        </w:rPr>
        <w:t>：</w:t>
      </w:r>
      <w:r w:rsidR="00D12A24">
        <w:t>郭子豪</w:t>
      </w:r>
      <w:r w:rsidR="00D12A24">
        <w:t>1191230428</w:t>
      </w:r>
    </w:p>
    <w:p w14:paraId="13735237" w14:textId="5ADE2F16" w:rsidR="00B7144E" w:rsidRDefault="00B7144E" w:rsidP="00B7144E">
      <w:pPr>
        <w:spacing w:after="80"/>
        <w:jc w:val="center"/>
        <w:rPr>
          <w:rFonts w:hint="eastAsia"/>
        </w:rPr>
      </w:pPr>
      <w:r>
        <w:rPr>
          <w:rFonts w:hint="eastAsia"/>
        </w:rPr>
        <w:t>组员</w:t>
      </w:r>
      <w:r>
        <w:rPr>
          <w:rFonts w:hint="eastAsia"/>
        </w:rPr>
        <w:t xml:space="preserve">: </w:t>
      </w:r>
      <w:r>
        <w:rPr>
          <w:rFonts w:hint="eastAsia"/>
        </w:rPr>
        <w:t>严可</w:t>
      </w:r>
      <w:r w:rsidRPr="00B7144E">
        <w:t>1191200513</w:t>
      </w:r>
    </w:p>
    <w:p w14:paraId="1772F96F" w14:textId="77777777" w:rsidR="00CA66EC" w:rsidRDefault="00D12A24">
      <w:pPr>
        <w:spacing w:after="80"/>
        <w:jc w:val="center"/>
      </w:pPr>
      <w:r>
        <w:rPr>
          <w:rFonts w:ascii="Arial" w:eastAsia="黑体" w:hAnsi="Arial"/>
        </w:rPr>
        <w:t>专业班级：</w:t>
      </w:r>
      <w:r>
        <w:t>数字媒体技术</w:t>
      </w:r>
      <w:r>
        <w:t xml:space="preserve"> 2304</w:t>
      </w:r>
    </w:p>
    <w:p w14:paraId="30D7E7CC" w14:textId="77777777" w:rsidR="00CA66EC" w:rsidRDefault="00D12A24">
      <w:pPr>
        <w:spacing w:after="80"/>
        <w:jc w:val="center"/>
      </w:pPr>
      <w:r>
        <w:rPr>
          <w:rFonts w:ascii="Arial" w:eastAsia="黑体" w:hAnsi="Arial"/>
        </w:rPr>
        <w:t>指导教师：</w:t>
      </w:r>
      <w:r>
        <w:t>范超</w:t>
      </w:r>
    </w:p>
    <w:p w14:paraId="65E45A18" w14:textId="77777777" w:rsidR="00CA66EC" w:rsidRDefault="00D12A24">
      <w:pPr>
        <w:spacing w:after="80"/>
        <w:jc w:val="center"/>
      </w:pPr>
      <w:r>
        <w:rPr>
          <w:rFonts w:ascii="Arial" w:eastAsia="黑体" w:hAnsi="Arial"/>
        </w:rPr>
        <w:t>线上地址：</w:t>
      </w:r>
      <w:r>
        <w:t>https://www.z1ha0.com</w:t>
      </w:r>
    </w:p>
    <w:p w14:paraId="04613485" w14:textId="77777777" w:rsidR="00CA66EC" w:rsidRDefault="00D12A24">
      <w:pPr>
        <w:spacing w:after="80"/>
        <w:jc w:val="center"/>
      </w:pPr>
      <w:r>
        <w:rPr>
          <w:rFonts w:ascii="Arial" w:eastAsia="黑体" w:hAnsi="Arial"/>
        </w:rPr>
        <w:t>完成日期：</w:t>
      </w:r>
      <w:r>
        <w:t xml:space="preserve">2026 </w:t>
      </w:r>
      <w:r>
        <w:t>年</w:t>
      </w:r>
      <w:r>
        <w:t xml:space="preserve"> 6 </w:t>
      </w:r>
      <w:r>
        <w:t>月</w:t>
      </w:r>
    </w:p>
    <w:p w14:paraId="20289814" w14:textId="77777777" w:rsidR="00CA66EC" w:rsidRDefault="00D12A24">
      <w:r>
        <w:br w:type="page"/>
      </w:r>
    </w:p>
    <w:p w14:paraId="505EEEDD" w14:textId="77777777" w:rsidR="00CA66EC" w:rsidRDefault="00D12A24">
      <w:pPr>
        <w:pStyle w:val="1"/>
      </w:pPr>
      <w:bookmarkStart w:id="0" w:name="_Toc233465728"/>
      <w:r>
        <w:rPr>
          <w:rFonts w:eastAsia="黑体"/>
          <w:color w:val="1A1A1A"/>
        </w:rPr>
        <w:lastRenderedPageBreak/>
        <w:t>目录</w:t>
      </w:r>
      <w:bookmarkEnd w:id="0"/>
    </w:p>
    <w:sdt>
      <w:sdtPr>
        <w:alias w:val="Table of Contents"/>
        <w:id w:val="1775360590"/>
      </w:sdtPr>
      <w:sdtEndPr/>
      <w:sdtContent>
        <w:p w14:paraId="64FE6595" w14:textId="77777777" w:rsidR="00B7144E" w:rsidRDefault="00D12A24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465728" w:history="1">
            <w:r w:rsidR="00B7144E" w:rsidRPr="00A5743F">
              <w:rPr>
                <w:rStyle w:val="a5"/>
                <w:rFonts w:eastAsia="黑体"/>
                <w:noProof/>
              </w:rPr>
              <w:t>目录</w:t>
            </w:r>
            <w:r w:rsidR="00B7144E">
              <w:rPr>
                <w:rFonts w:hint="eastAsia"/>
                <w:noProof/>
              </w:rPr>
              <w:tab/>
            </w:r>
            <w:r w:rsidR="00B7144E">
              <w:rPr>
                <w:rFonts w:hint="eastAsia"/>
                <w:noProof/>
              </w:rPr>
              <w:fldChar w:fldCharType="begin"/>
            </w:r>
            <w:r w:rsidR="00B7144E">
              <w:rPr>
                <w:rFonts w:hint="eastAsia"/>
                <w:noProof/>
              </w:rPr>
              <w:instrText xml:space="preserve"> </w:instrText>
            </w:r>
            <w:r w:rsidR="00B7144E">
              <w:rPr>
                <w:noProof/>
              </w:rPr>
              <w:instrText>PAGEREF _Toc233465728 \h</w:instrText>
            </w:r>
            <w:r w:rsidR="00B7144E">
              <w:rPr>
                <w:rFonts w:hint="eastAsia"/>
                <w:noProof/>
              </w:rPr>
              <w:instrText xml:space="preserve"> </w:instrText>
            </w:r>
            <w:r w:rsidR="00B7144E">
              <w:rPr>
                <w:rFonts w:hint="eastAsia"/>
                <w:noProof/>
              </w:rPr>
            </w:r>
            <w:r w:rsidR="00B7144E">
              <w:rPr>
                <w:rFonts w:hint="eastAsia"/>
                <w:noProof/>
              </w:rPr>
              <w:fldChar w:fldCharType="separate"/>
            </w:r>
            <w:r w:rsidR="00B7144E">
              <w:rPr>
                <w:noProof/>
              </w:rPr>
              <w:t>1</w:t>
            </w:r>
            <w:r w:rsidR="00B7144E">
              <w:rPr>
                <w:rFonts w:hint="eastAsia"/>
                <w:noProof/>
              </w:rPr>
              <w:fldChar w:fldCharType="end"/>
            </w:r>
          </w:hyperlink>
        </w:p>
        <w:p w14:paraId="0E8BE20B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29" w:history="1">
            <w:r w:rsidRPr="00A5743F">
              <w:rPr>
                <w:rStyle w:val="a5"/>
                <w:rFonts w:eastAsia="黑体"/>
                <w:noProof/>
              </w:rPr>
              <w:t>一、产品简介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6B7C77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30" w:history="1">
            <w:r w:rsidRPr="00A5743F">
              <w:rPr>
                <w:rStyle w:val="a5"/>
                <w:rFonts w:eastAsia="黑体"/>
                <w:noProof/>
              </w:rPr>
              <w:t>二、快速开始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92AB1C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31" w:history="1">
            <w:r w:rsidRPr="00A5743F">
              <w:rPr>
                <w:rStyle w:val="a5"/>
                <w:rFonts w:eastAsia="黑体"/>
                <w:noProof/>
              </w:rPr>
              <w:t>三、核心工作流：检索</w:t>
            </w:r>
            <w:r w:rsidRPr="00A5743F">
              <w:rPr>
                <w:rStyle w:val="a5"/>
                <w:rFonts w:eastAsia="黑体"/>
                <w:noProof/>
              </w:rPr>
              <w:t xml:space="preserve"> → </w:t>
            </w:r>
            <w:r w:rsidRPr="00A5743F">
              <w:rPr>
                <w:rStyle w:val="a5"/>
                <w:rFonts w:eastAsia="黑体"/>
                <w:noProof/>
              </w:rPr>
              <w:t>精读</w:t>
            </w:r>
            <w:r w:rsidRPr="00A5743F">
              <w:rPr>
                <w:rStyle w:val="a5"/>
                <w:rFonts w:eastAsia="黑体"/>
                <w:noProof/>
              </w:rPr>
              <w:t xml:space="preserve"> → </w:t>
            </w:r>
            <w:r w:rsidRPr="00A5743F">
              <w:rPr>
                <w:rStyle w:val="a5"/>
                <w:rFonts w:eastAsia="黑体"/>
                <w:noProof/>
              </w:rPr>
              <w:t>梳理</w:t>
            </w:r>
            <w:r w:rsidRPr="00A5743F">
              <w:rPr>
                <w:rStyle w:val="a5"/>
                <w:rFonts w:eastAsia="黑体"/>
                <w:noProof/>
              </w:rPr>
              <w:t xml:space="preserve"> → </w:t>
            </w:r>
            <w:r w:rsidRPr="00A5743F">
              <w:rPr>
                <w:rStyle w:val="a5"/>
                <w:rFonts w:eastAsia="黑体"/>
                <w:noProof/>
              </w:rPr>
              <w:t>立论</w:t>
            </w:r>
            <w:r w:rsidRPr="00A5743F">
              <w:rPr>
                <w:rStyle w:val="a5"/>
                <w:rFonts w:eastAsia="黑体"/>
                <w:noProof/>
              </w:rPr>
              <w:t xml:space="preserve"> → </w:t>
            </w:r>
            <w:r w:rsidRPr="00A5743F">
              <w:rPr>
                <w:rStyle w:val="a5"/>
                <w:rFonts w:eastAsia="黑体"/>
                <w:noProof/>
              </w:rPr>
              <w:t>撰写</w:t>
            </w:r>
            <w:r w:rsidRPr="00A5743F">
              <w:rPr>
                <w:rStyle w:val="a5"/>
                <w:rFonts w:eastAsia="黑体"/>
                <w:noProof/>
              </w:rPr>
              <w:t xml:space="preserve"> → </w:t>
            </w:r>
            <w:r w:rsidRPr="00A5743F">
              <w:rPr>
                <w:rStyle w:val="a5"/>
                <w:rFonts w:eastAsia="黑体"/>
                <w:noProof/>
              </w:rPr>
              <w:t>制图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BB2EC2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32" w:history="1">
            <w:r w:rsidRPr="00A5743F">
              <w:rPr>
                <w:rStyle w:val="a5"/>
                <w:rFonts w:eastAsia="黑体"/>
                <w:noProof/>
              </w:rPr>
              <w:t xml:space="preserve">3.1 </w:t>
            </w:r>
            <w:r w:rsidRPr="00A5743F">
              <w:rPr>
                <w:rStyle w:val="a5"/>
                <w:rFonts w:eastAsia="黑体"/>
                <w:noProof/>
              </w:rPr>
              <w:t>检索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FD9D4B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33" w:history="1">
            <w:r w:rsidRPr="00A5743F">
              <w:rPr>
                <w:rStyle w:val="a5"/>
                <w:rFonts w:eastAsia="黑体"/>
                <w:noProof/>
              </w:rPr>
              <w:t xml:space="preserve">3.2 </w:t>
            </w:r>
            <w:r w:rsidRPr="00A5743F">
              <w:rPr>
                <w:rStyle w:val="a5"/>
                <w:rFonts w:eastAsia="黑体"/>
                <w:noProof/>
              </w:rPr>
              <w:t>精读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8837C4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34" w:history="1">
            <w:r w:rsidRPr="00A5743F">
              <w:rPr>
                <w:rStyle w:val="a5"/>
                <w:rFonts w:eastAsia="黑体"/>
                <w:noProof/>
              </w:rPr>
              <w:t xml:space="preserve">3.3 </w:t>
            </w:r>
            <w:r w:rsidRPr="00A5743F">
              <w:rPr>
                <w:rStyle w:val="a5"/>
                <w:rFonts w:eastAsia="黑体"/>
                <w:noProof/>
              </w:rPr>
              <w:t>梳理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D014DF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35" w:history="1">
            <w:r w:rsidRPr="00A5743F">
              <w:rPr>
                <w:rStyle w:val="a5"/>
                <w:rFonts w:eastAsia="黑体"/>
                <w:noProof/>
              </w:rPr>
              <w:t xml:space="preserve">3.4 </w:t>
            </w:r>
            <w:r w:rsidRPr="00A5743F">
              <w:rPr>
                <w:rStyle w:val="a5"/>
                <w:rFonts w:eastAsia="黑体"/>
                <w:noProof/>
              </w:rPr>
              <w:t>立论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BD9177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36" w:history="1">
            <w:r w:rsidRPr="00A5743F">
              <w:rPr>
                <w:rStyle w:val="a5"/>
                <w:rFonts w:eastAsia="黑体"/>
                <w:noProof/>
              </w:rPr>
              <w:t xml:space="preserve">3.5 </w:t>
            </w:r>
            <w:r w:rsidRPr="00A5743F">
              <w:rPr>
                <w:rStyle w:val="a5"/>
                <w:rFonts w:eastAsia="黑体"/>
                <w:noProof/>
              </w:rPr>
              <w:t>撰写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8275FE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37" w:history="1">
            <w:r w:rsidRPr="00A5743F">
              <w:rPr>
                <w:rStyle w:val="a5"/>
                <w:rFonts w:eastAsia="黑体"/>
                <w:noProof/>
              </w:rPr>
              <w:t xml:space="preserve">3.6 </w:t>
            </w:r>
            <w:r w:rsidRPr="00A5743F">
              <w:rPr>
                <w:rStyle w:val="a5"/>
                <w:rFonts w:eastAsia="黑体"/>
                <w:noProof/>
              </w:rPr>
              <w:t>制图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F5838B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38" w:history="1">
            <w:r w:rsidRPr="00A5743F">
              <w:rPr>
                <w:rStyle w:val="a5"/>
                <w:rFonts w:eastAsia="黑体"/>
                <w:noProof/>
              </w:rPr>
              <w:t xml:space="preserve">3.7 </w:t>
            </w:r>
            <w:r w:rsidRPr="00A5743F">
              <w:rPr>
                <w:rStyle w:val="a5"/>
                <w:rFonts w:eastAsia="黑体"/>
                <w:noProof/>
              </w:rPr>
              <w:t>跟着</w:t>
            </w:r>
            <w:r w:rsidRPr="00A5743F">
              <w:rPr>
                <w:rStyle w:val="a5"/>
                <w:rFonts w:eastAsia="黑体"/>
                <w:noProof/>
              </w:rPr>
              <w:t>“</w:t>
            </w:r>
            <w:r w:rsidRPr="00A5743F">
              <w:rPr>
                <w:rStyle w:val="a5"/>
                <w:rFonts w:eastAsia="黑体"/>
                <w:noProof/>
              </w:rPr>
              <w:t>完整示例</w:t>
            </w:r>
            <w:r w:rsidRPr="00A5743F">
              <w:rPr>
                <w:rStyle w:val="a5"/>
                <w:rFonts w:eastAsia="黑体"/>
                <w:noProof/>
              </w:rPr>
              <w:t>”</w:t>
            </w:r>
            <w:r w:rsidRPr="00A5743F">
              <w:rPr>
                <w:rStyle w:val="a5"/>
                <w:rFonts w:eastAsia="黑体"/>
                <w:noProof/>
              </w:rPr>
              <w:t>走一遍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C41F20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39" w:history="1">
            <w:r w:rsidRPr="00A5743F">
              <w:rPr>
                <w:rStyle w:val="a5"/>
                <w:rFonts w:eastAsia="黑体"/>
                <w:noProof/>
              </w:rPr>
              <w:t>四、可视化展厅（</w:t>
            </w:r>
            <w:r w:rsidRPr="00A5743F">
              <w:rPr>
                <w:rStyle w:val="a5"/>
                <w:rFonts w:eastAsia="黑体"/>
                <w:noProof/>
              </w:rPr>
              <w:t>Gallery</w:t>
            </w:r>
            <w:r w:rsidRPr="00A5743F">
              <w:rPr>
                <w:rStyle w:val="a5"/>
                <w:rFonts w:eastAsia="黑体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EAC7DF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40" w:history="1">
            <w:r w:rsidRPr="00A5743F">
              <w:rPr>
                <w:rStyle w:val="a5"/>
                <w:rFonts w:eastAsia="黑体"/>
                <w:noProof/>
              </w:rPr>
              <w:t xml:space="preserve">4.1 </w:t>
            </w:r>
            <w:r w:rsidRPr="00A5743F">
              <w:rPr>
                <w:rStyle w:val="a5"/>
                <w:rFonts w:eastAsia="黑体"/>
                <w:noProof/>
              </w:rPr>
              <w:t>经典模型讲解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028728" w14:textId="77777777" w:rsidR="00B7144E" w:rsidRDefault="00B7144E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465741" w:history="1">
            <w:r w:rsidRPr="00A5743F">
              <w:rPr>
                <w:rStyle w:val="a5"/>
                <w:rFonts w:eastAsia="黑体"/>
                <w:noProof/>
              </w:rPr>
              <w:t xml:space="preserve">4.2 </w:t>
            </w:r>
            <w:r w:rsidRPr="00A5743F">
              <w:rPr>
                <w:rStyle w:val="a5"/>
                <w:rFonts w:eastAsia="黑体"/>
                <w:noProof/>
              </w:rPr>
              <w:t>生成模型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07FEDF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42" w:history="1">
            <w:r w:rsidRPr="00A5743F">
              <w:rPr>
                <w:rStyle w:val="a5"/>
                <w:rFonts w:eastAsia="黑体"/>
                <w:noProof/>
              </w:rPr>
              <w:t>五、论文库与阅读器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C975B8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43" w:history="1">
            <w:r w:rsidRPr="00A5743F">
              <w:rPr>
                <w:rStyle w:val="a5"/>
                <w:rFonts w:eastAsia="黑体"/>
                <w:noProof/>
              </w:rPr>
              <w:t>六、配套工具与命令行扩展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B60357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44" w:history="1">
            <w:r w:rsidRPr="00A5743F">
              <w:rPr>
                <w:rStyle w:val="a5"/>
                <w:rFonts w:eastAsia="黑体"/>
                <w:noProof/>
              </w:rPr>
              <w:t>七、配置</w:t>
            </w:r>
            <w:r w:rsidRPr="00A5743F">
              <w:rPr>
                <w:rStyle w:val="a5"/>
                <w:rFonts w:eastAsia="黑体"/>
                <w:noProof/>
              </w:rPr>
              <w:t xml:space="preserve"> AI </w:t>
            </w:r>
            <w:r w:rsidRPr="00A5743F">
              <w:rPr>
                <w:rStyle w:val="a5"/>
                <w:rFonts w:eastAsia="黑体"/>
                <w:noProof/>
              </w:rPr>
              <w:t>密钥与云同步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AADEDF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45" w:history="1">
            <w:r w:rsidRPr="00A5743F">
              <w:rPr>
                <w:rStyle w:val="a5"/>
                <w:rFonts w:eastAsia="黑体"/>
                <w:noProof/>
              </w:rPr>
              <w:t>八、常见问题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34E8AD" w14:textId="77777777" w:rsidR="00B7144E" w:rsidRDefault="00B7144E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465746" w:history="1">
            <w:r w:rsidRPr="00A5743F">
              <w:rPr>
                <w:rStyle w:val="a5"/>
                <w:rFonts w:eastAsia="黑体"/>
                <w:noProof/>
              </w:rPr>
              <w:t>九、附录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CF229E" w14:textId="77777777" w:rsidR="00CA66EC" w:rsidRDefault="00D12A24">
          <w:r>
            <w:fldChar w:fldCharType="end"/>
          </w:r>
        </w:p>
      </w:sdtContent>
    </w:sdt>
    <w:p w14:paraId="156FE536" w14:textId="77777777" w:rsidR="00CA66EC" w:rsidRDefault="00D12A24">
      <w:r>
        <w:br w:type="page"/>
      </w:r>
    </w:p>
    <w:p w14:paraId="00B90BFB" w14:textId="77777777" w:rsidR="00CA66EC" w:rsidRDefault="00D12A24">
      <w:pPr>
        <w:pStyle w:val="1"/>
      </w:pPr>
      <w:bookmarkStart w:id="1" w:name="_Toc233465729"/>
      <w:r>
        <w:rPr>
          <w:rFonts w:eastAsia="黑体"/>
          <w:color w:val="1A1A1A"/>
        </w:rPr>
        <w:lastRenderedPageBreak/>
        <w:t>一、产品简介</w:t>
      </w:r>
      <w:bookmarkEnd w:id="1"/>
    </w:p>
    <w:p w14:paraId="560D5AF9" w14:textId="77777777" w:rsidR="00CA66EC" w:rsidRDefault="00D12A24">
      <w:pPr>
        <w:spacing w:after="120" w:line="360" w:lineRule="auto"/>
        <w:ind w:firstLine="480"/>
        <w:jc w:val="both"/>
      </w:pPr>
      <w:r>
        <w:t xml:space="preserve">PaperWeave </w:t>
      </w:r>
      <w:r>
        <w:t>是一个</w:t>
      </w:r>
      <w:r>
        <w:rPr>
          <w:b/>
          <w:bCs/>
        </w:rPr>
        <w:t>本地优先</w:t>
      </w:r>
      <w:r>
        <w:t>（</w:t>
      </w:r>
      <w:r>
        <w:t>local-first</w:t>
      </w:r>
      <w:r>
        <w:t>）的论文精读与科研推进工作台。它把做研究时高频却分散的环节</w:t>
      </w:r>
      <w:r>
        <w:t>——</w:t>
      </w:r>
      <w:r>
        <w:t>查文献、读论文、做笔记、想创新点、写论文、画配图</w:t>
      </w:r>
      <w:r>
        <w:t>——</w:t>
      </w:r>
      <w:r>
        <w:t>收拢进同一个网页应用，并以浏览器内的论文库作为统一的数据来源，让上一步的产出能直接成为下一步的输入，避免研究状态散落在十几个互不相通的网站与软件之间。</w:t>
      </w:r>
    </w:p>
    <w:p w14:paraId="5967E48A" w14:textId="77777777" w:rsidR="00CA66EC" w:rsidRDefault="00D12A24">
      <w:pPr>
        <w:spacing w:after="120" w:line="360" w:lineRule="auto"/>
        <w:ind w:firstLine="480"/>
        <w:jc w:val="both"/>
      </w:pPr>
      <w:r>
        <w:t>它面向需要深入一个研究方向、频繁在</w:t>
      </w:r>
      <w:r>
        <w:rPr>
          <w:b/>
          <w:bCs/>
        </w:rPr>
        <w:t>查</w:t>
      </w:r>
      <w:r>
        <w:rPr>
          <w:b/>
          <w:bCs/>
        </w:rPr>
        <w:t>—</w:t>
      </w:r>
      <w:r>
        <w:rPr>
          <w:b/>
          <w:bCs/>
        </w:rPr>
        <w:t>读</w:t>
      </w:r>
      <w:r>
        <w:rPr>
          <w:b/>
          <w:bCs/>
        </w:rPr>
        <w:t>—</w:t>
      </w:r>
      <w:r>
        <w:rPr>
          <w:b/>
          <w:bCs/>
        </w:rPr>
        <w:t>理</w:t>
      </w:r>
      <w:r>
        <w:rPr>
          <w:b/>
          <w:bCs/>
        </w:rPr>
        <w:t>—</w:t>
      </w:r>
      <w:r>
        <w:rPr>
          <w:b/>
          <w:bCs/>
        </w:rPr>
        <w:t>想</w:t>
      </w:r>
      <w:r>
        <w:rPr>
          <w:b/>
          <w:bCs/>
        </w:rPr>
        <w:t>—</w:t>
      </w:r>
      <w:r>
        <w:rPr>
          <w:b/>
          <w:bCs/>
        </w:rPr>
        <w:t>写</w:t>
      </w:r>
      <w:r>
        <w:rPr>
          <w:b/>
          <w:bCs/>
        </w:rPr>
        <w:t>—</w:t>
      </w:r>
      <w:r>
        <w:rPr>
          <w:b/>
          <w:bCs/>
        </w:rPr>
        <w:t>画</w:t>
      </w:r>
      <w:r>
        <w:t xml:space="preserve"> </w:t>
      </w:r>
      <w:r>
        <w:t>之间切换的研究生、科研人员与课程学习者。打开网址</w:t>
      </w:r>
      <w:r>
        <w:t xml:space="preserve"> https://www.z1ha0.com </w:t>
      </w:r>
      <w:r>
        <w:t>即可使用，</w:t>
      </w:r>
      <w:r>
        <w:rPr>
          <w:b/>
          <w:bCs/>
        </w:rPr>
        <w:t>无需注册</w:t>
      </w:r>
      <w:r>
        <w:t>，断网也能读写本地论文库；登录之后还能在多台设备之间同步。</w:t>
      </w:r>
    </w:p>
    <w:p w14:paraId="01B75E86" w14:textId="77777777" w:rsidR="00CA66EC" w:rsidRDefault="00D12A24">
      <w:pPr>
        <w:pStyle w:val="1"/>
      </w:pPr>
      <w:bookmarkStart w:id="2" w:name="_Toc233465730"/>
      <w:r>
        <w:rPr>
          <w:rFonts w:eastAsia="黑体"/>
          <w:color w:val="1A1A1A"/>
        </w:rPr>
        <w:t>二、快速开始</w:t>
      </w:r>
      <w:bookmarkEnd w:id="2"/>
    </w:p>
    <w:p w14:paraId="72B1ECBB" w14:textId="77777777" w:rsidR="00CA66EC" w:rsidRDefault="00D12A24">
      <w:pPr>
        <w:spacing w:after="120" w:line="360" w:lineRule="auto"/>
        <w:ind w:firstLine="480"/>
        <w:jc w:val="both"/>
      </w:pPr>
      <w:r>
        <w:t>最简单的方式是直接打开</w:t>
      </w:r>
      <w:r>
        <w:t xml:space="preserve"> https://www.z1ha0.com </w:t>
      </w:r>
      <w:r>
        <w:t>开始用：在这种</w:t>
      </w:r>
      <w:r>
        <w:rPr>
          <w:b/>
          <w:bCs/>
        </w:rPr>
        <w:t>零配置</w:t>
      </w:r>
      <w:r>
        <w:t xml:space="preserve"> </w:t>
      </w:r>
      <w:r>
        <w:t>状态下，文献检索、入库、</w:t>
      </w:r>
      <w:r>
        <w:t xml:space="preserve">PDF </w:t>
      </w:r>
      <w:r>
        <w:t>阅读与批注、引文导出、统计看板以及可视化展厅都已经可用，不需要任何密钥或账号。</w:t>
      </w:r>
    </w:p>
    <w:p w14:paraId="2ED3A8AA" w14:textId="77777777" w:rsidR="00CA66EC" w:rsidRDefault="00D12A24">
      <w:pPr>
        <w:spacing w:after="120" w:line="360" w:lineRule="auto"/>
        <w:ind w:firstLine="480"/>
        <w:jc w:val="both"/>
      </w:pPr>
      <w:r>
        <w:t>如果想用上要点提炼、创新点立论、结构撰写、科研绘图等</w:t>
      </w:r>
      <w:r>
        <w:t xml:space="preserve"> AI </w:t>
      </w:r>
      <w:r>
        <w:t>功能，只需进入页面顶部的「</w:t>
      </w:r>
      <w:r>
        <w:t>API Key</w:t>
      </w:r>
      <w:r>
        <w:t>」设置页（路径</w:t>
      </w:r>
      <w:r>
        <w:t xml:space="preserve"> /settings</w:t>
      </w:r>
      <w:r>
        <w:t>），填入</w:t>
      </w:r>
      <w:r>
        <w:t xml:space="preserve"> DeepSeek</w:t>
      </w:r>
      <w:r>
        <w:t>（默认）、</w:t>
      </w:r>
      <w:r>
        <w:t>OpenAI</w:t>
      </w:r>
      <w:r>
        <w:t>、</w:t>
      </w:r>
      <w:r>
        <w:t xml:space="preserve">Gemini </w:t>
      </w:r>
      <w:r>
        <w:t>或</w:t>
      </w:r>
      <w:r>
        <w:t xml:space="preserve"> ZenMux </w:t>
      </w:r>
      <w:r>
        <w:t>中任意一个大模型密钥即可；其中</w:t>
      </w:r>
      <w:r>
        <w:t xml:space="preserve"> ZenMux </w:t>
      </w:r>
      <w:r>
        <w:t>是聚合网关，一个密钥即可解锁</w:t>
      </w:r>
      <w:r>
        <w:t xml:space="preserve"> Claude</w:t>
      </w:r>
      <w:r>
        <w:t>、</w:t>
      </w:r>
      <w:r>
        <w:t>GPT</w:t>
      </w:r>
      <w:r>
        <w:t>、</w:t>
      </w:r>
      <w:r>
        <w:t>Gemini</w:t>
      </w:r>
      <w:r>
        <w:t>、</w:t>
      </w:r>
      <w:r>
        <w:t>DeepSeek</w:t>
      </w:r>
      <w:r>
        <w:t>、</w:t>
      </w:r>
      <w:r>
        <w:t xml:space="preserve">Qwen </w:t>
      </w:r>
      <w:r>
        <w:t>等更高级模型，可在设置页进一步选型。密钥只保存在你本机浏览器，服务端不会保存（详见第六章）。如果还希望换设备时能恢复论文库与笔记，可以用邮箱或</w:t>
      </w:r>
      <w:r>
        <w:t xml:space="preserve"> Google </w:t>
      </w:r>
      <w:r>
        <w:t>登录，开启可选的云端同步。三者层层递进、互不影响：不配密钥也能用大部分功能，不登录也始终是完整可用的纯本地模式。</w:t>
      </w:r>
    </w:p>
    <w:p w14:paraId="08FA4D5D" w14:textId="77777777" w:rsidR="00CA66EC" w:rsidRDefault="00D12A24">
      <w:pPr>
        <w:pStyle w:val="1"/>
      </w:pPr>
      <w:bookmarkStart w:id="3" w:name="_Toc233465731"/>
      <w:r>
        <w:rPr>
          <w:rFonts w:eastAsia="黑体"/>
          <w:color w:val="1A1A1A"/>
        </w:rPr>
        <w:t>三、核心工作流：检索</w:t>
      </w:r>
      <w:r>
        <w:rPr>
          <w:rFonts w:eastAsia="黑体"/>
          <w:color w:val="1A1A1A"/>
        </w:rPr>
        <w:t xml:space="preserve"> → </w:t>
      </w:r>
      <w:r>
        <w:rPr>
          <w:rFonts w:eastAsia="黑体"/>
          <w:color w:val="1A1A1A"/>
        </w:rPr>
        <w:t>精读</w:t>
      </w:r>
      <w:r>
        <w:rPr>
          <w:rFonts w:eastAsia="黑体"/>
          <w:color w:val="1A1A1A"/>
        </w:rPr>
        <w:t xml:space="preserve"> → </w:t>
      </w:r>
      <w:r>
        <w:rPr>
          <w:rFonts w:eastAsia="黑体"/>
          <w:color w:val="1A1A1A"/>
        </w:rPr>
        <w:t>梳理</w:t>
      </w:r>
      <w:r>
        <w:rPr>
          <w:rFonts w:eastAsia="黑体"/>
          <w:color w:val="1A1A1A"/>
        </w:rPr>
        <w:t xml:space="preserve"> → </w:t>
      </w:r>
      <w:r>
        <w:rPr>
          <w:rFonts w:eastAsia="黑体"/>
          <w:color w:val="1A1A1A"/>
        </w:rPr>
        <w:t>立论</w:t>
      </w:r>
      <w:r>
        <w:rPr>
          <w:rFonts w:eastAsia="黑体"/>
          <w:color w:val="1A1A1A"/>
        </w:rPr>
        <w:t xml:space="preserve"> → </w:t>
      </w:r>
      <w:r>
        <w:rPr>
          <w:rFonts w:eastAsia="黑体"/>
          <w:color w:val="1A1A1A"/>
        </w:rPr>
        <w:t>撰写</w:t>
      </w:r>
      <w:r>
        <w:rPr>
          <w:rFonts w:eastAsia="黑体"/>
          <w:color w:val="1A1A1A"/>
        </w:rPr>
        <w:t xml:space="preserve"> → </w:t>
      </w:r>
      <w:r>
        <w:rPr>
          <w:rFonts w:eastAsia="黑体"/>
          <w:color w:val="1A1A1A"/>
        </w:rPr>
        <w:t>制图</w:t>
      </w:r>
      <w:bookmarkEnd w:id="3"/>
    </w:p>
    <w:p w14:paraId="0576A6D4" w14:textId="77777777" w:rsidR="00CA66EC" w:rsidRDefault="00D12A24">
      <w:pPr>
        <w:spacing w:after="120" w:line="360" w:lineRule="auto"/>
        <w:ind w:firstLine="480"/>
        <w:jc w:val="both"/>
      </w:pPr>
      <w:r>
        <w:t>这是</w:t>
      </w:r>
      <w:r>
        <w:t xml:space="preserve"> PaperWeave </w:t>
      </w:r>
      <w:r>
        <w:t>的主线，也是本手册的重点。六个步骤顺序衔接，每一步的产出都能</w:t>
      </w:r>
      <w:r>
        <w:rPr>
          <w:b/>
          <w:bCs/>
        </w:rPr>
        <w:t>一键流转</w:t>
      </w:r>
      <w:r>
        <w:t xml:space="preserve"> </w:t>
      </w:r>
      <w:r>
        <w:t>成为下一步的输入，</w:t>
      </w:r>
      <w:r>
        <w:t xml:space="preserve">AI </w:t>
      </w:r>
      <w:r>
        <w:t>生成的中间结果也能</w:t>
      </w:r>
      <w:r>
        <w:rPr>
          <w:b/>
          <w:bCs/>
        </w:rPr>
        <w:t>一键回存</w:t>
      </w:r>
      <w:r>
        <w:t xml:space="preserve"> </w:t>
      </w:r>
      <w:r>
        <w:t>到对应论文，从而形成</w:t>
      </w:r>
      <w:r>
        <w:t>“</w:t>
      </w:r>
      <w:r>
        <w:t>从论文出发、生成中间结果、再回写论文</w:t>
      </w:r>
      <w:r>
        <w:t>”</w:t>
      </w:r>
      <w:r>
        <w:t>的闭环。下面按六步分别说明。最快的体验方式是先用首页的「完整示例」把一篇真实论文一键加入文献库，再跟着这条线走一遍。</w:t>
      </w:r>
    </w:p>
    <w:p w14:paraId="33EAD5C7" w14:textId="77777777" w:rsidR="00CA66EC" w:rsidRDefault="00D12A24">
      <w:pPr>
        <w:pStyle w:val="2"/>
      </w:pPr>
      <w:bookmarkStart w:id="4" w:name="_Toc233465732"/>
      <w:r>
        <w:rPr>
          <w:rFonts w:eastAsia="黑体"/>
          <w:color w:val="1A1A1A"/>
        </w:rPr>
        <w:lastRenderedPageBreak/>
        <w:t xml:space="preserve">3.1 </w:t>
      </w:r>
      <w:r>
        <w:rPr>
          <w:rFonts w:eastAsia="黑体"/>
          <w:color w:val="1A1A1A"/>
        </w:rPr>
        <w:t>检索</w:t>
      </w:r>
      <w:bookmarkEnd w:id="4"/>
    </w:p>
    <w:p w14:paraId="53180710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检索是整条工作流的入口。</w:t>
      </w:r>
      <w:r>
        <w:t>进入文献检索页（</w:t>
      </w:r>
      <w:hyperlink r:id="rId7" w:history="1">
        <w:r>
          <w:rPr>
            <w:rStyle w:val="a5"/>
          </w:rPr>
          <w:t>/tools/paper-search</w:t>
        </w:r>
      </w:hyperlink>
      <w:r>
        <w:t>），在关键词框输入研究方向（例如</w:t>
      </w:r>
      <w:r>
        <w:t xml:space="preserve"> Mamba medical image segmentation</w:t>
      </w:r>
      <w:r>
        <w:t>），可按需打开</w:t>
      </w:r>
      <w:r>
        <w:t>“</w:t>
      </w:r>
      <w:r>
        <w:t>查询扩展</w:t>
      </w:r>
      <w:r>
        <w:t>”“</w:t>
      </w:r>
      <w:r>
        <w:t>近一年</w:t>
      </w:r>
      <w:r>
        <w:t xml:space="preserve">”“AI </w:t>
      </w:r>
      <w:r>
        <w:t>智能排序</w:t>
      </w:r>
      <w:r>
        <w:t>”</w:t>
      </w:r>
      <w:r>
        <w:t>等开关。系统会同时向</w:t>
      </w:r>
      <w:r>
        <w:t xml:space="preserve"> OpenAlex</w:t>
      </w:r>
      <w:r>
        <w:t>、</w:t>
      </w:r>
      <w:r>
        <w:t>arXiv</w:t>
      </w:r>
      <w:r>
        <w:t>、</w:t>
      </w:r>
      <w:r>
        <w:t>Crossref</w:t>
      </w:r>
      <w:r>
        <w:t>、</w:t>
      </w:r>
      <w:r>
        <w:t xml:space="preserve">Europe PMC </w:t>
      </w:r>
      <w:r>
        <w:t>等多个文献源并发检索，跨源去重合并后再综合重排，因此既不容易漏、也不会让单个数据源故障拖垮整体。开启查询扩展后，一句自然语言的研究目标会被大模型拆成多条子查询，命中更全。</w:t>
      </w:r>
    </w:p>
    <w:p w14:paraId="5BD3CD7F" w14:textId="77777777" w:rsidR="00CA66EC" w:rsidRDefault="00D12A24">
      <w:pPr>
        <w:spacing w:after="120" w:line="360" w:lineRule="auto"/>
        <w:ind w:firstLine="480"/>
        <w:jc w:val="both"/>
      </w:pPr>
      <w:r>
        <w:t>拿到结果后，可以用</w:t>
      </w:r>
      <w:r>
        <w:t>“</w:t>
      </w:r>
      <w:r>
        <w:t>一键速览</w:t>
      </w:r>
      <w:r>
        <w:t>”</w:t>
      </w:r>
      <w:r>
        <w:t>为多篇论文批量生成</w:t>
      </w:r>
      <w:r>
        <w:t>“</w:t>
      </w:r>
      <w:r>
        <w:t>一句话总结</w:t>
      </w:r>
      <w:r>
        <w:t xml:space="preserve"> + </w:t>
      </w:r>
      <w:r>
        <w:t>方向定位</w:t>
      </w:r>
      <w:r>
        <w:t>”</w:t>
      </w:r>
      <w:r>
        <w:t>，快速判断相关性；对感兴趣的论文点</w:t>
      </w:r>
      <w:r>
        <w:t>“</w:t>
      </w:r>
      <w:r>
        <w:t>一键阅读</w:t>
      </w:r>
      <w:r>
        <w:t>”</w:t>
      </w:r>
      <w:r>
        <w:t>，它就会被加入你的论文库。你也可以从任意一条结果直达</w:t>
      </w:r>
      <w:r>
        <w:rPr>
          <w:b/>
          <w:bCs/>
        </w:rPr>
        <w:t>引文网络图谱</w:t>
      </w:r>
      <w:r>
        <w:t>（</w:t>
      </w:r>
      <w:hyperlink r:id="rId8" w:history="1">
        <w:r>
          <w:rPr>
            <w:rStyle w:val="a5"/>
          </w:rPr>
          <w:t>/tools/citation-graph</w:t>
        </w:r>
      </w:hyperlink>
      <w:r>
        <w:t>），用</w:t>
      </w:r>
      <w:r>
        <w:t xml:space="preserve"> D3 </w:t>
      </w:r>
      <w:r>
        <w:t>力导向图展开它的参考文献与被引文献，圆越大表示被引越多，可缩放、拖拽、点选。这一步的产出，是进入论文库、可以继续精读的论文条目。</w:t>
      </w:r>
    </w:p>
    <w:p w14:paraId="677F756C" w14:textId="77777777" w:rsidR="00CA66EC" w:rsidRDefault="00D12A24">
      <w:pPr>
        <w:pStyle w:val="2"/>
      </w:pPr>
      <w:bookmarkStart w:id="5" w:name="_Toc233465733"/>
      <w:r>
        <w:rPr>
          <w:rFonts w:eastAsia="黑体"/>
          <w:color w:val="1A1A1A"/>
        </w:rPr>
        <w:t xml:space="preserve">3.2 </w:t>
      </w:r>
      <w:r>
        <w:rPr>
          <w:rFonts w:eastAsia="黑体"/>
          <w:color w:val="1A1A1A"/>
        </w:rPr>
        <w:t>精读</w:t>
      </w:r>
      <w:bookmarkEnd w:id="5"/>
    </w:p>
    <w:p w14:paraId="1FC8ACD8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精读在论文库与阅读器中完成。</w:t>
      </w:r>
      <w:r>
        <w:t>进入论文库（</w:t>
      </w:r>
      <w:hyperlink r:id="rId9" w:history="1">
        <w:r>
          <w:rPr>
            <w:rStyle w:val="a5"/>
          </w:rPr>
          <w:t>/library</w:t>
        </w:r>
      </w:hyperlink>
      <w:r>
        <w:t>）打开任意一篇论文进入在线</w:t>
      </w:r>
      <w:r>
        <w:t xml:space="preserve"> PDF </w:t>
      </w:r>
      <w:r>
        <w:t>阅读器。阅读时可以做四类批注：高亮、洞见、待办，以及</w:t>
      </w:r>
      <w:r>
        <w:t>“</w:t>
      </w:r>
      <w:r>
        <w:t>可迁移</w:t>
      </w:r>
      <w:r>
        <w:t>”——</w:t>
      </w:r>
      <w:r>
        <w:t>其中</w:t>
      </w:r>
      <w:r>
        <w:t>“</w:t>
      </w:r>
      <w:r>
        <w:t>可迁移</w:t>
      </w:r>
      <w:r>
        <w:t>”</w:t>
      </w:r>
      <w:r>
        <w:t>用来标记那些能搬到自己方向的方法，它会在后续的立论环节作为素材被用上。</w:t>
      </w:r>
    </w:p>
    <w:p w14:paraId="709B9090" w14:textId="77777777" w:rsidR="00CA66EC" w:rsidRDefault="00D12A24">
      <w:pPr>
        <w:spacing w:after="120" w:line="360" w:lineRule="auto"/>
        <w:ind w:firstLine="480"/>
        <w:jc w:val="both"/>
      </w:pPr>
      <w:r>
        <w:t>除了批注，你还可以选中难懂的文段让</w:t>
      </w:r>
      <w:r>
        <w:t xml:space="preserve"> AI </w:t>
      </w:r>
      <w:r>
        <w:t>实时解释，在页面任意位置贴</w:t>
      </w:r>
      <w:r>
        <w:t>“</w:t>
      </w:r>
      <w:r>
        <w:t>页面便签</w:t>
      </w:r>
      <w:r>
        <w:t>”</w:t>
      </w:r>
      <w:r>
        <w:t>记录段落大意并拖动摆放，侧栏会汇总所有便签并支持跳页。阅读进度会自动保存，下次打开回到原处；</w:t>
      </w:r>
      <w:r>
        <w:t xml:space="preserve">PDF </w:t>
      </w:r>
      <w:r>
        <w:t>会缓存为本地副本，断网也能继续读。需要引用时，阅读器可导出本篇的</w:t>
      </w:r>
      <w:r>
        <w:t xml:space="preserve"> BibTeX </w:t>
      </w:r>
      <w:r>
        <w:t>与</w:t>
      </w:r>
      <w:r>
        <w:t xml:space="preserve"> GB/T 7714</w:t>
      </w:r>
      <w:r>
        <w:t>，论文库还支持整库一键导出</w:t>
      </w:r>
      <w:r>
        <w:t xml:space="preserve"> .bib</w:t>
      </w:r>
      <w:r>
        <w:t>。若想总览自己的文献库，可进入统计看板（</w:t>
      </w:r>
      <w:r>
        <w:t>/library/stats</w:t>
      </w:r>
      <w:r>
        <w:t>）查看来源、年份、月度入库、批注分类、标签云与被引</w:t>
      </w:r>
      <w:r>
        <w:t xml:space="preserve"> Top5</w:t>
      </w:r>
      <w:r>
        <w:t>。如果想把一篇论文读成结构化的素材，还可以用要点提炼（</w:t>
      </w:r>
      <w:hyperlink r:id="rId10" w:history="1">
        <w:r>
          <w:rPr>
            <w:rStyle w:val="a5"/>
          </w:rPr>
          <w:t>/tools/markdown-summarize</w:t>
        </w:r>
      </w:hyperlink>
      <w:r>
        <w:t>），它会结构化地提炼方法、实验与引文，给出</w:t>
      </w:r>
      <w:r>
        <w:t>“</w:t>
      </w:r>
      <w:r>
        <w:t>创新点画像</w:t>
      </w:r>
      <w:r>
        <w:t xml:space="preserve"> + </w:t>
      </w:r>
      <w:r>
        <w:t>局限留白</w:t>
      </w:r>
      <w:r>
        <w:t>”</w:t>
      </w:r>
      <w:r>
        <w:t>，可直接喂给后续的立论。精读这一步沉淀下来的，是批注、精读笔记与规范引文。</w:t>
      </w:r>
    </w:p>
    <w:p w14:paraId="1B05EA10" w14:textId="77777777" w:rsidR="00CA66EC" w:rsidRDefault="00D12A24">
      <w:pPr>
        <w:pStyle w:val="2"/>
      </w:pPr>
      <w:bookmarkStart w:id="6" w:name="_Toc233465734"/>
      <w:r>
        <w:rPr>
          <w:rFonts w:eastAsia="黑体"/>
          <w:color w:val="1A1A1A"/>
        </w:rPr>
        <w:t xml:space="preserve">3.3 </w:t>
      </w:r>
      <w:r>
        <w:rPr>
          <w:rFonts w:eastAsia="黑体"/>
          <w:color w:val="1A1A1A"/>
        </w:rPr>
        <w:t>梳理</w:t>
      </w:r>
      <w:bookmarkEnd w:id="6"/>
    </w:p>
    <w:p w14:paraId="4CF12421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梳理用来理清一个方向的全貌。</w:t>
      </w:r>
      <w:r>
        <w:t>一种方式是横向对比：在文献对比矩阵</w:t>
      </w:r>
      <w:r>
        <w:lastRenderedPageBreak/>
        <w:t>（</w:t>
      </w:r>
      <w:hyperlink r:id="rId11" w:history="1">
        <w:r>
          <w:rPr>
            <w:rStyle w:val="a5"/>
          </w:rPr>
          <w:t>/tools/paper-compare</w:t>
        </w:r>
      </w:hyperlink>
      <w:r>
        <w:t>）里从论文库勾选</w:t>
      </w:r>
      <w:r>
        <w:t xml:space="preserve"> 2 </w:t>
      </w:r>
      <w:r>
        <w:t>到</w:t>
      </w:r>
      <w:r>
        <w:t xml:space="preserve"> 6 </w:t>
      </w:r>
      <w:r>
        <w:t>篇，</w:t>
      </w:r>
      <w:r>
        <w:t xml:space="preserve">AI </w:t>
      </w:r>
      <w:r>
        <w:t>会生成</w:t>
      </w:r>
      <w:r>
        <w:t>“</w:t>
      </w:r>
      <w:r>
        <w:t>研究问题、方法、数据集、指标、创新点、局限</w:t>
      </w:r>
      <w:r>
        <w:t>”</w:t>
      </w:r>
      <w:r>
        <w:t>的对比矩阵，可导出</w:t>
      </w:r>
      <w:r>
        <w:t xml:space="preserve"> Markdown</w:t>
      </w:r>
      <w:r>
        <w:t>，帮你看清不同工作之间的路线分叉。</w:t>
      </w:r>
    </w:p>
    <w:p w14:paraId="5A03E84B" w14:textId="77777777" w:rsidR="00CA66EC" w:rsidRDefault="00D12A24">
      <w:pPr>
        <w:spacing w:after="120" w:line="360" w:lineRule="auto"/>
        <w:ind w:firstLine="480"/>
        <w:jc w:val="both"/>
      </w:pPr>
      <w:r>
        <w:t>另一种方式是纵向溯源：在</w:t>
      </w:r>
      <w:r>
        <w:rPr>
          <w:b/>
          <w:bCs/>
        </w:rPr>
        <w:t>研究脉络族谱</w:t>
      </w:r>
      <w:r>
        <w:t>（</w:t>
      </w:r>
      <w:hyperlink r:id="rId12" w:history="1">
        <w:r>
          <w:rPr>
            <w:rStyle w:val="a5"/>
          </w:rPr>
          <w:t>/tools/research-genealogy</w:t>
        </w:r>
      </w:hyperlink>
      <w:r>
        <w:t>）里输入一个研究方向，一键生成它的发展谱系，从奠基工作到路线分叉再到前沿，引文边都经过核验。点击谱系上的节点可以看细节，并据此识别尚未被正面解决的研究空白。这一步的产出</w:t>
      </w:r>
      <w:r>
        <w:t>——</w:t>
      </w:r>
      <w:r>
        <w:t>发展谱系、对比矩阵与发现的研究空白</w:t>
      </w:r>
      <w:r>
        <w:t>——</w:t>
      </w:r>
      <w:r>
        <w:t>正是下一步立论的两条来源之一。</w:t>
      </w:r>
    </w:p>
    <w:p w14:paraId="62F36B12" w14:textId="77777777" w:rsidR="00CA66EC" w:rsidRDefault="00D12A24">
      <w:pPr>
        <w:pStyle w:val="2"/>
      </w:pPr>
      <w:bookmarkStart w:id="7" w:name="_Toc233465735"/>
      <w:r>
        <w:rPr>
          <w:rFonts w:eastAsia="黑体"/>
          <w:color w:val="1A1A1A"/>
        </w:rPr>
        <w:t xml:space="preserve">3.4 </w:t>
      </w:r>
      <w:r>
        <w:rPr>
          <w:rFonts w:eastAsia="黑体"/>
          <w:color w:val="1A1A1A"/>
        </w:rPr>
        <w:t>立论</w:t>
      </w:r>
      <w:bookmarkEnd w:id="7"/>
    </w:p>
    <w:p w14:paraId="2F5F8BF9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立论是在已有研究之上提出自己的创新点。</w:t>
      </w:r>
      <w:r>
        <w:t>进入创新点立论（</w:t>
      </w:r>
      <w:hyperlink r:id="rId13" w:history="1">
        <w:r>
          <w:rPr>
            <w:rStyle w:val="a5"/>
          </w:rPr>
          <w:t>/tools/idea-generator</w:t>
        </w:r>
      </w:hyperlink>
      <w:r>
        <w:t>），填写研究方向与参考论文（如果是从上一步流转过来的，这些信息会自动预填）。它分两个阶段推进。</w:t>
      </w:r>
    </w:p>
    <w:p w14:paraId="7F89A1A6" w14:textId="77777777" w:rsidR="00CA66EC" w:rsidRDefault="00D12A24">
      <w:pPr>
        <w:spacing w:after="120" w:line="360" w:lineRule="auto"/>
        <w:ind w:firstLine="480"/>
        <w:jc w:val="both"/>
      </w:pPr>
      <w:r>
        <w:t>第一阶段是</w:t>
      </w:r>
      <w:r>
        <w:rPr>
          <w:b/>
          <w:bCs/>
        </w:rPr>
        <w:t>诊断</w:t>
      </w:r>
      <w:r>
        <w:t>：</w:t>
      </w:r>
      <w:r>
        <w:t xml:space="preserve">AI </w:t>
      </w:r>
      <w:r>
        <w:t>会拆解参考工作的现有创新点、局限以及隐含的假设与空白，你从中勾选一到三个</w:t>
      </w:r>
      <w:r>
        <w:t>“</w:t>
      </w:r>
      <w:r>
        <w:t>创新透镜</w:t>
      </w:r>
      <w:r>
        <w:t>”</w:t>
      </w:r>
      <w:r>
        <w:t>并选择支撑点。第二阶段是</w:t>
      </w:r>
      <w:r>
        <w:rPr>
          <w:b/>
          <w:bCs/>
        </w:rPr>
        <w:t>设计与收敛</w:t>
      </w:r>
      <w:r>
        <w:t>：系统据此生成若干候选创新点，并以评分矩阵卡片的形式呈现，让你按差异化、可行性、风险等维度挑选推荐项。最终产出是一个带差异化假设、最小验证实验与风险清单的创新点，可以</w:t>
      </w:r>
      <w:r>
        <w:t>“</w:t>
      </w:r>
      <w:r>
        <w:t>回存为研究笔记</w:t>
      </w:r>
      <w:r>
        <w:t>”</w:t>
      </w:r>
      <w:r>
        <w:t>，也可以直接</w:t>
      </w:r>
      <w:r>
        <w:t>“</w:t>
      </w:r>
      <w:r>
        <w:t>发往结构撰写</w:t>
      </w:r>
      <w:r>
        <w:t>”</w:t>
      </w:r>
      <w:r>
        <w:t>。</w:t>
      </w:r>
    </w:p>
    <w:p w14:paraId="5E0B6779" w14:textId="77777777" w:rsidR="00CA66EC" w:rsidRDefault="00D12A24">
      <w:pPr>
        <w:pStyle w:val="2"/>
      </w:pPr>
      <w:bookmarkStart w:id="8" w:name="_Toc233465736"/>
      <w:r>
        <w:rPr>
          <w:rFonts w:eastAsia="黑体"/>
          <w:color w:val="1A1A1A"/>
        </w:rPr>
        <w:t xml:space="preserve">3.5 </w:t>
      </w:r>
      <w:r>
        <w:rPr>
          <w:rFonts w:eastAsia="黑体"/>
          <w:color w:val="1A1A1A"/>
        </w:rPr>
        <w:t>撰写</w:t>
      </w:r>
      <w:bookmarkEnd w:id="8"/>
    </w:p>
    <w:p w14:paraId="768D64B2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撰写帮你把创新点搭成论文骨架，但不替你写正文。</w:t>
      </w:r>
      <w:r>
        <w:t>进入结构撰写（</w:t>
      </w:r>
      <w:hyperlink r:id="rId14" w:history="1">
        <w:r>
          <w:rPr>
            <w:rStyle w:val="a5"/>
          </w:rPr>
          <w:t>/tools/paper-writer</w:t>
        </w:r>
      </w:hyperlink>
      <w:r>
        <w:t>），填写主题与创新点（从上一步流转过来时会自动预填），勾选要写的章节、会议类型与语言。</w:t>
      </w:r>
    </w:p>
    <w:p w14:paraId="295CF567" w14:textId="77777777" w:rsidR="00CA66EC" w:rsidRDefault="00D12A24">
      <w:pPr>
        <w:spacing w:after="120" w:line="360" w:lineRule="auto"/>
        <w:ind w:firstLine="480"/>
        <w:jc w:val="both"/>
      </w:pPr>
      <w:r>
        <w:t>它会生成一条</w:t>
      </w:r>
      <w:r>
        <w:t>“</w:t>
      </w:r>
      <w:r>
        <w:t>一句话故事线</w:t>
      </w:r>
      <w:r>
        <w:t>”</w:t>
      </w:r>
      <w:r>
        <w:t>、章节大纲，以及每一段的写作脚手架</w:t>
      </w:r>
      <w:r>
        <w:t>——</w:t>
      </w:r>
      <w:r>
        <w:t>包括这一段主题句的意图、应当包含的要点、与上下文的过渡，还有英文</w:t>
      </w:r>
      <w:r>
        <w:t xml:space="preserve"> topic sentence </w:t>
      </w:r>
      <w:r>
        <w:t>的模板；此外还会给出</w:t>
      </w:r>
      <w:r>
        <w:t xml:space="preserve"> Related Work </w:t>
      </w:r>
      <w:r>
        <w:t>的分组建议和一份投稿前的自查清单。需要时可以展开方法论面板查看依据。这一步的产出是论文结构与段落脚手架，可</w:t>
      </w:r>
      <w:r>
        <w:t>“</w:t>
      </w:r>
      <w:r>
        <w:t>回存为写作笔记</w:t>
      </w:r>
      <w:r>
        <w:t>”</w:t>
      </w:r>
      <w:r>
        <w:t>，也可以直接</w:t>
      </w:r>
      <w:r>
        <w:t>“</w:t>
      </w:r>
      <w:r>
        <w:t>为论文设计配图</w:t>
      </w:r>
      <w:r>
        <w:t>”</w:t>
      </w:r>
      <w:r>
        <w:t>跳到制图。</w:t>
      </w:r>
    </w:p>
    <w:p w14:paraId="6E3F4A41" w14:textId="77777777" w:rsidR="00CA66EC" w:rsidRDefault="00D12A24">
      <w:pPr>
        <w:pStyle w:val="2"/>
      </w:pPr>
      <w:bookmarkStart w:id="9" w:name="_Toc233465737"/>
      <w:r>
        <w:rPr>
          <w:rFonts w:eastAsia="黑体"/>
          <w:color w:val="1A1A1A"/>
        </w:rPr>
        <w:t xml:space="preserve">3.6 </w:t>
      </w:r>
      <w:r>
        <w:rPr>
          <w:rFonts w:eastAsia="黑体"/>
          <w:color w:val="1A1A1A"/>
        </w:rPr>
        <w:t>制图</w:t>
      </w:r>
      <w:bookmarkEnd w:id="9"/>
    </w:p>
    <w:p w14:paraId="0D1097A7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lastRenderedPageBreak/>
        <w:t>制图是工作流的最后一步，一站生成两类图。</w:t>
      </w:r>
      <w:r>
        <w:t>进入科研绘图（</w:t>
      </w:r>
      <w:hyperlink r:id="rId15" w:history="1">
        <w:r>
          <w:rPr>
            <w:rStyle w:val="a5"/>
          </w:rPr>
          <w:t>/tools/figure-prompt</w:t>
        </w:r>
      </w:hyperlink>
      <w:r>
        <w:t>）。第一类是</w:t>
      </w:r>
      <w:r>
        <w:rPr>
          <w:b/>
          <w:bCs/>
        </w:rPr>
        <w:t>文生图科研示意图</w:t>
      </w:r>
      <w:r>
        <w:t>：填好主题与内容，系统会组织成一段可直接粘贴给</w:t>
      </w:r>
      <w:r>
        <w:t xml:space="preserve"> DALL·E</w:t>
      </w:r>
      <w:r>
        <w:t>、</w:t>
      </w:r>
      <w:r>
        <w:t xml:space="preserve">Midjourney </w:t>
      </w:r>
      <w:r>
        <w:t>或即梦等模型的图形摘要提示词。第二类是</w:t>
      </w:r>
      <w:r>
        <w:rPr>
          <w:b/>
          <w:bCs/>
        </w:rPr>
        <w:t>架构流程图</w:t>
      </w:r>
      <w:r>
        <w:t>：切换到</w:t>
      </w:r>
      <w:r>
        <w:t xml:space="preserve"> draw.io </w:t>
      </w:r>
      <w:r>
        <w:t>模式后，</w:t>
      </w:r>
      <w:r>
        <w:t xml:space="preserve">AI </w:t>
      </w:r>
      <w:r>
        <w:t>会直接产出</w:t>
      </w:r>
      <w:r>
        <w:t xml:space="preserve"> .drawio </w:t>
      </w:r>
      <w:r>
        <w:t>文件（支持架构、流程、时序、</w:t>
      </w:r>
      <w:r>
        <w:t xml:space="preserve">ER </w:t>
      </w:r>
      <w:r>
        <w:t>等），可在站内预览并下载。两类图都照顾到出版需求，提供色盲友好配色与期刊单双栏尺寸。至此，一篇论文从检索到配图的主线就走完了。</w:t>
      </w:r>
    </w:p>
    <w:p w14:paraId="509694D8" w14:textId="77777777" w:rsidR="00CA66EC" w:rsidRDefault="00D12A24">
      <w:pPr>
        <w:pStyle w:val="2"/>
      </w:pPr>
      <w:bookmarkStart w:id="10" w:name="_Toc233465738"/>
      <w:r>
        <w:rPr>
          <w:rFonts w:eastAsia="黑体"/>
          <w:color w:val="1A1A1A"/>
        </w:rPr>
        <w:t xml:space="preserve">3.7 </w:t>
      </w:r>
      <w:r>
        <w:rPr>
          <w:rFonts w:eastAsia="黑体"/>
          <w:color w:val="1A1A1A"/>
        </w:rPr>
        <w:t>跟着</w:t>
      </w:r>
      <w:r>
        <w:rPr>
          <w:rFonts w:eastAsia="黑体"/>
          <w:color w:val="1A1A1A"/>
        </w:rPr>
        <w:t>“</w:t>
      </w:r>
      <w:r>
        <w:rPr>
          <w:rFonts w:eastAsia="黑体"/>
          <w:color w:val="1A1A1A"/>
        </w:rPr>
        <w:t>完整示例</w:t>
      </w:r>
      <w:r>
        <w:rPr>
          <w:rFonts w:eastAsia="黑体"/>
          <w:color w:val="1A1A1A"/>
        </w:rPr>
        <w:t>”</w:t>
      </w:r>
      <w:r>
        <w:rPr>
          <w:rFonts w:eastAsia="黑体"/>
          <w:color w:val="1A1A1A"/>
        </w:rPr>
        <w:t>走一遍</w:t>
      </w:r>
      <w:bookmarkEnd w:id="10"/>
    </w:p>
    <w:p w14:paraId="3BD8FEA2" w14:textId="77777777" w:rsidR="00CA66EC" w:rsidRDefault="00D12A24">
      <w:pPr>
        <w:spacing w:after="120" w:line="360" w:lineRule="auto"/>
        <w:ind w:firstLine="480"/>
        <w:jc w:val="both"/>
      </w:pPr>
      <w:r>
        <w:t>首页下滑到「完整示例」可以一键把作者自己的论文</w:t>
      </w:r>
      <w:r>
        <w:t xml:space="preserve"> FWMamba-UNet </w:t>
      </w:r>
      <w:r>
        <w:t>加入文献库</w:t>
      </w:r>
      <w:r>
        <w:t>——</w:t>
      </w:r>
      <w:r>
        <w:t>它贯穿上述六步，是体验整条流水线最快的方式。建议的顺序是：先用完整示例入库，再到检索页补充几篇同方向的真实论文，逐篇精读批注，用对比矩阵和族谱梳理方向，立论得到创新点，撰写出结构，最后制图。需要提醒的是，本地导入的论文（例如</w:t>
      </w:r>
      <w:r>
        <w:t xml:space="preserve"> FWMamba-UNet</w:t>
      </w:r>
      <w:r>
        <w:t>）并不在公开文献源中，因此无法在检索页直接搜到，这是正常现象，它已经在你的论文库里，可直接打开阅读。</w:t>
      </w:r>
    </w:p>
    <w:p w14:paraId="0EAD505E" w14:textId="77777777" w:rsidR="00CA66EC" w:rsidRDefault="00D12A24">
      <w:pPr>
        <w:pStyle w:val="1"/>
      </w:pPr>
      <w:bookmarkStart w:id="11" w:name="_Toc233465739"/>
      <w:r>
        <w:rPr>
          <w:rFonts w:eastAsia="黑体"/>
          <w:color w:val="1A1A1A"/>
        </w:rPr>
        <w:t>四、可视化展厅（</w:t>
      </w:r>
      <w:r>
        <w:rPr>
          <w:rFonts w:eastAsia="黑体"/>
          <w:color w:val="1A1A1A"/>
        </w:rPr>
        <w:t>Gallery</w:t>
      </w:r>
      <w:r>
        <w:rPr>
          <w:rFonts w:eastAsia="黑体"/>
          <w:color w:val="1A1A1A"/>
        </w:rPr>
        <w:t>）</w:t>
      </w:r>
      <w:bookmarkEnd w:id="11"/>
    </w:p>
    <w:p w14:paraId="29F0CC83" w14:textId="77777777" w:rsidR="00CA66EC" w:rsidRDefault="00D12A24">
      <w:pPr>
        <w:spacing w:after="120" w:line="360" w:lineRule="auto"/>
        <w:ind w:firstLine="480"/>
        <w:jc w:val="both"/>
      </w:pPr>
      <w:r>
        <w:t>可视化展厅是另一处重点。它独立于论文工作流，是一组在浏览器内</w:t>
      </w:r>
      <w:r>
        <w:rPr>
          <w:b/>
          <w:bCs/>
        </w:rPr>
        <w:t>真实推理或回放</w:t>
      </w:r>
      <w:r>
        <w:t xml:space="preserve"> </w:t>
      </w:r>
      <w:r>
        <w:t>的交互式教学演示，纯粹用来把一个模型看懂、讲清。所有演示都无需任何密钥，可以拖拽、缩放、回放、逐层观察。展厅分为经典模型讲解与生成模型两组，共六个。</w:t>
      </w:r>
    </w:p>
    <w:p w14:paraId="15E2976F" w14:textId="77777777" w:rsidR="00CA66EC" w:rsidRDefault="00D12A24">
      <w:pPr>
        <w:pStyle w:val="2"/>
      </w:pPr>
      <w:bookmarkStart w:id="12" w:name="_Toc233465740"/>
      <w:r>
        <w:rPr>
          <w:rFonts w:eastAsia="黑体"/>
          <w:color w:val="1A1A1A"/>
        </w:rPr>
        <w:t xml:space="preserve">4.1 </w:t>
      </w:r>
      <w:r>
        <w:rPr>
          <w:rFonts w:eastAsia="黑体"/>
          <w:color w:val="1A1A1A"/>
        </w:rPr>
        <w:t>经典模型讲解</w:t>
      </w:r>
      <w:bookmarkEnd w:id="12"/>
    </w:p>
    <w:p w14:paraId="30D828A2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 xml:space="preserve">CNN </w:t>
      </w:r>
      <w:r>
        <w:rPr>
          <w:b/>
          <w:bCs/>
        </w:rPr>
        <w:t>端到端讲解</w:t>
      </w:r>
      <w:r>
        <w:t>（</w:t>
      </w:r>
      <w:hyperlink r:id="rId16" w:history="1">
        <w:r>
          <w:rPr>
            <w:rStyle w:val="a5"/>
          </w:rPr>
          <w:t>/tools/cnn-explainer</w:t>
        </w:r>
      </w:hyperlink>
      <w:r>
        <w:t>）让一个真实的</w:t>
      </w:r>
      <w:r>
        <w:t xml:space="preserve"> tiny-VGG </w:t>
      </w:r>
      <w:r>
        <w:t>在你的浏览器里跑推理，你可以一层一层地看</w:t>
      </w:r>
      <w:r>
        <w:t xml:space="preserve"> feature map </w:t>
      </w:r>
      <w:r>
        <w:t>如何流动、卷积与池化如何逐步把图像抽象成类别判断，直观理解卷积神经网络的内部机制。</w:t>
      </w:r>
    </w:p>
    <w:p w14:paraId="6F9BA83D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医学图像分割</w:t>
      </w:r>
      <w:r>
        <w:t>（</w:t>
      </w:r>
      <w:hyperlink r:id="rId17" w:history="1">
        <w:r>
          <w:rPr>
            <w:rStyle w:val="a5"/>
          </w:rPr>
          <w:t>/tools/med-seg-explainer</w:t>
        </w:r>
      </w:hyperlink>
      <w:r>
        <w:t>）端到端剖析作者自己的模型</w:t>
      </w:r>
      <w:r>
        <w:t xml:space="preserve"> FWMamba-UNet</w:t>
      </w:r>
      <w:r>
        <w:t>，与本手册主线同源：从输入图像、</w:t>
      </w:r>
      <w:r>
        <w:t xml:space="preserve">DWT </w:t>
      </w:r>
      <w:r>
        <w:t>小波分解、编码器、</w:t>
      </w:r>
      <w:r>
        <w:t xml:space="preserve">EAFF-Skip </w:t>
      </w:r>
      <w:r>
        <w:t>融合一直到最终分割掩膜，配合预先计算好的真实中间层激活，把整条数据通路一次看清。</w:t>
      </w:r>
    </w:p>
    <w:p w14:paraId="419220C0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 xml:space="preserve">Transformer </w:t>
      </w:r>
      <w:r>
        <w:rPr>
          <w:b/>
          <w:bCs/>
        </w:rPr>
        <w:t>可视化</w:t>
      </w:r>
      <w:r>
        <w:t>（</w:t>
      </w:r>
      <w:hyperlink r:id="rId18" w:history="1">
        <w:r>
          <w:rPr>
            <w:rStyle w:val="a5"/>
          </w:rPr>
          <w:t>/tools/transformer-explainer</w:t>
        </w:r>
      </w:hyperlink>
      <w:r>
        <w:t>）展示一句话是如何被一步步算成</w:t>
      </w:r>
      <w:r>
        <w:t>“</w:t>
      </w:r>
      <w:r>
        <w:t>下一个词</w:t>
      </w:r>
      <w:r>
        <w:t>”</w:t>
      </w:r>
      <w:r>
        <w:t>的完整流水线：分词、嵌入、自注意力、多头、前馈、堆叠直到输出概率，每一步都配有可交互的图，帮助理解注意力机制到底在做什么。</w:t>
      </w:r>
    </w:p>
    <w:p w14:paraId="1DFF3181" w14:textId="77777777" w:rsidR="00CA66EC" w:rsidRDefault="00D12A24">
      <w:pPr>
        <w:pStyle w:val="2"/>
      </w:pPr>
      <w:bookmarkStart w:id="13" w:name="_Toc233465741"/>
      <w:r>
        <w:rPr>
          <w:rFonts w:eastAsia="黑体"/>
          <w:color w:val="1A1A1A"/>
        </w:rPr>
        <w:lastRenderedPageBreak/>
        <w:t xml:space="preserve">4.2 </w:t>
      </w:r>
      <w:r>
        <w:rPr>
          <w:rFonts w:eastAsia="黑体"/>
          <w:color w:val="1A1A1A"/>
        </w:rPr>
        <w:t>生成模型</w:t>
      </w:r>
      <w:bookmarkEnd w:id="13"/>
    </w:p>
    <w:p w14:paraId="621AEDD7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 xml:space="preserve">GAN </w:t>
      </w:r>
      <w:r>
        <w:rPr>
          <w:b/>
          <w:bCs/>
        </w:rPr>
        <w:t>生成对抗网络</w:t>
      </w:r>
      <w:r>
        <w:t>（</w:t>
      </w:r>
      <w:hyperlink r:id="rId19" w:history="1">
        <w:r>
          <w:rPr>
            <w:rStyle w:val="a5"/>
          </w:rPr>
          <w:t>/tools/gan-explainer</w:t>
        </w:r>
      </w:hyperlink>
      <w:r>
        <w:t>）让你观察生成器与判别器之间的博弈过程，并可视化中间特征图随训练的演变，理解</w:t>
      </w:r>
      <w:r>
        <w:t>“</w:t>
      </w:r>
      <w:r>
        <w:t>以假乱真</w:t>
      </w:r>
      <w:r>
        <w:t>”</w:t>
      </w:r>
      <w:r>
        <w:t>是如何被一步步逼出来的。</w:t>
      </w:r>
    </w:p>
    <w:p w14:paraId="3E2331FD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Flow Matching</w:t>
      </w:r>
      <w:r>
        <w:t>（</w:t>
      </w:r>
      <w:hyperlink r:id="rId20" w:history="1">
        <w:r>
          <w:rPr>
            <w:rStyle w:val="a5"/>
          </w:rPr>
          <w:t>/tools/diffusion-explainer</w:t>
        </w:r>
      </w:hyperlink>
      <w:r>
        <w:t>）可以像玩实验台一样上手：你选择或自己绘制一个二维目标分布，看噪声如何顺着速度场流动成数据，并理解</w:t>
      </w:r>
      <w:r>
        <w:t xml:space="preserve"> Rectified Flow </w:t>
      </w:r>
      <w:r>
        <w:t>如何把轨迹拉直、实现少步生成。</w:t>
      </w:r>
    </w:p>
    <w:p w14:paraId="67418B6D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Stable Diffusion</w:t>
      </w:r>
      <w:r>
        <w:t>（</w:t>
      </w:r>
      <w:hyperlink r:id="rId21" w:history="1">
        <w:r>
          <w:rPr>
            <w:rStyle w:val="a5"/>
          </w:rPr>
          <w:t>/tools/stable-diffusion-explainer</w:t>
        </w:r>
      </w:hyperlink>
      <w:r>
        <w:t>）把扩散模型讲清楚：从一团噪声出发，你可以亲手体验反向去噪、文字牵引与前向加噪三个互动，体会时间步、引导强度与随机种子是如何共同塑造出最终图像的。</w:t>
      </w:r>
    </w:p>
    <w:p w14:paraId="588ED09A" w14:textId="77777777" w:rsidR="00CA66EC" w:rsidRDefault="00D12A24">
      <w:pPr>
        <w:pStyle w:val="1"/>
      </w:pPr>
      <w:bookmarkStart w:id="14" w:name="_Toc233465742"/>
      <w:r>
        <w:rPr>
          <w:rFonts w:eastAsia="黑体"/>
          <w:color w:val="1A1A1A"/>
        </w:rPr>
        <w:t>五、论文库与阅读器</w:t>
      </w:r>
      <w:bookmarkEnd w:id="14"/>
    </w:p>
    <w:p w14:paraId="79E59562" w14:textId="77777777" w:rsidR="00CA66EC" w:rsidRDefault="00D12A24">
      <w:pPr>
        <w:spacing w:after="120" w:line="360" w:lineRule="auto"/>
        <w:ind w:firstLine="480"/>
        <w:jc w:val="both"/>
      </w:pPr>
      <w:r>
        <w:t>论文库是所有数据的归处。把论文加进来有三种方式：在检索结果里点</w:t>
      </w:r>
      <w:r>
        <w:t>“</w:t>
      </w:r>
      <w:r>
        <w:t>一键阅读</w:t>
      </w:r>
      <w:r>
        <w:t>”</w:t>
      </w:r>
      <w:r>
        <w:t>直接入库，这是最常用的；提供</w:t>
      </w:r>
      <w:r>
        <w:t xml:space="preserve"> arXiv </w:t>
      </w:r>
      <w:r>
        <w:t>编号让系统抓取元数据并代理其</w:t>
      </w:r>
      <w:r>
        <w:t xml:space="preserve"> PDF</w:t>
      </w:r>
      <w:r>
        <w:t>；或者直接上传本地</w:t>
      </w:r>
      <w:r>
        <w:t xml:space="preserve"> PDF</w:t>
      </w:r>
      <w:r>
        <w:t>（最大</w:t>
      </w:r>
      <w:r>
        <w:t xml:space="preserve"> 50MB</w:t>
      </w:r>
      <w:r>
        <w:t>），系统会解析文本后入库，而</w:t>
      </w:r>
      <w:r>
        <w:t xml:space="preserve"> PDF </w:t>
      </w:r>
      <w:r>
        <w:t>的二进制只保存在本地。</w:t>
      </w:r>
    </w:p>
    <w:p w14:paraId="77A0D0F3" w14:textId="77777777" w:rsidR="00CA66EC" w:rsidRDefault="00D12A24">
      <w:pPr>
        <w:spacing w:after="120" w:line="360" w:lineRule="auto"/>
        <w:ind w:firstLine="480"/>
        <w:jc w:val="both"/>
      </w:pPr>
      <w:r>
        <w:t>打开论文进入阅读器后，前面第二、三章已经介绍过四类批注、</w:t>
      </w:r>
      <w:r>
        <w:t xml:space="preserve">AI </w:t>
      </w:r>
      <w:r>
        <w:t>解释、页面便签、自动进度与引文导出等能力，这里不再重复。值得记住的一点是，整个论文库</w:t>
      </w:r>
      <w:r>
        <w:t>——</w:t>
      </w:r>
      <w:r>
        <w:t>包括</w:t>
      </w:r>
      <w:r>
        <w:t xml:space="preserve"> PDF——</w:t>
      </w:r>
      <w:r>
        <w:t>默认都存在你本机浏览器里，因此速度快、可离线；只有在登录后，元数据与笔记才会额外镜像一份到云端。</w:t>
      </w:r>
    </w:p>
    <w:p w14:paraId="6F7D0052" w14:textId="77777777" w:rsidR="00CA66EC" w:rsidRDefault="00D12A24">
      <w:pPr>
        <w:pStyle w:val="1"/>
      </w:pPr>
      <w:bookmarkStart w:id="15" w:name="_Toc233465743"/>
      <w:r>
        <w:rPr>
          <w:rFonts w:eastAsia="黑体"/>
          <w:color w:val="1A1A1A"/>
        </w:rPr>
        <w:t>六、配套工具与命令行扩展</w:t>
      </w:r>
      <w:bookmarkEnd w:id="15"/>
    </w:p>
    <w:p w14:paraId="29824858" w14:textId="77777777" w:rsidR="00CA66EC" w:rsidRDefault="00D12A24">
      <w:pPr>
        <w:spacing w:after="120" w:line="360" w:lineRule="auto"/>
        <w:ind w:firstLine="480"/>
        <w:jc w:val="both"/>
      </w:pPr>
      <w:r>
        <w:t>除主线之外，还有三个与主干松耦合的配套工具。</w:t>
      </w:r>
      <w:r>
        <w:rPr>
          <w:b/>
          <w:bCs/>
        </w:rPr>
        <w:t>网页文献速览</w:t>
      </w:r>
      <w:r>
        <w:t>（</w:t>
      </w:r>
      <w:r>
        <w:t>/tools/summarize</w:t>
      </w:r>
      <w:r>
        <w:t>）让你粘贴一个网址，拿到</w:t>
      </w:r>
      <w:r>
        <w:t xml:space="preserve"> 30 </w:t>
      </w:r>
      <w:r>
        <w:t>秒能读完的结构化要点与关键引述；</w:t>
      </w:r>
      <w:r>
        <w:rPr>
          <w:b/>
          <w:bCs/>
        </w:rPr>
        <w:t>文库问答</w:t>
      </w:r>
      <w:r>
        <w:t>（</w:t>
      </w:r>
      <w:r>
        <w:t>/tools/library-qa</w:t>
      </w:r>
      <w:r>
        <w:t>）对入库论文建立语义索引，用自然语言提问就能得到带</w:t>
      </w:r>
      <w:r>
        <w:t xml:space="preserve"> [n] </w:t>
      </w:r>
      <w:r>
        <w:t>引用、可溯源到具体论文的答案，没有向量化密钥时会自动降级为本地关键词检索；</w:t>
      </w:r>
      <w:r>
        <w:rPr>
          <w:b/>
          <w:bCs/>
        </w:rPr>
        <w:t>文献格式转译</w:t>
      </w:r>
      <w:r>
        <w:t>（</w:t>
      </w:r>
      <w:r>
        <w:t>/tools/markdown-convert</w:t>
      </w:r>
      <w:r>
        <w:t>）支持拖拽上传</w:t>
      </w:r>
      <w:r>
        <w:t xml:space="preserve"> Word</w:t>
      </w:r>
      <w:r>
        <w:t>、</w:t>
      </w:r>
      <w:r>
        <w:t>PDF</w:t>
      </w:r>
      <w:r>
        <w:t>、</w:t>
      </w:r>
      <w:r>
        <w:t xml:space="preserve">HTML </w:t>
      </w:r>
      <w:r>
        <w:t>等文件，在本地解析输出带</w:t>
      </w:r>
      <w:r>
        <w:t xml:space="preserve"> LaTeX </w:t>
      </w:r>
      <w:r>
        <w:t>公式与表格的干净</w:t>
      </w:r>
      <w:r>
        <w:t xml:space="preserve"> Markdown</w:t>
      </w:r>
      <w:r>
        <w:t>。</w:t>
      </w:r>
    </w:p>
    <w:p w14:paraId="061E29DF" w14:textId="77777777" w:rsidR="00CA66EC" w:rsidRDefault="00D12A24">
      <w:pPr>
        <w:spacing w:after="120" w:line="360" w:lineRule="auto"/>
        <w:ind w:firstLine="480"/>
        <w:jc w:val="both"/>
      </w:pPr>
      <w:r>
        <w:t>另外还有「命令行实验室」里的两个研究自动化小工具：研究任务分解</w:t>
      </w:r>
      <w:r>
        <w:lastRenderedPageBreak/>
        <w:t>（</w:t>
      </w:r>
      <w:hyperlink r:id="rId22" w:history="1">
        <w:r>
          <w:rPr>
            <w:rStyle w:val="a5"/>
          </w:rPr>
          <w:t>/tools/prompt-chunker</w:t>
        </w:r>
      </w:hyperlink>
      <w:r>
        <w:t>）能把一个模糊的研究想法拆成原子子问题、验收清单与可直接执行的</w:t>
      </w:r>
      <w:r>
        <w:t xml:space="preserve"> Runbook</w:t>
      </w:r>
      <w:r>
        <w:t>；技能封装（</w:t>
      </w:r>
      <w:hyperlink r:id="rId23" w:history="1">
        <w:r>
          <w:rPr>
            <w:rStyle w:val="a5"/>
          </w:rPr>
          <w:t>/tools/skill-maker</w:t>
        </w:r>
      </w:hyperlink>
      <w:r>
        <w:t>）则根据你的需求描述，产出一份可落地到本地技能目录的</w:t>
      </w:r>
      <w:r>
        <w:t xml:space="preserve"> SKILL.md</w:t>
      </w:r>
      <w:r>
        <w:t>。</w:t>
      </w:r>
    </w:p>
    <w:p w14:paraId="4E38F194" w14:textId="77777777" w:rsidR="00CA66EC" w:rsidRDefault="00D12A24">
      <w:pPr>
        <w:spacing w:after="120" w:line="360" w:lineRule="auto"/>
        <w:ind w:firstLine="480"/>
        <w:jc w:val="both"/>
      </w:pPr>
      <w:r>
        <w:t>此外，仓库的</w:t>
      </w:r>
      <w:r>
        <w:t xml:space="preserve"> skills </w:t>
      </w:r>
      <w:r>
        <w:t>目录还提供四个可安装的</w:t>
      </w:r>
      <w:r>
        <w:t xml:space="preserve"> Claude Code </w:t>
      </w:r>
      <w:r>
        <w:t>命令行技能（</w:t>
      </w:r>
      <w:r>
        <w:t>paper-search</w:t>
      </w:r>
      <w:r>
        <w:t>、</w:t>
      </w:r>
      <w:r>
        <w:t>research-genealogy</w:t>
      </w:r>
      <w:r>
        <w:t>、</w:t>
      </w:r>
      <w:r>
        <w:t>cite-paper</w:t>
      </w:r>
      <w:r>
        <w:t>、</w:t>
      </w:r>
      <w:r>
        <w:t>paper-figure</w:t>
      </w:r>
      <w:r>
        <w:t>）。把它们复制到技能目录即可在终端使用，做完深度调研后再把产物粘回网页对应工具，从而把能力带出浏览器。安装命令如下：</w:t>
      </w:r>
    </w:p>
    <w:p w14:paraId="7998A2FD" w14:textId="77777777" w:rsidR="00CA66EC" w:rsidRDefault="00D12A24">
      <w:pPr>
        <w:pBdr>
          <w:top w:val="single" w:sz="4" w:space="4" w:color="E0E0E0"/>
        </w:pBd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>cp -r skills/* ~/.claude/skills/</w:t>
      </w:r>
    </w:p>
    <w:p w14:paraId="6FB1B726" w14:textId="77777777" w:rsidR="00CA66EC" w:rsidRDefault="00D12A24">
      <w:pPr>
        <w:spacing w:after="120" w:line="360" w:lineRule="auto"/>
        <w:ind w:firstLine="480"/>
        <w:jc w:val="both"/>
      </w:pPr>
      <w:r>
        <w:t xml:space="preserve"> </w:t>
      </w:r>
    </w:p>
    <w:p w14:paraId="0FCC14BC" w14:textId="77777777" w:rsidR="00CA66EC" w:rsidRDefault="00D12A24">
      <w:pPr>
        <w:pStyle w:val="1"/>
      </w:pPr>
      <w:bookmarkStart w:id="16" w:name="_Toc233465744"/>
      <w:r>
        <w:rPr>
          <w:rFonts w:eastAsia="黑体"/>
          <w:color w:val="1A1A1A"/>
        </w:rPr>
        <w:t>七、配置</w:t>
      </w:r>
      <w:r>
        <w:rPr>
          <w:rFonts w:eastAsia="黑体"/>
          <w:color w:val="1A1A1A"/>
        </w:rPr>
        <w:t xml:space="preserve"> AI </w:t>
      </w:r>
      <w:r>
        <w:rPr>
          <w:rFonts w:eastAsia="黑体"/>
          <w:color w:val="1A1A1A"/>
        </w:rPr>
        <w:t>密钥与云同步</w:t>
      </w:r>
      <w:bookmarkEnd w:id="16"/>
    </w:p>
    <w:p w14:paraId="23442161" w14:textId="77777777" w:rsidR="00CA66EC" w:rsidRDefault="00D12A24">
      <w:pPr>
        <w:spacing w:after="120" w:line="360" w:lineRule="auto"/>
        <w:ind w:firstLine="480"/>
        <w:jc w:val="both"/>
      </w:pPr>
      <w:r>
        <w:t xml:space="preserve">AI </w:t>
      </w:r>
      <w:r>
        <w:t>类工具需要一个大模型密钥。系统默认按</w:t>
      </w:r>
      <w:r>
        <w:t xml:space="preserve"> </w:t>
      </w:r>
      <w:r>
        <w:rPr>
          <w:b/>
          <w:bCs/>
        </w:rPr>
        <w:t>DeepSeek → OpenAI → Gemini</w:t>
      </w:r>
      <w:r>
        <w:t xml:space="preserve"> </w:t>
      </w:r>
      <w:r>
        <w:t>的顺序自动回退。若你在设置页通过</w:t>
      </w:r>
      <w:r>
        <w:t xml:space="preserve"> ZenMux </w:t>
      </w:r>
      <w:r>
        <w:t>选定了某个高级模型，则优先使用它、失败再回退到上述默认链路。当前一家不可用时会自动尝试下一家，你不需要手动切换，所以偶尔看到回答来自不同模型是正常的。在公开站点上推荐</w:t>
      </w:r>
      <w:r>
        <w:t>“</w:t>
      </w:r>
      <w:r>
        <w:t>自带密钥</w:t>
      </w:r>
      <w:r>
        <w:t>”</w:t>
      </w:r>
      <w:r>
        <w:t>：你在</w:t>
      </w:r>
      <w:r>
        <w:t xml:space="preserve"> /settings </w:t>
      </w:r>
      <w:r>
        <w:t>填入的密钥只保存在本机浏览器，服务端不持久化，因此既不替你付费、也不会被陌生访客刷爆。需要说明的是，检索、入库、阅读、批注、引文导出与可视化展厅都不需要密钥；查询扩展、</w:t>
      </w:r>
      <w:r>
        <w:t xml:space="preserve">AI </w:t>
      </w:r>
      <w:r>
        <w:t>排序与文库问答的向量检索属于可选增强，缺少密钥时会自动降级而非失效。</w:t>
      </w:r>
    </w:p>
    <w:p w14:paraId="07C138BE" w14:textId="77777777" w:rsidR="00CA66EC" w:rsidRDefault="00D12A24">
      <w:pPr>
        <w:spacing w:after="120" w:line="360" w:lineRule="auto"/>
        <w:ind w:firstLine="480"/>
        <w:jc w:val="both"/>
      </w:pPr>
      <w:r>
        <w:t>登录与云同步是可选项。登录后，每一次写操作都会先落到本地并立即返回，再异步镜像到云端，因此云端即便出问题也不影响本地使用；换设备时登录同一账号即可拉回数据，多设备冲突按</w:t>
      </w:r>
      <w:r>
        <w:t>“</w:t>
      </w:r>
      <w:r>
        <w:t>最后写入者优先</w:t>
      </w:r>
      <w:r>
        <w:t>”</w:t>
      </w:r>
      <w:r>
        <w:t>处理。请注意</w:t>
      </w:r>
      <w:r>
        <w:t xml:space="preserve"> PDF </w:t>
      </w:r>
      <w:r>
        <w:t>二进制始终只在本地，云端只同步论文元数据与笔记。</w:t>
      </w:r>
    </w:p>
    <w:p w14:paraId="1AAA94D6" w14:textId="77777777" w:rsidR="00CA66EC" w:rsidRDefault="00D12A24">
      <w:pPr>
        <w:pStyle w:val="1"/>
      </w:pPr>
      <w:bookmarkStart w:id="17" w:name="_Toc233465745"/>
      <w:r>
        <w:rPr>
          <w:rFonts w:eastAsia="黑体"/>
          <w:color w:val="1A1A1A"/>
        </w:rPr>
        <w:t>八、常见问题</w:t>
      </w:r>
      <w:bookmarkEnd w:id="17"/>
    </w:p>
    <w:p w14:paraId="1D1C97FB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问：不填任何密钥能用吗？</w:t>
      </w:r>
      <w:r>
        <w:rPr>
          <w:b/>
          <w:bCs/>
        </w:rPr>
        <w:t xml:space="preserve"> </w:t>
      </w:r>
      <w:r>
        <w:t>答：能。检索、入库、</w:t>
      </w:r>
      <w:r>
        <w:t xml:space="preserve">PDF </w:t>
      </w:r>
      <w:r>
        <w:t>阅读与四类批注、便签、引文导出、统计看板以及全部可视化展厅都无需密钥，只有</w:t>
      </w:r>
      <w:r>
        <w:t xml:space="preserve"> AI </w:t>
      </w:r>
      <w:r>
        <w:t>生成类工具才需要在设置页填一个大模型密钥。</w:t>
      </w:r>
    </w:p>
    <w:p w14:paraId="6CFF4189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问：断网时还能读论文吗？</w:t>
      </w:r>
      <w:r>
        <w:rPr>
          <w:b/>
          <w:bCs/>
        </w:rPr>
        <w:t xml:space="preserve"> </w:t>
      </w:r>
      <w:r>
        <w:t>答：能。论文与</w:t>
      </w:r>
      <w:r>
        <w:t xml:space="preserve"> PDF </w:t>
      </w:r>
      <w:r>
        <w:t>都缓存在浏览器本地，断网时仍</w:t>
      </w:r>
      <w:r>
        <w:lastRenderedPageBreak/>
        <w:t>可阅读、批注与导出引文；只有联网检索和</w:t>
      </w:r>
      <w:r>
        <w:t xml:space="preserve"> AI </w:t>
      </w:r>
      <w:r>
        <w:t>生成这类功能才需要网络。</w:t>
      </w:r>
    </w:p>
    <w:p w14:paraId="17821E4E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问：我的数据存在哪里，安全吗？</w:t>
      </w:r>
      <w:r>
        <w:rPr>
          <w:b/>
          <w:bCs/>
        </w:rPr>
        <w:t xml:space="preserve"> </w:t>
      </w:r>
      <w:r>
        <w:t>答：默认全部存在你本机浏览器，不上传服务器。只有登录后才会把元数据与笔记镜像到你账号下的云端，并由行级安全策略保证只有你能访问；</w:t>
      </w:r>
      <w:r>
        <w:t xml:space="preserve">PDF </w:t>
      </w:r>
      <w:r>
        <w:t>二进制则始终只在本地。</w:t>
      </w:r>
    </w:p>
    <w:p w14:paraId="75D161C9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问：为什么有的论文在检索里搜不到？</w:t>
      </w:r>
      <w:r>
        <w:rPr>
          <w:b/>
          <w:bCs/>
        </w:rPr>
        <w:t xml:space="preserve"> </w:t>
      </w:r>
      <w:r>
        <w:t>答：检索来自</w:t>
      </w:r>
      <w:r>
        <w:t xml:space="preserve"> OpenAlex</w:t>
      </w:r>
      <w:r>
        <w:t>、</w:t>
      </w:r>
      <w:r>
        <w:t>arXiv</w:t>
      </w:r>
      <w:r>
        <w:t>、</w:t>
      </w:r>
      <w:r>
        <w:t>Crossref</w:t>
      </w:r>
      <w:r>
        <w:t>、</w:t>
      </w:r>
      <w:r>
        <w:t xml:space="preserve">Europe PMC </w:t>
      </w:r>
      <w:r>
        <w:t>等公开文献源，本地上传或</w:t>
      </w:r>
      <w:r>
        <w:t>“</w:t>
      </w:r>
      <w:r>
        <w:t>完整示例</w:t>
      </w:r>
      <w:r>
        <w:t>”</w:t>
      </w:r>
      <w:r>
        <w:t>导入的论文不在这些源中，所以搜不到，属正常现象</w:t>
      </w:r>
      <w:r>
        <w:t>——</w:t>
      </w:r>
      <w:r>
        <w:t>它已经在你的论文库里，可直接打开。</w:t>
      </w:r>
    </w:p>
    <w:p w14:paraId="7CA158D9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问：手机上能用吗？</w:t>
      </w:r>
      <w:r>
        <w:rPr>
          <w:b/>
          <w:bCs/>
        </w:rPr>
        <w:t xml:space="preserve"> </w:t>
      </w:r>
      <w:r>
        <w:t>答：能。全站做了响应式适配，窄屏下侧栏会改为抽屉式，不会出现横向溢出，阅读器与各工具都能在手机上使用。</w:t>
      </w:r>
    </w:p>
    <w:p w14:paraId="54DA6E59" w14:textId="77777777" w:rsidR="00CA66EC" w:rsidRDefault="00D12A24">
      <w:pPr>
        <w:spacing w:after="120" w:line="360" w:lineRule="auto"/>
        <w:ind w:firstLine="480"/>
        <w:jc w:val="both"/>
      </w:pPr>
      <w:r>
        <w:rPr>
          <w:b/>
          <w:bCs/>
        </w:rPr>
        <w:t>问：怎么备份或迁移我的论文库？</w:t>
      </w:r>
      <w:r>
        <w:rPr>
          <w:b/>
          <w:bCs/>
        </w:rPr>
        <w:t xml:space="preserve"> </w:t>
      </w:r>
      <w:r>
        <w:t>答：论文库支持一键导出整库</w:t>
      </w:r>
      <w:r>
        <w:t xml:space="preserve"> .bib </w:t>
      </w:r>
      <w:r>
        <w:t>引文；若想跨设备携带全部数据与笔记，建议登录启用云同步，换设备登录即可恢复。</w:t>
      </w:r>
    </w:p>
    <w:p w14:paraId="5AC82D5D" w14:textId="77777777" w:rsidR="00CA66EC" w:rsidRDefault="00D12A24">
      <w:pPr>
        <w:pStyle w:val="1"/>
      </w:pPr>
      <w:bookmarkStart w:id="18" w:name="_Toc233465746"/>
      <w:r>
        <w:rPr>
          <w:rFonts w:eastAsia="黑体"/>
          <w:color w:val="1A1A1A"/>
        </w:rPr>
        <w:t>九、附录</w:t>
      </w:r>
      <w:bookmarkEnd w:id="18"/>
    </w:p>
    <w:p w14:paraId="4C812B3E" w14:textId="77777777" w:rsidR="00CA66EC" w:rsidRDefault="00D12A24">
      <w:pPr>
        <w:spacing w:after="120" w:line="360" w:lineRule="auto"/>
        <w:ind w:firstLine="480"/>
        <w:jc w:val="both"/>
      </w:pPr>
      <w:r>
        <w:t>使用上没有特别的环境要求：在</w:t>
      </w:r>
      <w:r>
        <w:t xml:space="preserve"> Chrome</w:t>
      </w:r>
      <w:r>
        <w:t>、</w:t>
      </w:r>
      <w:r>
        <w:t>Edge</w:t>
      </w:r>
      <w:r>
        <w:t>、</w:t>
      </w:r>
      <w:r>
        <w:t xml:space="preserve">Firefox </w:t>
      </w:r>
      <w:r>
        <w:t>或</w:t>
      </w:r>
      <w:r>
        <w:t xml:space="preserve"> Safari </w:t>
      </w:r>
      <w:r>
        <w:t>的较新版本中打开即可，桌面端建议分辨率</w:t>
      </w:r>
      <w:r>
        <w:t xml:space="preserve"> 1280×720 </w:t>
      </w:r>
      <w:r>
        <w:t>及以上，移动端已自适配；若用于演示或录屏，建议使用干净窗口、缩放约</w:t>
      </w:r>
      <w:r>
        <w:t xml:space="preserve"> 110%</w:t>
      </w:r>
      <w:r>
        <w:t>、分辨率</w:t>
      </w:r>
      <w:r>
        <w:t xml:space="preserve"> 1920×1080</w:t>
      </w:r>
      <w:r>
        <w:t>。常用入口可作速记：首页为根路径</w:t>
      </w:r>
      <w:r>
        <w:t xml:space="preserve"> /</w:t>
      </w:r>
      <w:r>
        <w:t>，论文库为</w:t>
      </w:r>
      <w:r>
        <w:t xml:space="preserve"> /library</w:t>
      </w:r>
      <w:r>
        <w:t>，统计看板为</w:t>
      </w:r>
      <w:r>
        <w:t xml:space="preserve"> /library/stats</w:t>
      </w:r>
      <w:r>
        <w:t>，密钥设置为</w:t>
      </w:r>
      <w:r>
        <w:t xml:space="preserve"> /settings</w:t>
      </w:r>
      <w:r>
        <w:t>，六步主线工具分别位于</w:t>
      </w:r>
      <w:r>
        <w:t xml:space="preserve"> /tools/paper-search</w:t>
      </w:r>
      <w:r>
        <w:t>、</w:t>
      </w:r>
      <w:r>
        <w:t>/tools/research-genealogy</w:t>
      </w:r>
      <w:r>
        <w:t>、</w:t>
      </w:r>
      <w:r>
        <w:t>/tools/idea-generator</w:t>
      </w:r>
      <w:r>
        <w:t>、</w:t>
      </w:r>
      <w:r>
        <w:t xml:space="preserve">/tools/paper-writer </w:t>
      </w:r>
      <w:r>
        <w:t>与</w:t>
      </w:r>
      <w:r>
        <w:t xml:space="preserve"> /tools/figure-prompt </w:t>
      </w:r>
      <w:r>
        <w:t>等</w:t>
      </w:r>
      <w:r>
        <w:t xml:space="preserve"> /tools </w:t>
      </w:r>
      <w:r>
        <w:t>下的对应路径。</w:t>
      </w:r>
    </w:p>
    <w:sectPr w:rsidR="00CA66EC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8EA46" w14:textId="77777777" w:rsidR="00D12A24" w:rsidRDefault="00D12A24">
      <w:r>
        <w:separator/>
      </w:r>
    </w:p>
  </w:endnote>
  <w:endnote w:type="continuationSeparator" w:id="0">
    <w:p w14:paraId="19913FAA" w14:textId="77777777" w:rsidR="00D12A24" w:rsidRDefault="00D12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EC21" w14:textId="77777777" w:rsidR="00CA66EC" w:rsidRDefault="00D12A24">
    <w:pPr>
      <w:jc w:val="center"/>
    </w:pPr>
    <w:r>
      <w:rPr>
        <w:color w:val="999999"/>
        <w:sz w:val="18"/>
        <w:szCs w:val="18"/>
      </w:rPr>
      <w:t>第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7144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1917" w14:textId="77777777" w:rsidR="00D12A24" w:rsidRDefault="00D12A24">
      <w:r>
        <w:separator/>
      </w:r>
    </w:p>
  </w:footnote>
  <w:footnote w:type="continuationSeparator" w:id="0">
    <w:p w14:paraId="1416117F" w14:textId="77777777" w:rsidR="00D12A24" w:rsidRDefault="00D12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95A2B" w14:textId="77777777" w:rsidR="00CA66EC" w:rsidRDefault="00D12A24">
    <w:pPr>
      <w:pBdr>
        <w:bottom w:val="single" w:sz="4" w:space="4" w:color="DDDDDD"/>
      </w:pBdr>
      <w:jc w:val="right"/>
    </w:pPr>
    <w:r>
      <w:rPr>
        <w:rFonts w:eastAsia="楷体"/>
        <w:color w:val="999999"/>
        <w:sz w:val="18"/>
        <w:szCs w:val="18"/>
      </w:rPr>
      <w:t xml:space="preserve">PaperWeave · </w:t>
    </w:r>
    <w:r>
      <w:rPr>
        <w:rFonts w:eastAsia="楷体"/>
        <w:color w:val="999999"/>
        <w:sz w:val="18"/>
        <w:szCs w:val="18"/>
      </w:rPr>
      <w:t>用户使用手册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1B9A"/>
    <w:multiLevelType w:val="hybridMultilevel"/>
    <w:tmpl w:val="522AA6EE"/>
    <w:lvl w:ilvl="0" w:tplc="643A8900">
      <w:start w:val="1"/>
      <w:numFmt w:val="decimal"/>
      <w:lvlText w:val="%1."/>
      <w:lvlJc w:val="left"/>
      <w:pPr>
        <w:ind w:left="600" w:hanging="300"/>
      </w:pPr>
    </w:lvl>
    <w:lvl w:ilvl="1" w:tplc="2B108162">
      <w:numFmt w:val="decimal"/>
      <w:lvlText w:val=""/>
      <w:lvlJc w:val="left"/>
    </w:lvl>
    <w:lvl w:ilvl="2" w:tplc="EA626D5E">
      <w:numFmt w:val="decimal"/>
      <w:lvlText w:val=""/>
      <w:lvlJc w:val="left"/>
    </w:lvl>
    <w:lvl w:ilvl="3" w:tplc="50B6AA46">
      <w:numFmt w:val="decimal"/>
      <w:lvlText w:val=""/>
      <w:lvlJc w:val="left"/>
    </w:lvl>
    <w:lvl w:ilvl="4" w:tplc="F1E4509C">
      <w:numFmt w:val="decimal"/>
      <w:lvlText w:val=""/>
      <w:lvlJc w:val="left"/>
    </w:lvl>
    <w:lvl w:ilvl="5" w:tplc="CD188774">
      <w:numFmt w:val="decimal"/>
      <w:lvlText w:val=""/>
      <w:lvlJc w:val="left"/>
    </w:lvl>
    <w:lvl w:ilvl="6" w:tplc="FD5200C2">
      <w:numFmt w:val="decimal"/>
      <w:lvlText w:val=""/>
      <w:lvlJc w:val="left"/>
    </w:lvl>
    <w:lvl w:ilvl="7" w:tplc="597EB862">
      <w:numFmt w:val="decimal"/>
      <w:lvlText w:val=""/>
      <w:lvlJc w:val="left"/>
    </w:lvl>
    <w:lvl w:ilvl="8" w:tplc="3B1402A4">
      <w:numFmt w:val="decimal"/>
      <w:lvlText w:val=""/>
      <w:lvlJc w:val="left"/>
    </w:lvl>
  </w:abstractNum>
  <w:abstractNum w:abstractNumId="1" w15:restartNumberingAfterBreak="0">
    <w:nsid w:val="3BF5634B"/>
    <w:multiLevelType w:val="hybridMultilevel"/>
    <w:tmpl w:val="E8D61D4A"/>
    <w:lvl w:ilvl="0" w:tplc="E3361E80">
      <w:start w:val="1"/>
      <w:numFmt w:val="decimal"/>
      <w:lvlText w:val="%1."/>
      <w:lvlJc w:val="left"/>
      <w:pPr>
        <w:ind w:left="600" w:hanging="300"/>
      </w:pPr>
    </w:lvl>
    <w:lvl w:ilvl="1" w:tplc="960492E2">
      <w:numFmt w:val="decimal"/>
      <w:lvlText w:val=""/>
      <w:lvlJc w:val="left"/>
    </w:lvl>
    <w:lvl w:ilvl="2" w:tplc="6C7C536E">
      <w:numFmt w:val="decimal"/>
      <w:lvlText w:val=""/>
      <w:lvlJc w:val="left"/>
    </w:lvl>
    <w:lvl w:ilvl="3" w:tplc="331C09A8">
      <w:numFmt w:val="decimal"/>
      <w:lvlText w:val=""/>
      <w:lvlJc w:val="left"/>
    </w:lvl>
    <w:lvl w:ilvl="4" w:tplc="DD9EBA4C">
      <w:numFmt w:val="decimal"/>
      <w:lvlText w:val=""/>
      <w:lvlJc w:val="left"/>
    </w:lvl>
    <w:lvl w:ilvl="5" w:tplc="9F7A9366">
      <w:numFmt w:val="decimal"/>
      <w:lvlText w:val=""/>
      <w:lvlJc w:val="left"/>
    </w:lvl>
    <w:lvl w:ilvl="6" w:tplc="3094092C">
      <w:numFmt w:val="decimal"/>
      <w:lvlText w:val=""/>
      <w:lvlJc w:val="left"/>
    </w:lvl>
    <w:lvl w:ilvl="7" w:tplc="2C94A89C">
      <w:numFmt w:val="decimal"/>
      <w:lvlText w:val=""/>
      <w:lvlJc w:val="left"/>
    </w:lvl>
    <w:lvl w:ilvl="8" w:tplc="15F8194A">
      <w:numFmt w:val="decimal"/>
      <w:lvlText w:val=""/>
      <w:lvlJc w:val="left"/>
    </w:lvl>
  </w:abstractNum>
  <w:abstractNum w:abstractNumId="2" w15:restartNumberingAfterBreak="0">
    <w:nsid w:val="3DA34849"/>
    <w:multiLevelType w:val="hybridMultilevel"/>
    <w:tmpl w:val="D592D536"/>
    <w:lvl w:ilvl="0" w:tplc="0138FF22">
      <w:start w:val="1"/>
      <w:numFmt w:val="decimal"/>
      <w:lvlText w:val="%1."/>
      <w:lvlJc w:val="left"/>
      <w:pPr>
        <w:ind w:left="600" w:hanging="300"/>
      </w:pPr>
    </w:lvl>
    <w:lvl w:ilvl="1" w:tplc="85765E8C">
      <w:numFmt w:val="decimal"/>
      <w:lvlText w:val=""/>
      <w:lvlJc w:val="left"/>
    </w:lvl>
    <w:lvl w:ilvl="2" w:tplc="7E668AA8">
      <w:numFmt w:val="decimal"/>
      <w:lvlText w:val=""/>
      <w:lvlJc w:val="left"/>
    </w:lvl>
    <w:lvl w:ilvl="3" w:tplc="C65675F0">
      <w:numFmt w:val="decimal"/>
      <w:lvlText w:val=""/>
      <w:lvlJc w:val="left"/>
    </w:lvl>
    <w:lvl w:ilvl="4" w:tplc="15524F54">
      <w:numFmt w:val="decimal"/>
      <w:lvlText w:val=""/>
      <w:lvlJc w:val="left"/>
    </w:lvl>
    <w:lvl w:ilvl="5" w:tplc="E0CEDD4A">
      <w:numFmt w:val="decimal"/>
      <w:lvlText w:val=""/>
      <w:lvlJc w:val="left"/>
    </w:lvl>
    <w:lvl w:ilvl="6" w:tplc="1CE6FCD8">
      <w:numFmt w:val="decimal"/>
      <w:lvlText w:val=""/>
      <w:lvlJc w:val="left"/>
    </w:lvl>
    <w:lvl w:ilvl="7" w:tplc="759A09BC">
      <w:numFmt w:val="decimal"/>
      <w:lvlText w:val=""/>
      <w:lvlJc w:val="left"/>
    </w:lvl>
    <w:lvl w:ilvl="8" w:tplc="AEB2909C">
      <w:numFmt w:val="decimal"/>
      <w:lvlText w:val=""/>
      <w:lvlJc w:val="left"/>
    </w:lvl>
  </w:abstractNum>
  <w:abstractNum w:abstractNumId="3" w15:restartNumberingAfterBreak="0">
    <w:nsid w:val="3F893621"/>
    <w:multiLevelType w:val="hybridMultilevel"/>
    <w:tmpl w:val="7812F0F2"/>
    <w:lvl w:ilvl="0" w:tplc="3C38AAD0">
      <w:start w:val="1"/>
      <w:numFmt w:val="decimal"/>
      <w:lvlText w:val="%1."/>
      <w:lvlJc w:val="left"/>
      <w:pPr>
        <w:ind w:left="600" w:hanging="300"/>
      </w:pPr>
    </w:lvl>
    <w:lvl w:ilvl="1" w:tplc="7DB0444A">
      <w:numFmt w:val="decimal"/>
      <w:lvlText w:val=""/>
      <w:lvlJc w:val="left"/>
    </w:lvl>
    <w:lvl w:ilvl="2" w:tplc="2A1A946C">
      <w:numFmt w:val="decimal"/>
      <w:lvlText w:val=""/>
      <w:lvlJc w:val="left"/>
    </w:lvl>
    <w:lvl w:ilvl="3" w:tplc="9022E434">
      <w:numFmt w:val="decimal"/>
      <w:lvlText w:val=""/>
      <w:lvlJc w:val="left"/>
    </w:lvl>
    <w:lvl w:ilvl="4" w:tplc="236C6252">
      <w:numFmt w:val="decimal"/>
      <w:lvlText w:val=""/>
      <w:lvlJc w:val="left"/>
    </w:lvl>
    <w:lvl w:ilvl="5" w:tplc="71D8D4D4">
      <w:numFmt w:val="decimal"/>
      <w:lvlText w:val=""/>
      <w:lvlJc w:val="left"/>
    </w:lvl>
    <w:lvl w:ilvl="6" w:tplc="651A314C">
      <w:numFmt w:val="decimal"/>
      <w:lvlText w:val=""/>
      <w:lvlJc w:val="left"/>
    </w:lvl>
    <w:lvl w:ilvl="7" w:tplc="B972E578">
      <w:numFmt w:val="decimal"/>
      <w:lvlText w:val=""/>
      <w:lvlJc w:val="left"/>
    </w:lvl>
    <w:lvl w:ilvl="8" w:tplc="E34C6992">
      <w:numFmt w:val="decimal"/>
      <w:lvlText w:val=""/>
      <w:lvlJc w:val="left"/>
    </w:lvl>
  </w:abstractNum>
  <w:abstractNum w:abstractNumId="4" w15:restartNumberingAfterBreak="0">
    <w:nsid w:val="3F8B77A6"/>
    <w:multiLevelType w:val="hybridMultilevel"/>
    <w:tmpl w:val="CB145338"/>
    <w:lvl w:ilvl="0" w:tplc="1282602A">
      <w:start w:val="1"/>
      <w:numFmt w:val="decimal"/>
      <w:lvlText w:val="%1."/>
      <w:lvlJc w:val="left"/>
      <w:pPr>
        <w:ind w:left="600" w:hanging="300"/>
      </w:pPr>
    </w:lvl>
    <w:lvl w:ilvl="1" w:tplc="86505172">
      <w:numFmt w:val="decimal"/>
      <w:lvlText w:val=""/>
      <w:lvlJc w:val="left"/>
    </w:lvl>
    <w:lvl w:ilvl="2" w:tplc="DF30C986">
      <w:numFmt w:val="decimal"/>
      <w:lvlText w:val=""/>
      <w:lvlJc w:val="left"/>
    </w:lvl>
    <w:lvl w:ilvl="3" w:tplc="96B0435E">
      <w:numFmt w:val="decimal"/>
      <w:lvlText w:val=""/>
      <w:lvlJc w:val="left"/>
    </w:lvl>
    <w:lvl w:ilvl="4" w:tplc="FC96CE3C">
      <w:numFmt w:val="decimal"/>
      <w:lvlText w:val=""/>
      <w:lvlJc w:val="left"/>
    </w:lvl>
    <w:lvl w:ilvl="5" w:tplc="5CC2F74C">
      <w:numFmt w:val="decimal"/>
      <w:lvlText w:val=""/>
      <w:lvlJc w:val="left"/>
    </w:lvl>
    <w:lvl w:ilvl="6" w:tplc="B1325A0C">
      <w:numFmt w:val="decimal"/>
      <w:lvlText w:val=""/>
      <w:lvlJc w:val="left"/>
    </w:lvl>
    <w:lvl w:ilvl="7" w:tplc="03BCBC0A">
      <w:numFmt w:val="decimal"/>
      <w:lvlText w:val=""/>
      <w:lvlJc w:val="left"/>
    </w:lvl>
    <w:lvl w:ilvl="8" w:tplc="668EBA14">
      <w:numFmt w:val="decimal"/>
      <w:lvlText w:val=""/>
      <w:lvlJc w:val="left"/>
    </w:lvl>
  </w:abstractNum>
  <w:abstractNum w:abstractNumId="5" w15:restartNumberingAfterBreak="0">
    <w:nsid w:val="4801113A"/>
    <w:multiLevelType w:val="hybridMultilevel"/>
    <w:tmpl w:val="4052DD96"/>
    <w:lvl w:ilvl="0" w:tplc="60FAABE8">
      <w:start w:val="1"/>
      <w:numFmt w:val="decimal"/>
      <w:lvlText w:val="%1."/>
      <w:lvlJc w:val="left"/>
      <w:pPr>
        <w:ind w:left="600" w:hanging="300"/>
      </w:pPr>
    </w:lvl>
    <w:lvl w:ilvl="1" w:tplc="91D4E9C6">
      <w:numFmt w:val="decimal"/>
      <w:lvlText w:val=""/>
      <w:lvlJc w:val="left"/>
    </w:lvl>
    <w:lvl w:ilvl="2" w:tplc="EDE862B4">
      <w:numFmt w:val="decimal"/>
      <w:lvlText w:val=""/>
      <w:lvlJc w:val="left"/>
    </w:lvl>
    <w:lvl w:ilvl="3" w:tplc="F3824F96">
      <w:numFmt w:val="decimal"/>
      <w:lvlText w:val=""/>
      <w:lvlJc w:val="left"/>
    </w:lvl>
    <w:lvl w:ilvl="4" w:tplc="C3425FE8">
      <w:numFmt w:val="decimal"/>
      <w:lvlText w:val=""/>
      <w:lvlJc w:val="left"/>
    </w:lvl>
    <w:lvl w:ilvl="5" w:tplc="BB4AA584">
      <w:numFmt w:val="decimal"/>
      <w:lvlText w:val=""/>
      <w:lvlJc w:val="left"/>
    </w:lvl>
    <w:lvl w:ilvl="6" w:tplc="24E8372C">
      <w:numFmt w:val="decimal"/>
      <w:lvlText w:val=""/>
      <w:lvlJc w:val="left"/>
    </w:lvl>
    <w:lvl w:ilvl="7" w:tplc="E88001BA">
      <w:numFmt w:val="decimal"/>
      <w:lvlText w:val=""/>
      <w:lvlJc w:val="left"/>
    </w:lvl>
    <w:lvl w:ilvl="8" w:tplc="839A3A30">
      <w:numFmt w:val="decimal"/>
      <w:lvlText w:val=""/>
      <w:lvlJc w:val="left"/>
    </w:lvl>
  </w:abstractNum>
  <w:abstractNum w:abstractNumId="6" w15:restartNumberingAfterBreak="0">
    <w:nsid w:val="4B5121F2"/>
    <w:multiLevelType w:val="hybridMultilevel"/>
    <w:tmpl w:val="D9BCA768"/>
    <w:lvl w:ilvl="0" w:tplc="B70CBCBC">
      <w:start w:val="1"/>
      <w:numFmt w:val="bullet"/>
      <w:lvlText w:val="•"/>
      <w:lvlJc w:val="left"/>
      <w:pPr>
        <w:ind w:left="600" w:hanging="280"/>
      </w:pPr>
    </w:lvl>
    <w:lvl w:ilvl="1" w:tplc="153048F0">
      <w:start w:val="1"/>
      <w:numFmt w:val="bullet"/>
      <w:lvlText w:val="–"/>
      <w:lvlJc w:val="left"/>
      <w:pPr>
        <w:ind w:left="1080" w:hanging="280"/>
      </w:pPr>
    </w:lvl>
    <w:lvl w:ilvl="2" w:tplc="8E584E88">
      <w:numFmt w:val="decimal"/>
      <w:lvlText w:val=""/>
      <w:lvlJc w:val="left"/>
    </w:lvl>
    <w:lvl w:ilvl="3" w:tplc="3F226C9A">
      <w:numFmt w:val="decimal"/>
      <w:lvlText w:val=""/>
      <w:lvlJc w:val="left"/>
    </w:lvl>
    <w:lvl w:ilvl="4" w:tplc="D924B200">
      <w:numFmt w:val="decimal"/>
      <w:lvlText w:val=""/>
      <w:lvlJc w:val="left"/>
    </w:lvl>
    <w:lvl w:ilvl="5" w:tplc="3BDA7000">
      <w:numFmt w:val="decimal"/>
      <w:lvlText w:val=""/>
      <w:lvlJc w:val="left"/>
    </w:lvl>
    <w:lvl w:ilvl="6" w:tplc="4AA61618">
      <w:numFmt w:val="decimal"/>
      <w:lvlText w:val=""/>
      <w:lvlJc w:val="left"/>
    </w:lvl>
    <w:lvl w:ilvl="7" w:tplc="FD8C956E">
      <w:numFmt w:val="decimal"/>
      <w:lvlText w:val=""/>
      <w:lvlJc w:val="left"/>
    </w:lvl>
    <w:lvl w:ilvl="8" w:tplc="10A25E16">
      <w:numFmt w:val="decimal"/>
      <w:lvlText w:val=""/>
      <w:lvlJc w:val="left"/>
    </w:lvl>
  </w:abstractNum>
  <w:abstractNum w:abstractNumId="7" w15:restartNumberingAfterBreak="0">
    <w:nsid w:val="654E1C39"/>
    <w:multiLevelType w:val="hybridMultilevel"/>
    <w:tmpl w:val="BBF0654A"/>
    <w:lvl w:ilvl="0" w:tplc="41D28F66">
      <w:start w:val="1"/>
      <w:numFmt w:val="decimal"/>
      <w:lvlText w:val="%1."/>
      <w:lvlJc w:val="left"/>
      <w:pPr>
        <w:ind w:left="600" w:hanging="300"/>
      </w:pPr>
    </w:lvl>
    <w:lvl w:ilvl="1" w:tplc="DCD46788">
      <w:numFmt w:val="decimal"/>
      <w:lvlText w:val=""/>
      <w:lvlJc w:val="left"/>
    </w:lvl>
    <w:lvl w:ilvl="2" w:tplc="4468C86C">
      <w:numFmt w:val="decimal"/>
      <w:lvlText w:val=""/>
      <w:lvlJc w:val="left"/>
    </w:lvl>
    <w:lvl w:ilvl="3" w:tplc="908E143A">
      <w:numFmt w:val="decimal"/>
      <w:lvlText w:val=""/>
      <w:lvlJc w:val="left"/>
    </w:lvl>
    <w:lvl w:ilvl="4" w:tplc="4E5C8A0A">
      <w:numFmt w:val="decimal"/>
      <w:lvlText w:val=""/>
      <w:lvlJc w:val="left"/>
    </w:lvl>
    <w:lvl w:ilvl="5" w:tplc="01D216F2">
      <w:numFmt w:val="decimal"/>
      <w:lvlText w:val=""/>
      <w:lvlJc w:val="left"/>
    </w:lvl>
    <w:lvl w:ilvl="6" w:tplc="84C285C4">
      <w:numFmt w:val="decimal"/>
      <w:lvlText w:val=""/>
      <w:lvlJc w:val="left"/>
    </w:lvl>
    <w:lvl w:ilvl="7" w:tplc="52B41EE6">
      <w:numFmt w:val="decimal"/>
      <w:lvlText w:val=""/>
      <w:lvlJc w:val="left"/>
    </w:lvl>
    <w:lvl w:ilvl="8" w:tplc="B70CB714">
      <w:numFmt w:val="decimal"/>
      <w:lvlText w:val=""/>
      <w:lvlJc w:val="left"/>
    </w:lvl>
  </w:abstractNum>
  <w:abstractNum w:abstractNumId="8" w15:restartNumberingAfterBreak="0">
    <w:nsid w:val="69A6449C"/>
    <w:multiLevelType w:val="hybridMultilevel"/>
    <w:tmpl w:val="8FA07EA0"/>
    <w:lvl w:ilvl="0" w:tplc="4A2017FE">
      <w:start w:val="1"/>
      <w:numFmt w:val="bullet"/>
      <w:lvlText w:val="●"/>
      <w:lvlJc w:val="left"/>
      <w:pPr>
        <w:ind w:left="720" w:hanging="360"/>
      </w:pPr>
    </w:lvl>
    <w:lvl w:ilvl="1" w:tplc="C5B074B2">
      <w:start w:val="1"/>
      <w:numFmt w:val="bullet"/>
      <w:lvlText w:val="○"/>
      <w:lvlJc w:val="left"/>
      <w:pPr>
        <w:ind w:left="1440" w:hanging="360"/>
      </w:pPr>
    </w:lvl>
    <w:lvl w:ilvl="2" w:tplc="3BACB0F2">
      <w:start w:val="1"/>
      <w:numFmt w:val="bullet"/>
      <w:lvlText w:val="■"/>
      <w:lvlJc w:val="left"/>
      <w:pPr>
        <w:ind w:left="2160" w:hanging="360"/>
      </w:pPr>
    </w:lvl>
    <w:lvl w:ilvl="3" w:tplc="E5B265C8">
      <w:start w:val="1"/>
      <w:numFmt w:val="bullet"/>
      <w:lvlText w:val="●"/>
      <w:lvlJc w:val="left"/>
      <w:pPr>
        <w:ind w:left="2880" w:hanging="360"/>
      </w:pPr>
    </w:lvl>
    <w:lvl w:ilvl="4" w:tplc="426A274C">
      <w:start w:val="1"/>
      <w:numFmt w:val="bullet"/>
      <w:lvlText w:val="○"/>
      <w:lvlJc w:val="left"/>
      <w:pPr>
        <w:ind w:left="3600" w:hanging="360"/>
      </w:pPr>
    </w:lvl>
    <w:lvl w:ilvl="5" w:tplc="00704854">
      <w:start w:val="1"/>
      <w:numFmt w:val="bullet"/>
      <w:lvlText w:val="■"/>
      <w:lvlJc w:val="left"/>
      <w:pPr>
        <w:ind w:left="4320" w:hanging="360"/>
      </w:pPr>
    </w:lvl>
    <w:lvl w:ilvl="6" w:tplc="3F5C3034">
      <w:start w:val="1"/>
      <w:numFmt w:val="bullet"/>
      <w:lvlText w:val="●"/>
      <w:lvlJc w:val="left"/>
      <w:pPr>
        <w:ind w:left="5040" w:hanging="360"/>
      </w:pPr>
    </w:lvl>
    <w:lvl w:ilvl="7" w:tplc="89E0E15E">
      <w:start w:val="1"/>
      <w:numFmt w:val="bullet"/>
      <w:lvlText w:val="●"/>
      <w:lvlJc w:val="left"/>
      <w:pPr>
        <w:ind w:left="5760" w:hanging="360"/>
      </w:pPr>
    </w:lvl>
    <w:lvl w:ilvl="8" w:tplc="621681B0">
      <w:start w:val="1"/>
      <w:numFmt w:val="bullet"/>
      <w:lvlText w:val="●"/>
      <w:lvlJc w:val="left"/>
      <w:pPr>
        <w:ind w:left="6480" w:hanging="360"/>
      </w:pPr>
    </w:lvl>
  </w:abstractNum>
  <w:num w:numId="1" w16cid:durableId="153985280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6EC"/>
    <w:rsid w:val="0080440F"/>
    <w:rsid w:val="00B7144E"/>
    <w:rsid w:val="00CA66EC"/>
    <w:rsid w:val="00D1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8191"/>
  <w15:docId w15:val="{A82E6408-D090-419C-9BD4-EFA6F985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6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ascii="Arial" w:eastAsia="Arial" w:hAnsi="Arial" w:cs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7144E"/>
  </w:style>
  <w:style w:type="paragraph" w:styleId="TOC2">
    <w:name w:val="toc 2"/>
    <w:basedOn w:val="a"/>
    <w:next w:val="a"/>
    <w:autoRedefine/>
    <w:uiPriority w:val="39"/>
    <w:unhideWhenUsed/>
    <w:rsid w:val="00B7144E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1ha0.com/tools/citation-graph" TargetMode="External"/><Relationship Id="rId13" Type="http://schemas.openxmlformats.org/officeDocument/2006/relationships/hyperlink" Target="https://www.z1ha0.com/tools/idea-generator" TargetMode="External"/><Relationship Id="rId18" Type="http://schemas.openxmlformats.org/officeDocument/2006/relationships/hyperlink" Target="https://www.z1ha0.com/tools/transformer-explainer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z1ha0.com/tools/stable-diffusion-explainer" TargetMode="External"/><Relationship Id="rId7" Type="http://schemas.openxmlformats.org/officeDocument/2006/relationships/hyperlink" Target="https://www.z1ha0.com/tools/paper-search" TargetMode="External"/><Relationship Id="rId12" Type="http://schemas.openxmlformats.org/officeDocument/2006/relationships/hyperlink" Target="https://www.z1ha0.com/tools/research-genealogy" TargetMode="External"/><Relationship Id="rId17" Type="http://schemas.openxmlformats.org/officeDocument/2006/relationships/hyperlink" Target="https://www.z1ha0.com/tools/med-seg-explainer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z1ha0.com/tools/cnn-explainer" TargetMode="External"/><Relationship Id="rId20" Type="http://schemas.openxmlformats.org/officeDocument/2006/relationships/hyperlink" Target="https://www.z1ha0.com/tools/diffusion-explain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z1ha0.com/tools/paper-compare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z1ha0.com/tools/figure-prompt" TargetMode="External"/><Relationship Id="rId23" Type="http://schemas.openxmlformats.org/officeDocument/2006/relationships/hyperlink" Target="https://www.z1ha0.com/tools/skill-maker" TargetMode="External"/><Relationship Id="rId10" Type="http://schemas.openxmlformats.org/officeDocument/2006/relationships/hyperlink" Target="https://www.z1ha0.com/tools/markdown-summarize" TargetMode="External"/><Relationship Id="rId19" Type="http://schemas.openxmlformats.org/officeDocument/2006/relationships/hyperlink" Target="https://www.z1ha0.com/tools/gan-explai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1ha0.com/library" TargetMode="External"/><Relationship Id="rId14" Type="http://schemas.openxmlformats.org/officeDocument/2006/relationships/hyperlink" Target="https://www.z1ha0.com/tools/paper-writer" TargetMode="External"/><Relationship Id="rId22" Type="http://schemas.openxmlformats.org/officeDocument/2006/relationships/hyperlink" Target="https://www.z1ha0.com/tools/prompt-chunke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用户使用手册</dc:title>
  <dc:creator>郭子豪</dc:creator>
  <cp:lastModifiedBy>Zihao Guo</cp:lastModifiedBy>
  <cp:revision>2</cp:revision>
  <dcterms:created xsi:type="dcterms:W3CDTF">2026-06-23T13:47:00Z</dcterms:created>
  <dcterms:modified xsi:type="dcterms:W3CDTF">2026-06-27T07:16:00Z</dcterms:modified>
</cp:coreProperties>
</file>