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RQ3 Rater Instructions (Blinded)</w:t>
      </w:r>
    </w:p>
    <w:p>
      <w:r>
        <w:rPr>
          <w:b w:val="0"/>
          <w:i w:val="0"/>
        </w:rPr>
        <w:t>These instructions cover the explanation-quality rating for RQ3. Each row is one model-generated explanation for a C/C++ function, scored on four dimensions using a 1–5 Likert scale.</w:t>
      </w:r>
    </w:p>
    <w:p>
      <w:r>
        <w:rPr>
          <w:b w:val="0"/>
          <w:i/>
        </w:rPr>
        <w:t>Important: the ground-truth label, CWE, and CVE are intentionally withheld. Because the set now includes both correct and incorrect predictions, showing the ground truth would let correctness leak into the quality judgement (e.g. penalising a well-written explanation only because its conclusion is known to be wrong). Score each explanation on its own merits, using only the code and the response text.</w:t>
      </w:r>
    </w:p>
    <w:p>
      <w:r>
        <w:rPr>
          <w:b w:val="0"/>
          <w:i w:val="0"/>
        </w:rPr>
        <w:t>Some rows may be shaded and already scored — these are ratings completed in a prior round. Leave them as they are and score only the blank rows.</w:t>
      </w:r>
    </w:p>
    <w:p>
      <w:pPr>
        <w:pStyle w:val="Heading1"/>
      </w:pPr>
      <w:r>
        <w:t>Spreadsheet Columns</w:t>
      </w:r>
    </w:p>
    <w:tbl>
      <w:tblPr>
        <w:tblStyle w:val="TableGrid"/>
        <w:tblW w:type="auto" w:w="0"/>
        <w:tblLook w:firstColumn="1" w:firstRow="1" w:lastColumn="0" w:lastRow="0" w:noHBand="0" w:noVBand="1" w:val="04A0"/>
      </w:tblPr>
      <w:tblGrid>
        <w:gridCol w:w="4320"/>
        <w:gridCol w:w="4320"/>
      </w:tblGrid>
      <w:tr>
        <w:tc>
          <w:tcPr>
            <w:tcW w:type="dxa" w:w="4320"/>
          </w:tcPr>
          <w:p>
            <w:r/>
            <w:r>
              <w:rPr>
                <w:b/>
              </w:rPr>
              <w:t>Column</w:t>
            </w:r>
          </w:p>
        </w:tc>
        <w:tc>
          <w:tcPr>
            <w:tcW w:type="dxa" w:w="4320"/>
          </w:tcPr>
          <w:p>
            <w:r/>
            <w:r>
              <w:rPr>
                <w:b/>
              </w:rPr>
              <w:t>Action</w:t>
            </w:r>
          </w:p>
        </w:tc>
      </w:tr>
      <w:tr>
        <w:tc>
          <w:tcPr>
            <w:tcW w:type="dxa" w:w="4320"/>
          </w:tcPr>
          <w:p>
            <w:r>
              <w:t>sample_id</w:t>
            </w:r>
          </w:p>
        </w:tc>
        <w:tc>
          <w:tcPr>
            <w:tcW w:type="dxa" w:w="4320"/>
          </w:tcPr>
          <w:p>
            <w:r>
              <w:t>Row identifier — do not reorder or edit</w:t>
            </w:r>
          </w:p>
        </w:tc>
      </w:tr>
      <w:tr>
        <w:tc>
          <w:tcPr>
            <w:tcW w:type="dxa" w:w="4320"/>
          </w:tcPr>
          <w:p>
            <w:r>
              <w:t>source_code</w:t>
            </w:r>
          </w:p>
        </w:tc>
        <w:tc>
          <w:tcPr>
            <w:tcW w:type="dxa" w:w="4320"/>
          </w:tcPr>
          <w:p>
            <w:r>
              <w:t>The C/C++ function under review</w:t>
            </w:r>
          </w:p>
        </w:tc>
      </w:tr>
      <w:tr>
        <w:tc>
          <w:tcPr>
            <w:tcW w:type="dxa" w:w="4320"/>
          </w:tcPr>
          <w:p>
            <w:r>
              <w:t>response_text</w:t>
            </w:r>
          </w:p>
        </w:tc>
        <w:tc>
          <w:tcPr>
            <w:tcW w:type="dxa" w:w="4320"/>
          </w:tcPr>
          <w:p>
            <w:r>
              <w:t>The model's explanation — score this using the rubric below</w:t>
            </w:r>
          </w:p>
        </w:tc>
      </w:tr>
      <w:tr>
        <w:tc>
          <w:tcPr>
            <w:tcW w:type="dxa" w:w="4320"/>
          </w:tcPr>
          <w:p>
            <w:r>
              <w:t>completeness_score</w:t>
            </w:r>
          </w:p>
        </w:tc>
        <w:tc>
          <w:tcPr>
            <w:tcW w:type="dxa" w:w="4320"/>
          </w:tcPr>
          <w:p>
            <w:r>
              <w:t>Fill in (1–5); higher is better</w:t>
            </w:r>
          </w:p>
        </w:tc>
      </w:tr>
      <w:tr>
        <w:tc>
          <w:tcPr>
            <w:tcW w:type="dxa" w:w="4320"/>
          </w:tcPr>
          <w:p>
            <w:r>
              <w:t>clarity_score</w:t>
            </w:r>
          </w:p>
        </w:tc>
        <w:tc>
          <w:tcPr>
            <w:tcW w:type="dxa" w:w="4320"/>
          </w:tcPr>
          <w:p>
            <w:r>
              <w:t>Fill in (1–5); higher is better</w:t>
            </w:r>
          </w:p>
        </w:tc>
      </w:tr>
      <w:tr>
        <w:tc>
          <w:tcPr>
            <w:tcW w:type="dxa" w:w="4320"/>
          </w:tcPr>
          <w:p>
            <w:r>
              <w:t>actionability_score</w:t>
            </w:r>
          </w:p>
        </w:tc>
        <w:tc>
          <w:tcPr>
            <w:tcW w:type="dxa" w:w="4320"/>
          </w:tcPr>
          <w:p>
            <w:r>
              <w:t>Fill in (1–5); higher is better</w:t>
            </w:r>
          </w:p>
        </w:tc>
      </w:tr>
      <w:tr>
        <w:tc>
          <w:tcPr>
            <w:tcW w:type="dxa" w:w="4320"/>
          </w:tcPr>
          <w:p>
            <w:r>
              <w:t>informativeness_score</w:t>
            </w:r>
          </w:p>
        </w:tc>
        <w:tc>
          <w:tcPr>
            <w:tcW w:type="dxa" w:w="4320"/>
          </w:tcPr>
          <w:p>
            <w:r>
              <w:t>Fill in (1–5); higher is better</w:t>
            </w:r>
          </w:p>
        </w:tc>
      </w:tr>
      <w:tr>
        <w:tc>
          <w:tcPr>
            <w:tcW w:type="dxa" w:w="4320"/>
          </w:tcPr>
          <w:p>
            <w:r>
              <w:t>rater_notes</w:t>
            </w:r>
          </w:p>
        </w:tc>
        <w:tc>
          <w:tcPr>
            <w:tcW w:type="dxa" w:w="4320"/>
          </w:tcPr>
          <w:p>
            <w:r>
              <w:t>Optional but encouraged for non-obvious scores</w:t>
            </w:r>
          </w:p>
        </w:tc>
      </w:tr>
    </w:tbl>
    <w:p>
      <w:pPr>
        <w:pStyle w:val="Heading1"/>
      </w:pPr>
      <w:r>
        <w:t>Procedure</w:t>
      </w:r>
    </w:p>
    <w:p>
      <w:pPr>
        <w:pStyle w:val="ListNumber"/>
      </w:pPr>
      <w:r>
        <w:t>Read the source code — understand the function's purpose, inputs, and control flow (once per code sample).</w:t>
      </w:r>
    </w:p>
    <w:p>
      <w:pPr>
        <w:pStyle w:val="ListNumber"/>
      </w:pPr>
      <w:r>
        <w:t>Read the response — note what the explanation concludes (vulnerable or safe) and the reasoning it gives in support.</w:t>
      </w:r>
    </w:p>
    <w:p>
      <w:pPr>
        <w:pStyle w:val="ListNumber"/>
      </w:pPr>
      <w:r>
        <w:t>Score each response independently — do not anchor one response's score to another's. Use the full 1–5 range. Do not reward or penalise based on length or format alone.</w:t>
      </w:r>
    </w:p>
    <w:p>
      <w:pPr>
        <w:pStyle w:val="ListNumber"/>
      </w:pPr>
      <w:r>
        <w:t>Add notes — especially for borderline scores or when a response covers something others missed.</w:t>
      </w:r>
    </w:p>
    <w:p>
      <w:r>
        <w:rPr>
          <w:b w:val="0"/>
          <w:i/>
        </w:rPr>
        <w:t>On correctness (important): the true label is hidden by design. Do not try to determine whether the model's conclusion is right, and do not reward or penalise a response based on your own guess about correctness. Score the quality of the explanation as security reasoning about the code. A well-structured explanation of a wrong conclusion can still score well on clarity; a correct conclusion reached through flawed or shallow reasoning still scores lower on completeness and informativeness.</w:t>
      </w:r>
    </w:p>
    <w:p>
      <w:pPr>
        <w:pStyle w:val="Heading1"/>
      </w:pPr>
      <w:r>
        <w:t>Scoring Rubric</w:t>
      </w:r>
    </w:p>
    <w:p>
      <w:r>
        <w:rPr>
          <w:b w:val="0"/>
          <w:i w:val="0"/>
        </w:rPr>
        <w:t>All metrics use a 1–5 Likert scale. Score based on the descriptions below.</w:t>
      </w:r>
    </w:p>
    <w:p>
      <w:pPr>
        <w:pStyle w:val="Heading2"/>
      </w:pPr>
      <w:r>
        <w:t>i. Completeness</w:t>
      </w:r>
    </w:p>
    <w:p>
      <w:r>
        <w:rPr>
          <w:b w:val="0"/>
          <w:i w:val="0"/>
        </w:rPr>
        <w:t>Does the response cover the vulnerability mechanism (if it concludes the code is vulnerable) or justify why the code is safe (if it concludes the code is safe), addressing relevant factors including edge cases, attack vectors, and underlying assumptions?</w:t>
      </w:r>
    </w:p>
    <w:tbl>
      <w:tblPr>
        <w:tblStyle w:val="TableGrid"/>
        <w:tblW w:type="auto" w:w="0"/>
        <w:tblLook w:firstColumn="1" w:firstRow="1" w:lastColumn="0" w:lastRow="0" w:noHBand="0" w:noVBand="1" w:val="04A0"/>
      </w:tblPr>
      <w:tblGrid>
        <w:gridCol w:w="4320"/>
        <w:gridCol w:w="4320"/>
      </w:tblGrid>
      <w:tr>
        <w:tc>
          <w:tcPr>
            <w:tcW w:type="dxa" w:w="4320"/>
          </w:tcPr>
          <w:p>
            <w:r/>
            <w:r>
              <w:rPr>
                <w:b/>
              </w:rPr>
              <w:t>Score</w:t>
            </w:r>
          </w:p>
        </w:tc>
        <w:tc>
          <w:tcPr>
            <w:tcW w:type="dxa" w:w="4320"/>
          </w:tcPr>
          <w:p>
            <w:r/>
            <w:r>
              <w:rPr>
                <w:b/>
              </w:rPr>
              <w:t>Description</w:t>
            </w:r>
          </w:p>
        </w:tc>
      </w:tr>
      <w:tr>
        <w:tc>
          <w:tcPr>
            <w:tcW w:type="dxa" w:w="4320"/>
          </w:tcPr>
          <w:p>
            <w:r>
              <w:t>1 Severely incomplete</w:t>
            </w:r>
          </w:p>
        </w:tc>
        <w:tc>
          <w:tcPr>
            <w:tcW w:type="dxa" w:w="4320"/>
          </w:tcPr>
          <w:p>
            <w:r>
              <w:t>States only a conclusion (e.g., "No vulnerability") with no supporting analysis, or addresses only a trivial aspect while ignoring the core security concern.</w:t>
            </w:r>
          </w:p>
        </w:tc>
      </w:tr>
      <w:tr>
        <w:tc>
          <w:tcPr>
            <w:tcW w:type="dxa" w:w="4320"/>
          </w:tcPr>
          <w:p>
            <w:r>
              <w:t>2 Major gaps</w:t>
            </w:r>
          </w:p>
        </w:tc>
        <w:tc>
          <w:tcPr>
            <w:tcW w:type="dxa" w:w="4320"/>
          </w:tcPr>
          <w:p>
            <w:r>
              <w:t>Covers one aspect of the analysis but misses significant factors. For a response concluding vulnerable: identifies the general area (e.g., "memory issue") but not the specific mechanism. For a response concluding safe: checks one category but overlooks others.</w:t>
            </w:r>
          </w:p>
        </w:tc>
      </w:tr>
      <w:tr>
        <w:tc>
          <w:tcPr>
            <w:tcW w:type="dxa" w:w="4320"/>
          </w:tcPr>
          <w:p>
            <w:r>
              <w:t>3 Adequate</w:t>
            </w:r>
          </w:p>
        </w:tc>
        <w:tc>
          <w:tcPr>
            <w:tcW w:type="dxa" w:w="4320"/>
          </w:tcPr>
          <w:p>
            <w:r>
              <w:t>Addresses the key vulnerability mechanism or safety rationale with minor gaps. The main reasoning is present but lacks depth on edge cases, preconditions, or secondary concerns. A reader would understand the core issue but might need to investigate further.</w:t>
            </w:r>
          </w:p>
        </w:tc>
      </w:tr>
      <w:tr>
        <w:tc>
          <w:tcPr>
            <w:tcW w:type="dxa" w:w="4320"/>
          </w:tcPr>
          <w:p>
            <w:r>
              <w:t>4 Thorough</w:t>
            </w:r>
          </w:p>
        </w:tc>
        <w:tc>
          <w:tcPr>
            <w:tcW w:type="dxa" w:w="4320"/>
          </w:tcPr>
          <w:p>
            <w:r>
              <w:t>Covers the vulnerability mechanism or safety justification comprehensively, including relevant edge cases and contributing factors. Minor aspects may be unaddressed, but the analysis leaves few open questions about the primary security concern.</w:t>
            </w:r>
          </w:p>
        </w:tc>
      </w:tr>
      <w:tr>
        <w:tc>
          <w:tcPr>
            <w:tcW w:type="dxa" w:w="4320"/>
          </w:tcPr>
          <w:p>
            <w:r>
              <w:t>5 Exhaustive</w:t>
            </w:r>
          </w:p>
        </w:tc>
        <w:tc>
          <w:tcPr>
            <w:tcW w:type="dxa" w:w="4320"/>
          </w:tcPr>
          <w:p>
            <w:r>
              <w:t>Fully covers the analysis with no meaningful gaps. Addresses the mechanism, scope, preconditions, edge cases, and any secondary concerns. A developer could act on this analysis without further investigation.</w:t>
            </w:r>
          </w:p>
        </w:tc>
      </w:tr>
    </w:tbl>
    <w:p>
      <w:pPr>
        <w:pStyle w:val="Heading2"/>
      </w:pPr>
      <w:r>
        <w:t>ii. Clarity</w:t>
      </w:r>
    </w:p>
    <w:p>
      <w:r>
        <w:rPr>
          <w:b w:val="0"/>
          <w:i w:val="0"/>
        </w:rPr>
        <w:t>Is the response logically structured, free of ambiguities, and using precise technical terms?</w:t>
      </w:r>
    </w:p>
    <w:tbl>
      <w:tblPr>
        <w:tblStyle w:val="TableGrid"/>
        <w:tblW w:type="auto" w:w="0"/>
        <w:tblLook w:firstColumn="1" w:firstRow="1" w:lastColumn="0" w:lastRow="0" w:noHBand="0" w:noVBand="1" w:val="04A0"/>
      </w:tblPr>
      <w:tblGrid>
        <w:gridCol w:w="4320"/>
        <w:gridCol w:w="4320"/>
      </w:tblGrid>
      <w:tr>
        <w:tc>
          <w:tcPr>
            <w:tcW w:type="dxa" w:w="4320"/>
          </w:tcPr>
          <w:p>
            <w:r/>
            <w:r>
              <w:rPr>
                <w:b/>
              </w:rPr>
              <w:t>Score</w:t>
            </w:r>
          </w:p>
        </w:tc>
        <w:tc>
          <w:tcPr>
            <w:tcW w:type="dxa" w:w="4320"/>
          </w:tcPr>
          <w:p>
            <w:r/>
            <w:r>
              <w:rPr>
                <w:b/>
              </w:rPr>
              <w:t>Description</w:t>
            </w:r>
          </w:p>
        </w:tc>
      </w:tr>
      <w:tr>
        <w:tc>
          <w:tcPr>
            <w:tcW w:type="dxa" w:w="4320"/>
          </w:tcPr>
          <w:p>
            <w:r>
              <w:t>1 Incoherent</w:t>
            </w:r>
          </w:p>
        </w:tc>
        <w:tc>
          <w:tcPr>
            <w:tcW w:type="dxa" w:w="4320"/>
          </w:tcPr>
          <w:p>
            <w:r>
              <w:t>Disorganized, contradictory, or incomprehensible. The reader cannot follow the argument. May contain internally inconsistent claims (e.g., simultaneously stating the code is safe and describing a vulnerability).</w:t>
            </w:r>
          </w:p>
        </w:tc>
      </w:tr>
      <w:tr>
        <w:tc>
          <w:tcPr>
            <w:tcW w:type="dxa" w:w="4320"/>
          </w:tcPr>
          <w:p>
            <w:r>
              <w:t>2 Confusing</w:t>
            </w:r>
          </w:p>
        </w:tc>
        <w:tc>
          <w:tcPr>
            <w:tcW w:type="dxa" w:w="4320"/>
          </w:tcPr>
          <w:p>
            <w:r>
              <w:t>Has a discernible argument but is poorly organized, uses vague language, or contains misleading statements. The reader must re-read multiple times. Technical terms may be used incorrectly.</w:t>
            </w:r>
          </w:p>
        </w:tc>
      </w:tr>
      <w:tr>
        <w:tc>
          <w:tcPr>
            <w:tcW w:type="dxa" w:w="4320"/>
          </w:tcPr>
          <w:p>
            <w:r>
              <w:t>3 Adequate</w:t>
            </w:r>
          </w:p>
        </w:tc>
        <w:tc>
          <w:tcPr>
            <w:tcW w:type="dxa" w:w="4320"/>
          </w:tcPr>
          <w:p>
            <w:r>
              <w:t>Reasonably structured and understandable on a single read. Some sections may be verbose or slightly ambiguous, but the overall argument is clear. Technical terminology is mostly correct.</w:t>
            </w:r>
          </w:p>
        </w:tc>
      </w:tr>
      <w:tr>
        <w:tc>
          <w:tcPr>
            <w:tcW w:type="dxa" w:w="4320"/>
          </w:tcPr>
          <w:p>
            <w:r>
              <w:t>4 Clear</w:t>
            </w:r>
          </w:p>
        </w:tc>
        <w:tc>
          <w:tcPr>
            <w:tcW w:type="dxa" w:w="4320"/>
          </w:tcPr>
          <w:p>
            <w:r>
              <w:t>Well-organized with logical flow from analysis to conclusion. Uses precise technical language. Minor imprecisions may exist but do not impede understanding. Easy to follow.</w:t>
            </w:r>
          </w:p>
        </w:tc>
      </w:tr>
      <w:tr>
        <w:tc>
          <w:tcPr>
            <w:tcW w:type="dxa" w:w="4320"/>
          </w:tcPr>
          <w:p>
            <w:r>
              <w:t>5 Exemplary</w:t>
            </w:r>
          </w:p>
        </w:tc>
        <w:tc>
          <w:tcPr>
            <w:tcW w:type="dxa" w:w="4320"/>
          </w:tcPr>
          <w:p>
            <w:r>
              <w:t>Exceptionally well-structured with clear progression. Every claim is precise and unambiguous. Technical terminology is used correctly and consistently. Could serve as a reference for communicating a vulnerability analysis.</w:t>
            </w:r>
          </w:p>
        </w:tc>
      </w:tr>
    </w:tbl>
    <w:p>
      <w:pPr>
        <w:pStyle w:val="Heading2"/>
      </w:pPr>
      <w:r>
        <w:t>iii. Actionability</w:t>
      </w:r>
    </w:p>
    <w:p>
      <w:r>
        <w:rPr>
          <w:b w:val="0"/>
          <w:i w:val="0"/>
        </w:rPr>
        <w:t>Does the response provide actionable insights such as highlighting relevant lines, suggesting patches, or describing specific risks and mitigations?</w:t>
      </w:r>
    </w:p>
    <w:p>
      <w:r>
        <w:rPr>
          <w:b w:val="0"/>
          <w:i/>
        </w:rPr>
        <w:t>Note on responses concluding safe: low actionability (1–2) is expected when a response argues the code is safe and therefore does not suggest remediation or highlight lines to fix — there is nothing to remediate. If scoring actionability ≤ 2 for such a response, briefly note the rationale in rater_notes.</w:t>
      </w:r>
    </w:p>
    <w:tbl>
      <w:tblPr>
        <w:tblStyle w:val="TableGrid"/>
        <w:tblW w:type="auto" w:w="0"/>
        <w:tblLook w:firstColumn="1" w:firstRow="1" w:lastColumn="0" w:lastRow="0" w:noHBand="0" w:noVBand="1" w:val="04A0"/>
      </w:tblPr>
      <w:tblGrid>
        <w:gridCol w:w="4320"/>
        <w:gridCol w:w="4320"/>
      </w:tblGrid>
      <w:tr>
        <w:tc>
          <w:tcPr>
            <w:tcW w:type="dxa" w:w="4320"/>
          </w:tcPr>
          <w:p>
            <w:r/>
            <w:r>
              <w:rPr>
                <w:b/>
              </w:rPr>
              <w:t>Score</w:t>
            </w:r>
          </w:p>
        </w:tc>
        <w:tc>
          <w:tcPr>
            <w:tcW w:type="dxa" w:w="4320"/>
          </w:tcPr>
          <w:p>
            <w:r/>
            <w:r>
              <w:rPr>
                <w:b/>
              </w:rPr>
              <w:t>Description</w:t>
            </w:r>
          </w:p>
        </w:tc>
      </w:tr>
      <w:tr>
        <w:tc>
          <w:tcPr>
            <w:tcW w:type="dxa" w:w="4320"/>
          </w:tcPr>
          <w:p>
            <w:r>
              <w:t>1 Not actionable</w:t>
            </w:r>
          </w:p>
        </w:tc>
        <w:tc>
          <w:tcPr>
            <w:tcW w:type="dxa" w:w="4320"/>
          </w:tcPr>
          <w:p>
            <w:r>
              <w:t>Provides no guidance on what to do with the finding. States only a generic conclusion with no reference to specific code locations, risks, or remediation.</w:t>
            </w:r>
          </w:p>
        </w:tc>
      </w:tr>
      <w:tr>
        <w:tc>
          <w:tcPr>
            <w:tcW w:type="dxa" w:w="4320"/>
          </w:tcPr>
          <w:p>
            <w:r>
              <w:t>2 Minimally actionable</w:t>
            </w:r>
          </w:p>
        </w:tc>
        <w:tc>
          <w:tcPr>
            <w:tcW w:type="dxa" w:w="4320"/>
          </w:tcPr>
          <w:p>
            <w:r>
              <w:t>References the general area of concern but lacks specifics. A developer would know something might be relevant but not where or how to address it.</w:t>
            </w:r>
          </w:p>
        </w:tc>
      </w:tr>
      <w:tr>
        <w:tc>
          <w:tcPr>
            <w:tcW w:type="dxa" w:w="4320"/>
          </w:tcPr>
          <w:p>
            <w:r>
              <w:t>3 Moderately actionable</w:t>
            </w:r>
          </w:p>
        </w:tc>
        <w:tc>
          <w:tcPr>
            <w:tcW w:type="dxa" w:w="4320"/>
          </w:tcPr>
          <w:p>
            <w:r>
              <w:t>Identifies specific code constructs or lines, and gives a general direction for remediation (e.g., "add bounds checking"). A developer could begin investigating but would need additional research.</w:t>
            </w:r>
          </w:p>
        </w:tc>
      </w:tr>
      <w:tr>
        <w:tc>
          <w:tcPr>
            <w:tcW w:type="dxa" w:w="4320"/>
          </w:tcPr>
          <w:p>
            <w:r>
              <w:t>4 Actionable</w:t>
            </w:r>
          </w:p>
        </w:tc>
        <w:tc>
          <w:tcPr>
            <w:tcW w:type="dxa" w:w="4320"/>
          </w:tcPr>
          <w:p>
            <w:r>
              <w:t>Points to specific code locations, explains the risk concretely, and suggests a plausible fix or mitigation. A developer with domain knowledge could act on this with minimal additional research.</w:t>
            </w:r>
          </w:p>
        </w:tc>
      </w:tr>
      <w:tr>
        <w:tc>
          <w:tcPr>
            <w:tcW w:type="dxa" w:w="4320"/>
          </w:tcPr>
          <w:p>
            <w:r>
              <w:t>5 Immediately actionable</w:t>
            </w:r>
          </w:p>
        </w:tc>
        <w:tc>
          <w:tcPr>
            <w:tcW w:type="dxa" w:w="4320"/>
          </w:tcPr>
          <w:p>
            <w:r>
              <w:t>Provides precise code references, a concrete fix or mitigation, and explains why the fix resolves the issue. A developer could implement the remediation directly from this analysis.</w:t>
            </w:r>
          </w:p>
        </w:tc>
      </w:tr>
    </w:tbl>
    <w:p>
      <w:pPr>
        <w:pStyle w:val="Heading2"/>
      </w:pPr>
      <w:r>
        <w:t>iv. Informativeness</w:t>
      </w:r>
    </w:p>
    <w:p>
      <w:r>
        <w:rPr>
          <w:b w:val="0"/>
          <w:i w:val="0"/>
        </w:rPr>
        <w:t>Does the response offer meaningful, non-redundant, and technically insightful information beyond superficial observations?</w:t>
      </w:r>
    </w:p>
    <w:tbl>
      <w:tblPr>
        <w:tblStyle w:val="TableGrid"/>
        <w:tblW w:type="auto" w:w="0"/>
        <w:tblLook w:firstColumn="1" w:firstRow="1" w:lastColumn="0" w:lastRow="0" w:noHBand="0" w:noVBand="1" w:val="04A0"/>
      </w:tblPr>
      <w:tblGrid>
        <w:gridCol w:w="4320"/>
        <w:gridCol w:w="4320"/>
      </w:tblGrid>
      <w:tr>
        <w:tc>
          <w:tcPr>
            <w:tcW w:type="dxa" w:w="4320"/>
          </w:tcPr>
          <w:p>
            <w:r/>
            <w:r>
              <w:rPr>
                <w:b/>
              </w:rPr>
              <w:t>Score</w:t>
            </w:r>
          </w:p>
        </w:tc>
        <w:tc>
          <w:tcPr>
            <w:tcW w:type="dxa" w:w="4320"/>
          </w:tcPr>
          <w:p>
            <w:r/>
            <w:r>
              <w:rPr>
                <w:b/>
              </w:rPr>
              <w:t>Description</w:t>
            </w:r>
          </w:p>
        </w:tc>
      </w:tr>
      <w:tr>
        <w:tc>
          <w:tcPr>
            <w:tcW w:type="dxa" w:w="4320"/>
          </w:tcPr>
          <w:p>
            <w:r>
              <w:t>1 Uninformative</w:t>
            </w:r>
          </w:p>
        </w:tc>
        <w:tc>
          <w:tcPr>
            <w:tcW w:type="dxa" w:w="4320"/>
          </w:tcPr>
          <w:p>
            <w:r>
              <w:t>Contains only trivial observations restating the code's surface behavior (e.g., "This function takes two parameters"), or is largely filler text with no security-relevant content.</w:t>
            </w:r>
          </w:p>
        </w:tc>
      </w:tr>
      <w:tr>
        <w:tc>
          <w:tcPr>
            <w:tcW w:type="dxa" w:w="4320"/>
          </w:tcPr>
          <w:p>
            <w:r>
              <w:t>2 Superficial</w:t>
            </w:r>
          </w:p>
        </w:tc>
        <w:tc>
          <w:tcPr>
            <w:tcW w:type="dxa" w:w="4320"/>
          </w:tcPr>
          <w:p>
            <w:r>
              <w:t>Makes security-relevant observations but at a surface level only. States obvious facts without deeper analysis. May contain filler or repetition that dilutes the useful information.</w:t>
            </w:r>
          </w:p>
        </w:tc>
      </w:tr>
      <w:tr>
        <w:tc>
          <w:tcPr>
            <w:tcW w:type="dxa" w:w="4320"/>
          </w:tcPr>
          <w:p>
            <w:r>
              <w:t>3 Adequate</w:t>
            </w:r>
          </w:p>
        </w:tc>
        <w:tc>
          <w:tcPr>
            <w:tcW w:type="dxa" w:w="4320"/>
          </w:tcPr>
          <w:p>
            <w:r>
              <w:t>Provides some genuine technical insight about the code's security properties. Goes beyond surface observations but may not reveal anything a competent developer wouldn't notice.</w:t>
            </w:r>
          </w:p>
        </w:tc>
      </w:tr>
      <w:tr>
        <w:tc>
          <w:tcPr>
            <w:tcW w:type="dxa" w:w="4320"/>
          </w:tcPr>
          <w:p>
            <w:r>
              <w:t>4 Insightful</w:t>
            </w:r>
          </w:p>
        </w:tc>
        <w:tc>
          <w:tcPr>
            <w:tcW w:type="dxa" w:w="4320"/>
          </w:tcPr>
          <w:p>
            <w:r>
              <w:t>Offers meaningful technical depth — identifies non-obvious interactions, explains why a pattern is dangerous (or safe), and demonstrates understanding of the underlying security principles. Minimal filler or redundancy.</w:t>
            </w:r>
          </w:p>
        </w:tc>
      </w:tr>
      <w:tr>
        <w:tc>
          <w:tcPr>
            <w:tcW w:type="dxa" w:w="4320"/>
          </w:tcPr>
          <w:p>
            <w:r>
              <w:t>5 Highly insightful</w:t>
            </w:r>
          </w:p>
        </w:tc>
        <w:tc>
          <w:tcPr>
            <w:tcW w:type="dxa" w:w="4320"/>
          </w:tcPr>
          <w:p>
            <w:r>
              <w:t>Provides expert-level analysis with novel or non-obvious observations. Demonstrates deep understanding of the vulnerability class, the specific code patterns, and their security implications. Every sentence adds value.</w:t>
            </w:r>
          </w:p>
        </w:tc>
      </w:tr>
    </w:tbl>
    <w:p>
      <w:pPr>
        <w:pStyle w:val="Heading1"/>
      </w:pPr>
      <w:r>
        <w:t>Quick-Reference Indicators</w:t>
      </w:r>
    </w:p>
    <w:p>
      <w:r>
        <w:rPr>
          <w:b w:val="0"/>
          <w:i w:val="0"/>
        </w:rPr>
        <w:t>When scoring, look for these patterns: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Metric</w:t>
            </w:r>
          </w:p>
        </w:tc>
        <w:tc>
          <w:tcPr>
            <w:tcW w:type="dxa" w:w="2880"/>
          </w:tcPr>
          <w:p>
            <w:r/>
            <w:r>
              <w:rPr>
                <w:b/>
              </w:rPr>
              <w:t>Positive signals</w:t>
            </w:r>
          </w:p>
        </w:tc>
        <w:tc>
          <w:tcPr>
            <w:tcW w:type="dxa" w:w="2880"/>
          </w:tcPr>
          <w:p>
            <w:r/>
            <w:r>
              <w:rPr>
                <w:b/>
              </w:rPr>
              <w:t>Negative signals</w:t>
            </w:r>
          </w:p>
        </w:tc>
      </w:tr>
      <w:tr>
        <w:tc>
          <w:tcPr>
            <w:tcW w:type="dxa" w:w="2880"/>
          </w:tcPr>
          <w:p>
            <w:r>
              <w:t>Completeness</w:t>
            </w:r>
          </w:p>
        </w:tc>
        <w:tc>
          <w:tcPr>
            <w:tcW w:type="dxa" w:w="2880"/>
          </w:tcPr>
          <w:p>
            <w:r>
              <w:t>Discusses specific mechanism, edge cases, multiple relevant vulnerability classes; for a response concluding safe, explains why those classes do not apply</w:t>
            </w:r>
          </w:p>
        </w:tc>
        <w:tc>
          <w:tcPr>
            <w:tcW w:type="dxa" w:w="2880"/>
          </w:tcPr>
          <w:p>
            <w:r>
              <w:t>Generic assertions; only one aspect covered; "no vulnerability" without justification</w:t>
            </w:r>
          </w:p>
        </w:tc>
      </w:tr>
      <w:tr>
        <w:tc>
          <w:tcPr>
            <w:tcW w:type="dxa" w:w="2880"/>
          </w:tcPr>
          <w:p>
            <w:r>
              <w:t>Clarity</w:t>
            </w:r>
          </w:p>
        </w:tc>
        <w:tc>
          <w:tcPr>
            <w:tcW w:type="dxa" w:w="2880"/>
          </w:tcPr>
          <w:p>
            <w:r>
              <w:t>Logical flow, specific code references, correct terminology, no redundancy</w:t>
            </w:r>
          </w:p>
        </w:tc>
        <w:tc>
          <w:tcPr>
            <w:tcW w:type="dxa" w:w="2880"/>
          </w:tcPr>
          <w:p>
            <w:r>
              <w:t>Disorganized, vague references, incorrect terms, boilerplate filler</w:t>
            </w:r>
          </w:p>
        </w:tc>
      </w:tr>
      <w:tr>
        <w:tc>
          <w:tcPr>
            <w:tcW w:type="dxa" w:w="2880"/>
          </w:tcPr>
          <w:p>
            <w:r>
              <w:t>Actionability</w:t>
            </w:r>
          </w:p>
        </w:tc>
        <w:tc>
          <w:tcPr>
            <w:tcW w:type="dxa" w:w="2880"/>
          </w:tcPr>
          <w:p>
            <w:r>
              <w:t>Specific code locations, concrete fix/mitigation, explains what is missing</w:t>
            </w:r>
          </w:p>
        </w:tc>
        <w:tc>
          <w:tcPr>
            <w:tcW w:type="dxa" w:w="2880"/>
          </w:tcPr>
          <w:p>
            <w:r>
              <w:t>Generic advice, restates conclusion as recommendation, no remediation direction</w:t>
            </w:r>
          </w:p>
        </w:tc>
      </w:tr>
      <w:tr>
        <w:tc>
          <w:tcPr>
            <w:tcW w:type="dxa" w:w="2880"/>
          </w:tcPr>
          <w:p>
            <w:r>
              <w:t>Informativeness</w:t>
            </w:r>
          </w:p>
        </w:tc>
        <w:tc>
          <w:tcPr>
            <w:tcW w:type="dxa" w:w="2880"/>
          </w:tcPr>
          <w:p>
            <w:r>
              <w:t>Explains why not just what, counterfactual reasoning, non-obvious insights</w:t>
            </w:r>
          </w:p>
        </w:tc>
        <w:tc>
          <w:tcPr>
            <w:tcW w:type="dxa" w:w="2880"/>
          </w:tcPr>
          <w:p>
            <w:r>
              <w:t>Restates surface behaviour, filler/repetition, obvious observations only</w:t>
            </w:r>
          </w:p>
        </w:tc>
      </w:tr>
    </w:tbl>
    <w:p>
      <w:pPr>
        <w:pStyle w:val="Heading1"/>
      </w:pPr>
      <w:r>
        <w:t>Key Reminders</w:t>
      </w:r>
    </w:p>
    <w:p>
      <w:pPr>
        <w:pStyle w:val="ListBullet"/>
      </w:pPr>
      <w:r>
        <w:t>Score each metric independently — a response can be clear but incomplete.</w:t>
      </w:r>
    </w:p>
    <w:p>
      <w:pPr>
        <w:pStyle w:val="ListBullet"/>
      </w:pPr>
      <w:r>
        <w:t>Score against the rubric, not against other responses — review relative ordering afterwards if desired.</w:t>
      </w:r>
    </w:p>
    <w:p>
      <w:pPr>
        <w:pStyle w:val="ListBullet"/>
      </w:pPr>
      <w:r>
        <w:t>Correctness is hidden — judge explanation quality, not whether the conclusion is right. Do not up- or down-score based on your own guess about correctness.</w:t>
      </w:r>
    </w:p>
    <w:p>
      <w:pPr>
        <w:pStyle w:val="ListBullet"/>
      </w:pPr>
      <w:r>
        <w:t>Borderline scores — pick the best rubric match; note uncertainty in rater_notes.</w:t>
      </w:r>
    </w:p>
    <w:p>
      <w:pPr>
        <w:pStyle w:val="ListBullet"/>
      </w:pPr>
      <w:r>
        <w:t>After scoring — save the spreadsheet; do not discuss scores with other raters until independent scoring is 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