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864B44" w14:textId="2574617B" w:rsidR="006A0089" w:rsidRDefault="006668A2">
      <w:pPr>
        <w:pStyle w:val="Heading1"/>
        <w:ind w:left="-5"/>
      </w:pPr>
      <w:r>
        <w:t xml:space="preserve"> Early Detection of Malaria Positive Patients </w:t>
      </w:r>
      <w:r w:rsidR="002B61AF">
        <w:t>(CBC VS CPD Parameters)</w:t>
      </w:r>
    </w:p>
    <w:p w14:paraId="490252C2" w14:textId="77777777" w:rsidR="006A0089" w:rsidRDefault="006668A2">
      <w:pPr>
        <w:spacing w:after="541" w:line="259" w:lineRule="auto"/>
        <w:ind w:left="-30" w:right="-57" w:firstLine="0"/>
      </w:pPr>
      <w:r>
        <w:rPr>
          <w:rFonts w:ascii="Calibri" w:eastAsia="Calibri" w:hAnsi="Calibri" w:cs="Calibri"/>
          <w:noProof/>
        </w:rPr>
        <mc:AlternateContent>
          <mc:Choice Requires="wpg">
            <w:drawing>
              <wp:inline distT="0" distB="0" distL="0" distR="0" wp14:anchorId="6107C515" wp14:editId="02209A5D">
                <wp:extent cx="5526786" cy="12700"/>
                <wp:effectExtent l="0" t="0" r="0" b="0"/>
                <wp:docPr id="4660" name="Group 4660"/>
                <wp:cNvGraphicFramePr/>
                <a:graphic xmlns:a="http://schemas.openxmlformats.org/drawingml/2006/main">
                  <a:graphicData uri="http://schemas.microsoft.com/office/word/2010/wordprocessingGroup">
                    <wpg:wgp>
                      <wpg:cNvGrpSpPr/>
                      <wpg:grpSpPr>
                        <a:xfrm>
                          <a:off x="0" y="0"/>
                          <a:ext cx="5526786" cy="12700"/>
                          <a:chOff x="0" y="0"/>
                          <a:chExt cx="5526786" cy="12700"/>
                        </a:xfrm>
                      </wpg:grpSpPr>
                      <wps:wsp>
                        <wps:cNvPr id="6109" name="Shape 6109"/>
                        <wps:cNvSpPr/>
                        <wps:spPr>
                          <a:xfrm>
                            <a:off x="0" y="0"/>
                            <a:ext cx="5526786" cy="12700"/>
                          </a:xfrm>
                          <a:custGeom>
                            <a:avLst/>
                            <a:gdLst/>
                            <a:ahLst/>
                            <a:cxnLst/>
                            <a:rect l="0" t="0" r="0" b="0"/>
                            <a:pathLst>
                              <a:path w="5526786" h="12700">
                                <a:moveTo>
                                  <a:pt x="0" y="0"/>
                                </a:moveTo>
                                <a:lnTo>
                                  <a:pt x="5526786" y="0"/>
                                </a:lnTo>
                                <a:lnTo>
                                  <a:pt x="5526786" y="12700"/>
                                </a:lnTo>
                                <a:lnTo>
                                  <a:pt x="0" y="12700"/>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4660" style="width:435.18pt;height:1pt;mso-position-horizontal-relative:char;mso-position-vertical-relative:line" coordsize="55267,127">
                <v:shape id="Shape 6110" style="position:absolute;width:55267;height:127;left:0;top:0;" coordsize="5526786,12700" path="m0,0l5526786,0l5526786,12700l0,12700l0,0">
                  <v:stroke weight="0pt" endcap="flat" joinstyle="miter" miterlimit="10" on="false" color="#000000" opacity="0"/>
                  <v:fill on="true" color="#4f81bd"/>
                </v:shape>
              </v:group>
            </w:pict>
          </mc:Fallback>
        </mc:AlternateContent>
      </w:r>
    </w:p>
    <w:p w14:paraId="792DBB42" w14:textId="77777777" w:rsidR="006A0089" w:rsidRDefault="006668A2">
      <w:pPr>
        <w:pStyle w:val="Heading2"/>
        <w:ind w:left="-5"/>
      </w:pPr>
      <w:r>
        <w:t xml:space="preserve">1. Introduction </w:t>
      </w:r>
    </w:p>
    <w:p w14:paraId="6A75CA8F" w14:textId="77777777" w:rsidR="006A0089" w:rsidRDefault="006668A2">
      <w:pPr>
        <w:ind w:left="-5"/>
      </w:pPr>
      <w:r>
        <w:t xml:space="preserve">Malaria remains one of the most significant parasitic infections worldwide, particularly in tropical and subtropical regions. Early diagnosis plays a vital role in controlling morbidity and mortality. Conventional diagnosis relies on microscopic examination of peripheral blood smears, which is time-consuming and requires skilled personnel. </w:t>
      </w:r>
    </w:p>
    <w:p w14:paraId="43E8CC41" w14:textId="77777777" w:rsidR="006A0089" w:rsidRDefault="006668A2">
      <w:pPr>
        <w:spacing w:after="14" w:line="259" w:lineRule="auto"/>
        <w:ind w:left="0" w:firstLine="0"/>
      </w:pPr>
      <w:r>
        <w:t xml:space="preserve"> </w:t>
      </w:r>
    </w:p>
    <w:p w14:paraId="54F0C090" w14:textId="77777777" w:rsidR="006A0089" w:rsidRDefault="006668A2">
      <w:pPr>
        <w:ind w:left="-5"/>
      </w:pPr>
      <w:r>
        <w:t xml:space="preserve">Automated hematology analyzers provide Complete Blood Count (CBC) and Cell Population Data (CPD) parameters during routine investigations. In malaria, hematological changes such as thrombocytopenia, anemia, and leukopenia are commonly observed in CBC. Additionally, CPD parameters (which include cell volume, conductivity, and scatter properties) reflect subtle morphological changes in white blood cells during parasitic infections. </w:t>
      </w:r>
    </w:p>
    <w:p w14:paraId="3318442E" w14:textId="77777777" w:rsidR="006A0089" w:rsidRDefault="006668A2">
      <w:pPr>
        <w:spacing w:after="14" w:line="259" w:lineRule="auto"/>
        <w:ind w:left="0" w:firstLine="0"/>
      </w:pPr>
      <w:r>
        <w:t xml:space="preserve"> </w:t>
      </w:r>
    </w:p>
    <w:p w14:paraId="44FC79D1" w14:textId="77777777" w:rsidR="006A0089" w:rsidRDefault="006668A2">
      <w:pPr>
        <w:spacing w:after="544"/>
        <w:ind w:left="-5"/>
      </w:pPr>
      <w:r>
        <w:t xml:space="preserve">Recent studies suggest that CPD parameters may detect early malaria-induced changes before classical hematological abnormalities appear, offering a rapid and cost-effective screening tool for early malaria detection. </w:t>
      </w:r>
    </w:p>
    <w:p w14:paraId="24DA305A" w14:textId="77777777" w:rsidR="006A0089" w:rsidRDefault="006668A2">
      <w:pPr>
        <w:pStyle w:val="Heading2"/>
        <w:ind w:left="-5"/>
      </w:pPr>
      <w:r>
        <w:t xml:space="preserve">2. Literature Review </w:t>
      </w:r>
    </w:p>
    <w:p w14:paraId="617DB5F9" w14:textId="77777777" w:rsidR="006A0089" w:rsidRDefault="006668A2">
      <w:pPr>
        <w:numPr>
          <w:ilvl w:val="0"/>
          <w:numId w:val="1"/>
        </w:numPr>
        <w:spacing w:after="207"/>
      </w:pPr>
      <w:proofErr w:type="spellStart"/>
      <w:r>
        <w:rPr>
          <w:rFonts w:cs="Cambria"/>
        </w:rPr>
        <w:t>Rojanawatsirivet</w:t>
      </w:r>
      <w:proofErr w:type="spellEnd"/>
      <w:r>
        <w:rPr>
          <w:rFonts w:cs="Cambria"/>
        </w:rPr>
        <w:t xml:space="preserve"> et al. (2015) demonstrated that CPD parameters, particularly monocyte </w:t>
      </w:r>
      <w:r>
        <w:t xml:space="preserve">and lymphocyte scatter, showed distinct changes in malaria-positive patients. </w:t>
      </w:r>
    </w:p>
    <w:p w14:paraId="2EBB0406" w14:textId="77777777" w:rsidR="006A0089" w:rsidRDefault="006668A2">
      <w:pPr>
        <w:numPr>
          <w:ilvl w:val="0"/>
          <w:numId w:val="1"/>
        </w:numPr>
        <w:spacing w:after="207"/>
      </w:pPr>
      <w:proofErr w:type="spellStart"/>
      <w:r>
        <w:rPr>
          <w:rFonts w:cs="Cambria"/>
        </w:rPr>
        <w:t>Kotepui</w:t>
      </w:r>
      <w:proofErr w:type="spellEnd"/>
      <w:r>
        <w:rPr>
          <w:rFonts w:cs="Cambria"/>
        </w:rPr>
        <w:t xml:space="preserve"> et al. (2012) reported significant thrombocytopenia and anemia in P. falciparum </w:t>
      </w:r>
      <w:r>
        <w:t xml:space="preserve">and P. vivax malaria, making CBC a useful supportive tool. </w:t>
      </w:r>
    </w:p>
    <w:p w14:paraId="5796299A" w14:textId="77777777" w:rsidR="006A0089" w:rsidRDefault="006668A2">
      <w:pPr>
        <w:numPr>
          <w:ilvl w:val="0"/>
          <w:numId w:val="1"/>
        </w:numPr>
        <w:spacing w:after="204"/>
      </w:pPr>
      <w:proofErr w:type="spellStart"/>
      <w:r>
        <w:rPr>
          <w:rFonts w:cs="Cambria"/>
        </w:rPr>
        <w:t>Kakkar</w:t>
      </w:r>
      <w:proofErr w:type="spellEnd"/>
      <w:r>
        <w:rPr>
          <w:rFonts w:cs="Cambria"/>
        </w:rPr>
        <w:t xml:space="preserve"> et al. (2018) found that alterations in leukocyte </w:t>
      </w:r>
      <w:proofErr w:type="spellStart"/>
      <w:r>
        <w:rPr>
          <w:rFonts w:cs="Cambria"/>
        </w:rPr>
        <w:t>scattergram</w:t>
      </w:r>
      <w:proofErr w:type="spellEnd"/>
      <w:r>
        <w:rPr>
          <w:rFonts w:cs="Cambria"/>
        </w:rPr>
        <w:t xml:space="preserve"> patterns using </w:t>
      </w:r>
      <w:r>
        <w:t xml:space="preserve">Sysmex analyzers could suggest malaria infection even before confirmation by microscopy. </w:t>
      </w:r>
    </w:p>
    <w:p w14:paraId="36C6E777" w14:textId="77777777" w:rsidR="006A0089" w:rsidRDefault="006668A2">
      <w:pPr>
        <w:numPr>
          <w:ilvl w:val="0"/>
          <w:numId w:val="1"/>
        </w:numPr>
        <w:spacing w:after="207"/>
      </w:pPr>
      <w:r>
        <w:rPr>
          <w:rFonts w:cs="Cambria"/>
        </w:rPr>
        <w:t xml:space="preserve">Chandrashekar et al. (2020) highlighted the usefulness of CPD in identifying early </w:t>
      </w:r>
      <w:r>
        <w:t xml:space="preserve">infection stages and differentiating malaria from other febrile illnesses. </w:t>
      </w:r>
    </w:p>
    <w:p w14:paraId="07AA9700" w14:textId="77777777" w:rsidR="006A0089" w:rsidRDefault="006668A2">
      <w:pPr>
        <w:ind w:left="-5"/>
      </w:pPr>
      <w:r>
        <w:t xml:space="preserve">This literature supports the potential of CPD as a rapid, automated, and sensitive adjunct for early malaria diagnosis. </w:t>
      </w:r>
    </w:p>
    <w:p w14:paraId="366F9B84" w14:textId="77777777" w:rsidR="006A0089" w:rsidRDefault="006668A2">
      <w:pPr>
        <w:pStyle w:val="Heading2"/>
        <w:spacing w:after="206"/>
        <w:ind w:left="-5"/>
      </w:pPr>
      <w:r>
        <w:t xml:space="preserve">3. Aims and Objectives </w:t>
      </w:r>
    </w:p>
    <w:p w14:paraId="72ADD97D" w14:textId="77777777" w:rsidR="006A0089" w:rsidRDefault="006668A2">
      <w:pPr>
        <w:spacing w:after="0" w:line="259" w:lineRule="auto"/>
        <w:ind w:left="-5"/>
      </w:pPr>
      <w:r>
        <w:rPr>
          <w:rFonts w:ascii="Calibri" w:eastAsia="Calibri" w:hAnsi="Calibri" w:cs="Calibri"/>
          <w:b/>
          <w:color w:val="4F81BD"/>
          <w:sz w:val="26"/>
        </w:rPr>
        <w:t xml:space="preserve">Aim: </w:t>
      </w:r>
    </w:p>
    <w:p w14:paraId="127D75A4" w14:textId="77777777" w:rsidR="006A0089" w:rsidRDefault="006668A2">
      <w:pPr>
        <w:spacing w:after="244"/>
        <w:ind w:left="-5"/>
      </w:pPr>
      <w:r>
        <w:lastRenderedPageBreak/>
        <w:t xml:space="preserve">To compare the diagnostic utility of CBC and CPD parameters in the early detection of malaria-positive patients. </w:t>
      </w:r>
    </w:p>
    <w:p w14:paraId="7216D756" w14:textId="77777777" w:rsidR="006A0089" w:rsidRDefault="006668A2">
      <w:pPr>
        <w:spacing w:after="0" w:line="259" w:lineRule="auto"/>
        <w:ind w:left="-5"/>
      </w:pPr>
      <w:r>
        <w:rPr>
          <w:rFonts w:ascii="Calibri" w:eastAsia="Calibri" w:hAnsi="Calibri" w:cs="Calibri"/>
          <w:b/>
          <w:color w:val="4F81BD"/>
          <w:sz w:val="26"/>
        </w:rPr>
        <w:t xml:space="preserve">Objectives: </w:t>
      </w:r>
    </w:p>
    <w:p w14:paraId="714FF85F" w14:textId="77777777" w:rsidR="006A0089" w:rsidRDefault="006668A2">
      <w:pPr>
        <w:numPr>
          <w:ilvl w:val="0"/>
          <w:numId w:val="2"/>
        </w:numPr>
        <w:spacing w:after="207"/>
        <w:ind w:hanging="150"/>
      </w:pPr>
      <w:r>
        <w:rPr>
          <w:rFonts w:cs="Cambria"/>
        </w:rPr>
        <w:t>To analyze CBC parameters in malaria</w:t>
      </w:r>
      <w:r>
        <w:t xml:space="preserve">-positive patients. </w:t>
      </w:r>
    </w:p>
    <w:p w14:paraId="23F85790" w14:textId="77777777" w:rsidR="006A0089" w:rsidRDefault="006668A2">
      <w:pPr>
        <w:numPr>
          <w:ilvl w:val="0"/>
          <w:numId w:val="2"/>
        </w:numPr>
        <w:spacing w:after="207"/>
        <w:ind w:hanging="150"/>
      </w:pPr>
      <w:r>
        <w:rPr>
          <w:rFonts w:cs="Cambria"/>
        </w:rPr>
        <w:t>To evaluate CPD parameters and their changes in malaria</w:t>
      </w:r>
      <w:r>
        <w:t xml:space="preserve">-positive patients. </w:t>
      </w:r>
    </w:p>
    <w:p w14:paraId="0943FD51" w14:textId="77777777" w:rsidR="006A0089" w:rsidRDefault="006668A2">
      <w:pPr>
        <w:numPr>
          <w:ilvl w:val="0"/>
          <w:numId w:val="2"/>
        </w:numPr>
        <w:spacing w:after="207"/>
        <w:ind w:hanging="150"/>
      </w:pPr>
      <w:r>
        <w:rPr>
          <w:rFonts w:cs="Cambria"/>
        </w:rPr>
        <w:t>To assess the sensitivity and specificity of CBC vs CPD for early malaria detection.</w:t>
      </w:r>
      <w:r>
        <w:t xml:space="preserve"> </w:t>
      </w:r>
    </w:p>
    <w:p w14:paraId="1059C347" w14:textId="77777777" w:rsidR="006A0089" w:rsidRDefault="006668A2">
      <w:pPr>
        <w:numPr>
          <w:ilvl w:val="0"/>
          <w:numId w:val="2"/>
        </w:numPr>
        <w:spacing w:after="551"/>
        <w:ind w:hanging="150"/>
      </w:pPr>
      <w:r>
        <w:rPr>
          <w:rFonts w:cs="Cambria"/>
        </w:rPr>
        <w:t>To correlate hematological and CPD findings with microscopic confirmation of malaria.</w:t>
      </w:r>
      <w:r>
        <w:t xml:space="preserve"> </w:t>
      </w:r>
    </w:p>
    <w:p w14:paraId="5EA52CC5" w14:textId="77777777" w:rsidR="006A0089" w:rsidRDefault="006668A2">
      <w:pPr>
        <w:pStyle w:val="Heading2"/>
        <w:ind w:left="-5"/>
      </w:pPr>
      <w:r>
        <w:t xml:space="preserve">4. Material and Methods </w:t>
      </w:r>
    </w:p>
    <w:tbl>
      <w:tblPr>
        <w:tblStyle w:val="TableGrid"/>
        <w:tblW w:w="8639" w:type="dxa"/>
        <w:tblInd w:w="-108" w:type="dxa"/>
        <w:tblCellMar>
          <w:top w:w="46" w:type="dxa"/>
          <w:left w:w="108" w:type="dxa"/>
          <w:right w:w="89" w:type="dxa"/>
        </w:tblCellMar>
        <w:tblLook w:val="04A0" w:firstRow="1" w:lastRow="0" w:firstColumn="1" w:lastColumn="0" w:noHBand="0" w:noVBand="1"/>
      </w:tblPr>
      <w:tblGrid>
        <w:gridCol w:w="4319"/>
        <w:gridCol w:w="4320"/>
      </w:tblGrid>
      <w:tr w:rsidR="006A0089" w14:paraId="5875C6E5" w14:textId="77777777">
        <w:trPr>
          <w:trHeight w:val="308"/>
        </w:trPr>
        <w:tc>
          <w:tcPr>
            <w:tcW w:w="4320" w:type="dxa"/>
            <w:tcBorders>
              <w:top w:val="single" w:sz="8" w:space="0" w:color="000000"/>
              <w:left w:val="single" w:sz="8" w:space="0" w:color="000000"/>
              <w:bottom w:val="single" w:sz="18" w:space="0" w:color="000000"/>
              <w:right w:val="single" w:sz="8" w:space="0" w:color="000000"/>
            </w:tcBorders>
          </w:tcPr>
          <w:p w14:paraId="01B36154" w14:textId="77777777" w:rsidR="006A0089" w:rsidRDefault="006668A2">
            <w:pPr>
              <w:spacing w:after="0" w:line="259" w:lineRule="auto"/>
              <w:ind w:left="0" w:firstLine="0"/>
            </w:pPr>
            <w:r>
              <w:rPr>
                <w:rFonts w:ascii="Calibri" w:eastAsia="Calibri" w:hAnsi="Calibri" w:cs="Calibri"/>
                <w:b/>
              </w:rPr>
              <w:t xml:space="preserve">Parameter </w:t>
            </w:r>
          </w:p>
        </w:tc>
        <w:tc>
          <w:tcPr>
            <w:tcW w:w="4320" w:type="dxa"/>
            <w:tcBorders>
              <w:top w:val="single" w:sz="8" w:space="0" w:color="000000"/>
              <w:left w:val="single" w:sz="8" w:space="0" w:color="000000"/>
              <w:bottom w:val="single" w:sz="18" w:space="0" w:color="000000"/>
              <w:right w:val="single" w:sz="8" w:space="0" w:color="000000"/>
            </w:tcBorders>
          </w:tcPr>
          <w:p w14:paraId="59A98C3C" w14:textId="77777777" w:rsidR="006A0089" w:rsidRDefault="006668A2">
            <w:pPr>
              <w:spacing w:after="0" w:line="259" w:lineRule="auto"/>
              <w:ind w:left="2" w:firstLine="0"/>
            </w:pPr>
            <w:r>
              <w:rPr>
                <w:rFonts w:ascii="Calibri" w:eastAsia="Calibri" w:hAnsi="Calibri" w:cs="Calibri"/>
                <w:b/>
              </w:rPr>
              <w:t xml:space="preserve">Description </w:t>
            </w:r>
          </w:p>
        </w:tc>
      </w:tr>
      <w:tr w:rsidR="006A0089" w14:paraId="46379654" w14:textId="77777777">
        <w:trPr>
          <w:trHeight w:val="294"/>
        </w:trPr>
        <w:tc>
          <w:tcPr>
            <w:tcW w:w="4320" w:type="dxa"/>
            <w:tcBorders>
              <w:top w:val="single" w:sz="18" w:space="0" w:color="000000"/>
              <w:left w:val="single" w:sz="8" w:space="0" w:color="000000"/>
              <w:bottom w:val="single" w:sz="8" w:space="0" w:color="000000"/>
              <w:right w:val="single" w:sz="8" w:space="0" w:color="000000"/>
            </w:tcBorders>
            <w:shd w:val="clear" w:color="auto" w:fill="C0C0C0"/>
          </w:tcPr>
          <w:p w14:paraId="395C1BA7" w14:textId="77777777" w:rsidR="006A0089" w:rsidRDefault="006668A2">
            <w:pPr>
              <w:spacing w:after="0" w:line="259" w:lineRule="auto"/>
              <w:ind w:left="0" w:firstLine="0"/>
            </w:pPr>
            <w:r>
              <w:rPr>
                <w:rFonts w:ascii="Calibri" w:eastAsia="Calibri" w:hAnsi="Calibri" w:cs="Calibri"/>
                <w:b/>
              </w:rPr>
              <w:t xml:space="preserve">Study Design </w:t>
            </w:r>
          </w:p>
        </w:tc>
        <w:tc>
          <w:tcPr>
            <w:tcW w:w="4320" w:type="dxa"/>
            <w:tcBorders>
              <w:top w:val="single" w:sz="18" w:space="0" w:color="000000"/>
              <w:left w:val="single" w:sz="8" w:space="0" w:color="000000"/>
              <w:bottom w:val="single" w:sz="8" w:space="0" w:color="000000"/>
              <w:right w:val="single" w:sz="8" w:space="0" w:color="000000"/>
            </w:tcBorders>
            <w:shd w:val="clear" w:color="auto" w:fill="C0C0C0"/>
          </w:tcPr>
          <w:p w14:paraId="1D9DB50E" w14:textId="77777777" w:rsidR="006A0089" w:rsidRDefault="006668A2">
            <w:pPr>
              <w:spacing w:after="0" w:line="259" w:lineRule="auto"/>
              <w:ind w:left="2" w:firstLine="0"/>
            </w:pPr>
            <w:r>
              <w:t xml:space="preserve">Prospective observational study </w:t>
            </w:r>
          </w:p>
        </w:tc>
      </w:tr>
      <w:tr w:rsidR="006A0089" w14:paraId="0B6C2724" w14:textId="77777777">
        <w:trPr>
          <w:trHeight w:val="290"/>
        </w:trPr>
        <w:tc>
          <w:tcPr>
            <w:tcW w:w="4320" w:type="dxa"/>
            <w:tcBorders>
              <w:top w:val="single" w:sz="8" w:space="0" w:color="000000"/>
              <w:left w:val="single" w:sz="8" w:space="0" w:color="000000"/>
              <w:bottom w:val="single" w:sz="8" w:space="0" w:color="000000"/>
              <w:right w:val="single" w:sz="8" w:space="0" w:color="000000"/>
            </w:tcBorders>
          </w:tcPr>
          <w:p w14:paraId="5D8EEFDA" w14:textId="77777777" w:rsidR="006A0089" w:rsidRDefault="006668A2">
            <w:pPr>
              <w:spacing w:after="0" w:line="259" w:lineRule="auto"/>
              <w:ind w:left="0" w:firstLine="0"/>
            </w:pPr>
            <w:r>
              <w:rPr>
                <w:rFonts w:ascii="Calibri" w:eastAsia="Calibri" w:hAnsi="Calibri" w:cs="Calibri"/>
                <w:b/>
              </w:rPr>
              <w:t xml:space="preserve">Study Duration </w:t>
            </w:r>
          </w:p>
        </w:tc>
        <w:tc>
          <w:tcPr>
            <w:tcW w:w="4320" w:type="dxa"/>
            <w:tcBorders>
              <w:top w:val="single" w:sz="8" w:space="0" w:color="000000"/>
              <w:left w:val="single" w:sz="8" w:space="0" w:color="000000"/>
              <w:bottom w:val="single" w:sz="8" w:space="0" w:color="000000"/>
              <w:right w:val="single" w:sz="8" w:space="0" w:color="000000"/>
            </w:tcBorders>
          </w:tcPr>
          <w:p w14:paraId="4F946825" w14:textId="77777777" w:rsidR="006A0089" w:rsidRDefault="006668A2">
            <w:pPr>
              <w:spacing w:after="0" w:line="259" w:lineRule="auto"/>
              <w:ind w:left="2" w:firstLine="0"/>
            </w:pPr>
            <w:r>
              <w:t xml:space="preserve">3 months (August 2025 – October 2025) </w:t>
            </w:r>
          </w:p>
        </w:tc>
      </w:tr>
      <w:tr w:rsidR="006A0089" w14:paraId="3690AD61" w14:textId="77777777">
        <w:trPr>
          <w:trHeight w:val="530"/>
        </w:trPr>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4F263F6F" w14:textId="77777777" w:rsidR="006A0089" w:rsidRDefault="006668A2">
            <w:pPr>
              <w:spacing w:after="0" w:line="259" w:lineRule="auto"/>
              <w:ind w:left="0" w:firstLine="0"/>
            </w:pPr>
            <w:r>
              <w:rPr>
                <w:rFonts w:ascii="Calibri" w:eastAsia="Calibri" w:hAnsi="Calibri" w:cs="Calibri"/>
                <w:b/>
              </w:rPr>
              <w:t xml:space="preserve">Study Population </w:t>
            </w:r>
          </w:p>
        </w:tc>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095C5760" w14:textId="77777777" w:rsidR="006A0089" w:rsidRDefault="006668A2">
            <w:pPr>
              <w:spacing w:after="0" w:line="259" w:lineRule="auto"/>
              <w:ind w:left="2" w:firstLine="0"/>
            </w:pPr>
            <w:r>
              <w:t xml:space="preserve">Patients presenting with fever, clinically suspected of malaria </w:t>
            </w:r>
          </w:p>
        </w:tc>
      </w:tr>
      <w:tr w:rsidR="006A0089" w14:paraId="27F0679D" w14:textId="77777777">
        <w:trPr>
          <w:trHeight w:val="295"/>
        </w:trPr>
        <w:tc>
          <w:tcPr>
            <w:tcW w:w="4320" w:type="dxa"/>
            <w:tcBorders>
              <w:top w:val="single" w:sz="8" w:space="0" w:color="000000"/>
              <w:left w:val="single" w:sz="8" w:space="0" w:color="000000"/>
              <w:bottom w:val="single" w:sz="8" w:space="0" w:color="000000"/>
              <w:right w:val="single" w:sz="8" w:space="0" w:color="000000"/>
            </w:tcBorders>
          </w:tcPr>
          <w:p w14:paraId="67584238" w14:textId="77777777" w:rsidR="006A0089" w:rsidRDefault="006668A2">
            <w:pPr>
              <w:spacing w:after="0" w:line="259" w:lineRule="auto"/>
              <w:ind w:left="0" w:firstLine="0"/>
            </w:pPr>
            <w:r>
              <w:rPr>
                <w:rFonts w:ascii="Calibri" w:eastAsia="Calibri" w:hAnsi="Calibri" w:cs="Calibri"/>
                <w:b/>
              </w:rPr>
              <w:t xml:space="preserve">Sample Size </w:t>
            </w:r>
          </w:p>
        </w:tc>
        <w:tc>
          <w:tcPr>
            <w:tcW w:w="4320" w:type="dxa"/>
            <w:tcBorders>
              <w:top w:val="single" w:sz="8" w:space="0" w:color="000000"/>
              <w:left w:val="single" w:sz="8" w:space="0" w:color="000000"/>
              <w:bottom w:val="single" w:sz="8" w:space="0" w:color="000000"/>
              <w:right w:val="single" w:sz="8" w:space="0" w:color="000000"/>
            </w:tcBorders>
          </w:tcPr>
          <w:p w14:paraId="3FF15255" w14:textId="77777777" w:rsidR="006A0089" w:rsidRDefault="006668A2">
            <w:pPr>
              <w:spacing w:after="0" w:line="259" w:lineRule="auto"/>
              <w:ind w:left="2" w:firstLine="0"/>
            </w:pPr>
            <w:r>
              <w:t xml:space="preserve">100 blood samples (malaria-positive cases) </w:t>
            </w:r>
          </w:p>
        </w:tc>
      </w:tr>
      <w:tr w:rsidR="006A0089" w14:paraId="7083B1D9" w14:textId="77777777">
        <w:trPr>
          <w:trHeight w:val="285"/>
        </w:trPr>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4CC3B89E" w14:textId="77777777" w:rsidR="006A0089" w:rsidRDefault="006668A2">
            <w:pPr>
              <w:spacing w:after="0" w:line="259" w:lineRule="auto"/>
              <w:ind w:left="0" w:firstLine="0"/>
            </w:pPr>
            <w:r>
              <w:rPr>
                <w:rFonts w:ascii="Calibri" w:eastAsia="Calibri" w:hAnsi="Calibri" w:cs="Calibri"/>
                <w:b/>
              </w:rPr>
              <w:t xml:space="preserve">Sample Type </w:t>
            </w:r>
          </w:p>
        </w:tc>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0B8E634A" w14:textId="77777777" w:rsidR="006A0089" w:rsidRDefault="006668A2">
            <w:pPr>
              <w:spacing w:after="0" w:line="259" w:lineRule="auto"/>
              <w:ind w:left="2" w:firstLine="0"/>
            </w:pPr>
            <w:r>
              <w:t xml:space="preserve">EDTA anticoagulated venous blood </w:t>
            </w:r>
          </w:p>
        </w:tc>
      </w:tr>
      <w:tr w:rsidR="006A0089" w14:paraId="7BF1E84B" w14:textId="77777777">
        <w:trPr>
          <w:trHeight w:val="541"/>
        </w:trPr>
        <w:tc>
          <w:tcPr>
            <w:tcW w:w="4320" w:type="dxa"/>
            <w:tcBorders>
              <w:top w:val="single" w:sz="8" w:space="0" w:color="000000"/>
              <w:left w:val="single" w:sz="8" w:space="0" w:color="000000"/>
              <w:bottom w:val="single" w:sz="8" w:space="0" w:color="000000"/>
              <w:right w:val="single" w:sz="8" w:space="0" w:color="000000"/>
            </w:tcBorders>
          </w:tcPr>
          <w:p w14:paraId="074AB2DE" w14:textId="77777777" w:rsidR="006A0089" w:rsidRDefault="006668A2">
            <w:pPr>
              <w:spacing w:after="0" w:line="259" w:lineRule="auto"/>
              <w:ind w:left="0" w:firstLine="0"/>
            </w:pPr>
            <w:r>
              <w:rPr>
                <w:rFonts w:ascii="Calibri" w:eastAsia="Calibri" w:hAnsi="Calibri" w:cs="Calibri"/>
                <w:b/>
              </w:rPr>
              <w:t xml:space="preserve">Analyzer Used </w:t>
            </w:r>
          </w:p>
        </w:tc>
        <w:tc>
          <w:tcPr>
            <w:tcW w:w="4320" w:type="dxa"/>
            <w:tcBorders>
              <w:top w:val="single" w:sz="8" w:space="0" w:color="000000"/>
              <w:left w:val="single" w:sz="8" w:space="0" w:color="000000"/>
              <w:bottom w:val="single" w:sz="8" w:space="0" w:color="000000"/>
              <w:right w:val="single" w:sz="8" w:space="0" w:color="000000"/>
            </w:tcBorders>
          </w:tcPr>
          <w:p w14:paraId="57BCAAD1" w14:textId="77777777" w:rsidR="006A0089" w:rsidRDefault="006668A2">
            <w:pPr>
              <w:spacing w:after="0" w:line="259" w:lineRule="auto"/>
              <w:ind w:left="2" w:firstLine="0"/>
            </w:pPr>
            <w:r>
              <w:t xml:space="preserve">Sysmex XN-1000 Automated Hematology Analyzer </w:t>
            </w:r>
          </w:p>
        </w:tc>
      </w:tr>
      <w:tr w:rsidR="006A0089" w14:paraId="7B74017E" w14:textId="77777777">
        <w:trPr>
          <w:trHeight w:val="530"/>
        </w:trPr>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0A697352" w14:textId="77777777" w:rsidR="006A0089" w:rsidRDefault="006668A2">
            <w:pPr>
              <w:spacing w:after="0" w:line="259" w:lineRule="auto"/>
              <w:ind w:left="0" w:firstLine="0"/>
            </w:pPr>
            <w:r>
              <w:rPr>
                <w:rFonts w:ascii="Calibri" w:eastAsia="Calibri" w:hAnsi="Calibri" w:cs="Calibri"/>
                <w:b/>
              </w:rPr>
              <w:t xml:space="preserve">Diagnostic Confirmation </w:t>
            </w:r>
          </w:p>
        </w:tc>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0A79BDD3" w14:textId="77777777" w:rsidR="006A0089" w:rsidRDefault="006668A2">
            <w:pPr>
              <w:spacing w:after="0" w:line="259" w:lineRule="auto"/>
              <w:ind w:left="2" w:firstLine="0"/>
            </w:pPr>
            <w:r>
              <w:t xml:space="preserve">Peripheral smear (Giemsa-stained) and Rapid Diagnostic Test (RDT) </w:t>
            </w:r>
          </w:p>
        </w:tc>
      </w:tr>
      <w:tr w:rsidR="006A0089" w14:paraId="7C2F6C59" w14:textId="77777777">
        <w:trPr>
          <w:trHeight w:val="800"/>
        </w:trPr>
        <w:tc>
          <w:tcPr>
            <w:tcW w:w="4320" w:type="dxa"/>
            <w:tcBorders>
              <w:top w:val="single" w:sz="8" w:space="0" w:color="000000"/>
              <w:left w:val="single" w:sz="8" w:space="0" w:color="000000"/>
              <w:bottom w:val="single" w:sz="8" w:space="0" w:color="000000"/>
              <w:right w:val="single" w:sz="8" w:space="0" w:color="000000"/>
            </w:tcBorders>
          </w:tcPr>
          <w:p w14:paraId="2C6A47AB" w14:textId="77777777" w:rsidR="006A0089" w:rsidRDefault="006668A2">
            <w:pPr>
              <w:spacing w:after="0" w:line="259" w:lineRule="auto"/>
              <w:ind w:left="0" w:firstLine="0"/>
            </w:pPr>
            <w:r>
              <w:rPr>
                <w:rFonts w:ascii="Calibri" w:eastAsia="Calibri" w:hAnsi="Calibri" w:cs="Calibri"/>
                <w:b/>
              </w:rPr>
              <w:t xml:space="preserve">Parameters Studied </w:t>
            </w:r>
          </w:p>
        </w:tc>
        <w:tc>
          <w:tcPr>
            <w:tcW w:w="4320" w:type="dxa"/>
            <w:tcBorders>
              <w:top w:val="single" w:sz="8" w:space="0" w:color="000000"/>
              <w:left w:val="single" w:sz="8" w:space="0" w:color="000000"/>
              <w:bottom w:val="single" w:sz="8" w:space="0" w:color="000000"/>
              <w:right w:val="single" w:sz="8" w:space="0" w:color="000000"/>
            </w:tcBorders>
          </w:tcPr>
          <w:p w14:paraId="044C3F92" w14:textId="77777777" w:rsidR="006A0089" w:rsidRDefault="006668A2">
            <w:pPr>
              <w:spacing w:after="0" w:line="259" w:lineRule="auto"/>
              <w:ind w:left="2" w:firstLine="0"/>
            </w:pPr>
            <w:r>
              <w:t xml:space="preserve">CBC (Hb, RBC, Platelets, WBC, Differential count), CPD (Volume, Conductivity, Scatter for WBCs) </w:t>
            </w:r>
          </w:p>
        </w:tc>
      </w:tr>
      <w:tr w:rsidR="006A0089" w14:paraId="1EDDE2D7" w14:textId="77777777">
        <w:trPr>
          <w:trHeight w:val="530"/>
        </w:trPr>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425C87E5" w14:textId="77777777" w:rsidR="006A0089" w:rsidRDefault="006668A2">
            <w:pPr>
              <w:spacing w:after="0" w:line="259" w:lineRule="auto"/>
              <w:ind w:left="0" w:firstLine="0"/>
            </w:pPr>
            <w:r>
              <w:rPr>
                <w:rFonts w:ascii="Calibri" w:eastAsia="Calibri" w:hAnsi="Calibri" w:cs="Calibri"/>
                <w:b/>
              </w:rPr>
              <w:t xml:space="preserve">Data Analysis </w:t>
            </w:r>
          </w:p>
        </w:tc>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72D635E1" w14:textId="77777777" w:rsidR="006A0089" w:rsidRDefault="006668A2">
            <w:pPr>
              <w:spacing w:after="0" w:line="259" w:lineRule="auto"/>
              <w:ind w:left="2" w:firstLine="0"/>
              <w:jc w:val="both"/>
            </w:pPr>
            <w:r>
              <w:t xml:space="preserve">Statistical analysis using SPSS; sensitivity, specificity, and ROC curves for CBC vs CPD </w:t>
            </w:r>
          </w:p>
        </w:tc>
      </w:tr>
      <w:tr w:rsidR="00741990" w14:paraId="6C85E8E7" w14:textId="77777777">
        <w:trPr>
          <w:trHeight w:val="530"/>
        </w:trPr>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790B8487" w14:textId="70EE17E1" w:rsidR="00741990" w:rsidRDefault="00741990">
            <w:pPr>
              <w:spacing w:after="0" w:line="259" w:lineRule="auto"/>
              <w:ind w:left="0" w:firstLine="0"/>
              <w:rPr>
                <w:rFonts w:ascii="Calibri" w:eastAsia="Calibri" w:hAnsi="Calibri" w:cs="Calibri"/>
                <w:b/>
              </w:rPr>
            </w:pPr>
            <w:r>
              <w:rPr>
                <w:rFonts w:ascii="Calibri" w:eastAsia="Calibri" w:hAnsi="Calibri" w:cs="Calibri"/>
                <w:b/>
              </w:rPr>
              <w:t>Study Type</w:t>
            </w:r>
          </w:p>
        </w:tc>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49E836AA" w14:textId="69A6796D" w:rsidR="00741990" w:rsidRDefault="00803253">
            <w:pPr>
              <w:spacing w:after="0" w:line="259" w:lineRule="auto"/>
              <w:ind w:left="2" w:firstLine="0"/>
              <w:jc w:val="both"/>
            </w:pPr>
            <w:r>
              <w:t>Cross-Sectional Study</w:t>
            </w:r>
            <w:bookmarkStart w:id="0" w:name="_GoBack"/>
            <w:bookmarkEnd w:id="0"/>
          </w:p>
        </w:tc>
      </w:tr>
    </w:tbl>
    <w:p w14:paraId="41540D60" w14:textId="77777777" w:rsidR="006A0089" w:rsidRDefault="006668A2">
      <w:pPr>
        <w:pStyle w:val="Heading2"/>
        <w:ind w:left="-5"/>
      </w:pPr>
      <w:r>
        <w:t xml:space="preserve">5. Results (Expected) </w:t>
      </w:r>
    </w:p>
    <w:tbl>
      <w:tblPr>
        <w:tblStyle w:val="TableGrid"/>
        <w:tblW w:w="8639" w:type="dxa"/>
        <w:tblInd w:w="-108" w:type="dxa"/>
        <w:tblCellMar>
          <w:top w:w="46" w:type="dxa"/>
          <w:left w:w="108" w:type="dxa"/>
          <w:right w:w="115" w:type="dxa"/>
        </w:tblCellMar>
        <w:tblLook w:val="04A0" w:firstRow="1" w:lastRow="0" w:firstColumn="1" w:lastColumn="0" w:noHBand="0" w:noVBand="1"/>
      </w:tblPr>
      <w:tblGrid>
        <w:gridCol w:w="2879"/>
        <w:gridCol w:w="2881"/>
        <w:gridCol w:w="2879"/>
      </w:tblGrid>
      <w:tr w:rsidR="006A0089" w14:paraId="6AA34EB7" w14:textId="77777777">
        <w:trPr>
          <w:trHeight w:val="304"/>
        </w:trPr>
        <w:tc>
          <w:tcPr>
            <w:tcW w:w="2879" w:type="dxa"/>
            <w:tcBorders>
              <w:top w:val="single" w:sz="8" w:space="0" w:color="000000"/>
              <w:left w:val="single" w:sz="8" w:space="0" w:color="000000"/>
              <w:bottom w:val="single" w:sz="18" w:space="0" w:color="000000"/>
              <w:right w:val="single" w:sz="8" w:space="0" w:color="000000"/>
            </w:tcBorders>
          </w:tcPr>
          <w:p w14:paraId="5091E95A" w14:textId="77777777" w:rsidR="006A0089" w:rsidRDefault="006668A2">
            <w:pPr>
              <w:spacing w:after="0" w:line="259" w:lineRule="auto"/>
              <w:ind w:left="0" w:firstLine="0"/>
            </w:pPr>
            <w:r>
              <w:rPr>
                <w:rFonts w:ascii="Calibri" w:eastAsia="Calibri" w:hAnsi="Calibri" w:cs="Calibri"/>
                <w:b/>
              </w:rPr>
              <w:t xml:space="preserve">Parameter </w:t>
            </w:r>
          </w:p>
        </w:tc>
        <w:tc>
          <w:tcPr>
            <w:tcW w:w="2881" w:type="dxa"/>
            <w:tcBorders>
              <w:top w:val="single" w:sz="8" w:space="0" w:color="000000"/>
              <w:left w:val="single" w:sz="8" w:space="0" w:color="000000"/>
              <w:bottom w:val="single" w:sz="18" w:space="0" w:color="000000"/>
              <w:right w:val="single" w:sz="8" w:space="0" w:color="000000"/>
            </w:tcBorders>
          </w:tcPr>
          <w:p w14:paraId="08B1F47F" w14:textId="77777777" w:rsidR="006A0089" w:rsidRDefault="006668A2">
            <w:pPr>
              <w:spacing w:after="0" w:line="259" w:lineRule="auto"/>
              <w:ind w:left="2" w:firstLine="0"/>
            </w:pPr>
            <w:r>
              <w:rPr>
                <w:rFonts w:ascii="Calibri" w:eastAsia="Calibri" w:hAnsi="Calibri" w:cs="Calibri"/>
                <w:b/>
              </w:rPr>
              <w:t xml:space="preserve">CBC (Expected) </w:t>
            </w:r>
          </w:p>
        </w:tc>
        <w:tc>
          <w:tcPr>
            <w:tcW w:w="2879" w:type="dxa"/>
            <w:tcBorders>
              <w:top w:val="single" w:sz="8" w:space="0" w:color="000000"/>
              <w:left w:val="single" w:sz="8" w:space="0" w:color="000000"/>
              <w:bottom w:val="single" w:sz="18" w:space="0" w:color="000000"/>
              <w:right w:val="single" w:sz="8" w:space="0" w:color="000000"/>
            </w:tcBorders>
          </w:tcPr>
          <w:p w14:paraId="2DFD5499" w14:textId="77777777" w:rsidR="006A0089" w:rsidRDefault="006668A2">
            <w:pPr>
              <w:spacing w:after="0" w:line="259" w:lineRule="auto"/>
              <w:ind w:left="2" w:firstLine="0"/>
            </w:pPr>
            <w:r>
              <w:rPr>
                <w:rFonts w:ascii="Calibri" w:eastAsia="Calibri" w:hAnsi="Calibri" w:cs="Calibri"/>
                <w:b/>
              </w:rPr>
              <w:t xml:space="preserve">CPD (Expected) </w:t>
            </w:r>
          </w:p>
        </w:tc>
      </w:tr>
      <w:tr w:rsidR="006A0089" w14:paraId="22E797E0" w14:textId="77777777">
        <w:trPr>
          <w:trHeight w:val="544"/>
        </w:trPr>
        <w:tc>
          <w:tcPr>
            <w:tcW w:w="2879" w:type="dxa"/>
            <w:tcBorders>
              <w:top w:val="single" w:sz="18" w:space="0" w:color="000000"/>
              <w:left w:val="single" w:sz="8" w:space="0" w:color="000000"/>
              <w:bottom w:val="single" w:sz="8" w:space="0" w:color="000000"/>
              <w:right w:val="single" w:sz="8" w:space="0" w:color="000000"/>
            </w:tcBorders>
            <w:shd w:val="clear" w:color="auto" w:fill="C0C0C0"/>
          </w:tcPr>
          <w:p w14:paraId="160FBA38" w14:textId="77777777" w:rsidR="006A0089" w:rsidRDefault="006668A2">
            <w:pPr>
              <w:spacing w:after="0" w:line="259" w:lineRule="auto"/>
              <w:ind w:left="0" w:firstLine="0"/>
            </w:pPr>
            <w:r>
              <w:rPr>
                <w:rFonts w:ascii="Calibri" w:eastAsia="Calibri" w:hAnsi="Calibri" w:cs="Calibri"/>
                <w:b/>
              </w:rPr>
              <w:t xml:space="preserve">Platelet count </w:t>
            </w:r>
          </w:p>
        </w:tc>
        <w:tc>
          <w:tcPr>
            <w:tcW w:w="2881" w:type="dxa"/>
            <w:tcBorders>
              <w:top w:val="single" w:sz="18" w:space="0" w:color="000000"/>
              <w:left w:val="single" w:sz="8" w:space="0" w:color="000000"/>
              <w:bottom w:val="single" w:sz="8" w:space="0" w:color="000000"/>
              <w:right w:val="single" w:sz="8" w:space="0" w:color="000000"/>
            </w:tcBorders>
            <w:shd w:val="clear" w:color="auto" w:fill="C0C0C0"/>
          </w:tcPr>
          <w:p w14:paraId="7467B3DB" w14:textId="77777777" w:rsidR="006A0089" w:rsidRDefault="006668A2">
            <w:pPr>
              <w:spacing w:after="0" w:line="259" w:lineRule="auto"/>
              <w:ind w:left="2" w:firstLine="0"/>
            </w:pPr>
            <w:r>
              <w:t xml:space="preserve">↓ Significantly decreased </w:t>
            </w:r>
          </w:p>
          <w:p w14:paraId="496BDDA2" w14:textId="77777777" w:rsidR="006A0089" w:rsidRDefault="006668A2">
            <w:pPr>
              <w:spacing w:after="0" w:line="259" w:lineRule="auto"/>
              <w:ind w:left="2" w:firstLine="0"/>
            </w:pPr>
            <w:r>
              <w:t xml:space="preserve">(thrombocytopenia) </w:t>
            </w:r>
          </w:p>
        </w:tc>
        <w:tc>
          <w:tcPr>
            <w:tcW w:w="2879" w:type="dxa"/>
            <w:tcBorders>
              <w:top w:val="single" w:sz="18" w:space="0" w:color="000000"/>
              <w:left w:val="single" w:sz="8" w:space="0" w:color="000000"/>
              <w:bottom w:val="single" w:sz="8" w:space="0" w:color="000000"/>
              <w:right w:val="single" w:sz="8" w:space="0" w:color="000000"/>
            </w:tcBorders>
            <w:shd w:val="clear" w:color="auto" w:fill="C0C0C0"/>
          </w:tcPr>
          <w:p w14:paraId="4A225A1B" w14:textId="77777777" w:rsidR="006A0089" w:rsidRDefault="006668A2">
            <w:pPr>
              <w:spacing w:after="0" w:line="259" w:lineRule="auto"/>
              <w:ind w:left="2" w:firstLine="0"/>
            </w:pPr>
            <w:r>
              <w:t xml:space="preserve">N/A </w:t>
            </w:r>
          </w:p>
        </w:tc>
      </w:tr>
      <w:tr w:rsidR="006A0089" w14:paraId="390D6D54" w14:textId="77777777">
        <w:trPr>
          <w:trHeight w:val="290"/>
        </w:trPr>
        <w:tc>
          <w:tcPr>
            <w:tcW w:w="2879" w:type="dxa"/>
            <w:tcBorders>
              <w:top w:val="single" w:sz="8" w:space="0" w:color="000000"/>
              <w:left w:val="single" w:sz="8" w:space="0" w:color="000000"/>
              <w:bottom w:val="single" w:sz="8" w:space="0" w:color="000000"/>
              <w:right w:val="single" w:sz="8" w:space="0" w:color="000000"/>
            </w:tcBorders>
          </w:tcPr>
          <w:p w14:paraId="29BA2C97" w14:textId="77777777" w:rsidR="006A0089" w:rsidRDefault="006668A2">
            <w:pPr>
              <w:spacing w:after="0" w:line="259" w:lineRule="auto"/>
              <w:ind w:left="0" w:firstLine="0"/>
            </w:pPr>
            <w:r>
              <w:rPr>
                <w:rFonts w:ascii="Calibri" w:eastAsia="Calibri" w:hAnsi="Calibri" w:cs="Calibri"/>
                <w:b/>
              </w:rPr>
              <w:t xml:space="preserve">Hemoglobin </w:t>
            </w:r>
          </w:p>
        </w:tc>
        <w:tc>
          <w:tcPr>
            <w:tcW w:w="2881" w:type="dxa"/>
            <w:tcBorders>
              <w:top w:val="single" w:sz="8" w:space="0" w:color="000000"/>
              <w:left w:val="single" w:sz="8" w:space="0" w:color="000000"/>
              <w:bottom w:val="single" w:sz="8" w:space="0" w:color="000000"/>
              <w:right w:val="single" w:sz="8" w:space="0" w:color="000000"/>
            </w:tcBorders>
          </w:tcPr>
          <w:p w14:paraId="664D69E1" w14:textId="77777777" w:rsidR="006A0089" w:rsidRDefault="006668A2">
            <w:pPr>
              <w:spacing w:after="0" w:line="259" w:lineRule="auto"/>
              <w:ind w:left="2" w:firstLine="0"/>
            </w:pPr>
            <w:r>
              <w:t xml:space="preserve">↓ Mild to moderate anemia </w:t>
            </w:r>
          </w:p>
        </w:tc>
        <w:tc>
          <w:tcPr>
            <w:tcW w:w="2879" w:type="dxa"/>
            <w:tcBorders>
              <w:top w:val="single" w:sz="8" w:space="0" w:color="000000"/>
              <w:left w:val="single" w:sz="8" w:space="0" w:color="000000"/>
              <w:bottom w:val="single" w:sz="8" w:space="0" w:color="000000"/>
              <w:right w:val="single" w:sz="8" w:space="0" w:color="000000"/>
            </w:tcBorders>
          </w:tcPr>
          <w:p w14:paraId="42E3D273" w14:textId="77777777" w:rsidR="006A0089" w:rsidRDefault="006668A2">
            <w:pPr>
              <w:spacing w:after="0" w:line="259" w:lineRule="auto"/>
              <w:ind w:left="2" w:firstLine="0"/>
            </w:pPr>
            <w:r>
              <w:t xml:space="preserve">N/A </w:t>
            </w:r>
          </w:p>
        </w:tc>
      </w:tr>
      <w:tr w:rsidR="006A0089" w14:paraId="6571E537" w14:textId="77777777">
        <w:trPr>
          <w:trHeight w:val="285"/>
        </w:trPr>
        <w:tc>
          <w:tcPr>
            <w:tcW w:w="2879" w:type="dxa"/>
            <w:tcBorders>
              <w:top w:val="single" w:sz="8" w:space="0" w:color="000000"/>
              <w:left w:val="single" w:sz="8" w:space="0" w:color="000000"/>
              <w:bottom w:val="single" w:sz="8" w:space="0" w:color="000000"/>
              <w:right w:val="single" w:sz="8" w:space="0" w:color="000000"/>
            </w:tcBorders>
            <w:shd w:val="clear" w:color="auto" w:fill="C0C0C0"/>
          </w:tcPr>
          <w:p w14:paraId="53280A67" w14:textId="77777777" w:rsidR="006A0089" w:rsidRDefault="006668A2">
            <w:pPr>
              <w:spacing w:after="0" w:line="259" w:lineRule="auto"/>
              <w:ind w:left="0" w:firstLine="0"/>
            </w:pPr>
            <w:r>
              <w:rPr>
                <w:rFonts w:ascii="Calibri" w:eastAsia="Calibri" w:hAnsi="Calibri" w:cs="Calibri"/>
                <w:b/>
              </w:rPr>
              <w:t xml:space="preserve">WBC Count </w:t>
            </w:r>
          </w:p>
        </w:tc>
        <w:tc>
          <w:tcPr>
            <w:tcW w:w="2881" w:type="dxa"/>
            <w:tcBorders>
              <w:top w:val="single" w:sz="8" w:space="0" w:color="000000"/>
              <w:left w:val="single" w:sz="8" w:space="0" w:color="000000"/>
              <w:bottom w:val="single" w:sz="8" w:space="0" w:color="000000"/>
              <w:right w:val="single" w:sz="8" w:space="0" w:color="000000"/>
            </w:tcBorders>
            <w:shd w:val="clear" w:color="auto" w:fill="C0C0C0"/>
          </w:tcPr>
          <w:p w14:paraId="4223F7EC" w14:textId="77777777" w:rsidR="006A0089" w:rsidRDefault="006668A2">
            <w:pPr>
              <w:spacing w:after="0" w:line="259" w:lineRule="auto"/>
              <w:ind w:left="2" w:firstLine="0"/>
            </w:pPr>
            <w:r>
              <w:t xml:space="preserve">Normal or slightly low </w:t>
            </w:r>
          </w:p>
        </w:tc>
        <w:tc>
          <w:tcPr>
            <w:tcW w:w="2879" w:type="dxa"/>
            <w:tcBorders>
              <w:top w:val="single" w:sz="8" w:space="0" w:color="000000"/>
              <w:left w:val="single" w:sz="8" w:space="0" w:color="000000"/>
              <w:bottom w:val="single" w:sz="8" w:space="0" w:color="000000"/>
              <w:right w:val="single" w:sz="8" w:space="0" w:color="000000"/>
            </w:tcBorders>
            <w:shd w:val="clear" w:color="auto" w:fill="C0C0C0"/>
          </w:tcPr>
          <w:p w14:paraId="78EADECA" w14:textId="77777777" w:rsidR="006A0089" w:rsidRDefault="006668A2">
            <w:pPr>
              <w:spacing w:after="0" w:line="259" w:lineRule="auto"/>
              <w:ind w:left="2" w:firstLine="0"/>
            </w:pPr>
            <w:r>
              <w:t xml:space="preserve">N/A </w:t>
            </w:r>
          </w:p>
        </w:tc>
      </w:tr>
      <w:tr w:rsidR="006A0089" w14:paraId="62777BCB" w14:textId="77777777">
        <w:trPr>
          <w:trHeight w:val="541"/>
        </w:trPr>
        <w:tc>
          <w:tcPr>
            <w:tcW w:w="2879" w:type="dxa"/>
            <w:tcBorders>
              <w:top w:val="single" w:sz="8" w:space="0" w:color="000000"/>
              <w:left w:val="single" w:sz="8" w:space="0" w:color="000000"/>
              <w:bottom w:val="single" w:sz="8" w:space="0" w:color="000000"/>
              <w:right w:val="single" w:sz="8" w:space="0" w:color="000000"/>
            </w:tcBorders>
          </w:tcPr>
          <w:p w14:paraId="5D735628" w14:textId="77777777" w:rsidR="006A0089" w:rsidRDefault="006668A2">
            <w:pPr>
              <w:spacing w:after="0" w:line="259" w:lineRule="auto"/>
              <w:ind w:left="0" w:firstLine="0"/>
            </w:pPr>
            <w:proofErr w:type="spellStart"/>
            <w:r>
              <w:rPr>
                <w:rFonts w:ascii="Calibri" w:eastAsia="Calibri" w:hAnsi="Calibri" w:cs="Calibri"/>
                <w:b/>
              </w:rPr>
              <w:t>Scattergram</w:t>
            </w:r>
            <w:proofErr w:type="spellEnd"/>
            <w:r>
              <w:rPr>
                <w:rFonts w:ascii="Calibri" w:eastAsia="Calibri" w:hAnsi="Calibri" w:cs="Calibri"/>
                <w:b/>
              </w:rPr>
              <w:t xml:space="preserve"> </w:t>
            </w:r>
          </w:p>
        </w:tc>
        <w:tc>
          <w:tcPr>
            <w:tcW w:w="2881" w:type="dxa"/>
            <w:tcBorders>
              <w:top w:val="single" w:sz="8" w:space="0" w:color="000000"/>
              <w:left w:val="single" w:sz="8" w:space="0" w:color="000000"/>
              <w:bottom w:val="single" w:sz="8" w:space="0" w:color="000000"/>
              <w:right w:val="single" w:sz="8" w:space="0" w:color="000000"/>
            </w:tcBorders>
          </w:tcPr>
          <w:p w14:paraId="2CBD1AF1" w14:textId="77777777" w:rsidR="006A0089" w:rsidRDefault="006668A2">
            <w:pPr>
              <w:spacing w:after="0" w:line="259" w:lineRule="auto"/>
              <w:ind w:left="2" w:firstLine="0"/>
            </w:pPr>
            <w:r>
              <w:t xml:space="preserve">May show abnormal flags </w:t>
            </w:r>
          </w:p>
        </w:tc>
        <w:tc>
          <w:tcPr>
            <w:tcW w:w="2879" w:type="dxa"/>
            <w:tcBorders>
              <w:top w:val="single" w:sz="8" w:space="0" w:color="000000"/>
              <w:left w:val="single" w:sz="8" w:space="0" w:color="000000"/>
              <w:bottom w:val="single" w:sz="8" w:space="0" w:color="000000"/>
              <w:right w:val="single" w:sz="8" w:space="0" w:color="000000"/>
            </w:tcBorders>
          </w:tcPr>
          <w:p w14:paraId="6DBF644B" w14:textId="77777777" w:rsidR="006A0089" w:rsidRDefault="006668A2">
            <w:pPr>
              <w:spacing w:after="0" w:line="259" w:lineRule="auto"/>
              <w:ind w:left="2" w:firstLine="0"/>
            </w:pPr>
            <w:r>
              <w:t xml:space="preserve">Distinct WBC scatter pattern changes in malaria </w:t>
            </w:r>
          </w:p>
        </w:tc>
      </w:tr>
      <w:tr w:rsidR="006A0089" w14:paraId="53C430F2" w14:textId="77777777">
        <w:trPr>
          <w:trHeight w:val="790"/>
        </w:trPr>
        <w:tc>
          <w:tcPr>
            <w:tcW w:w="2879" w:type="dxa"/>
            <w:tcBorders>
              <w:top w:val="single" w:sz="8" w:space="0" w:color="000000"/>
              <w:left w:val="single" w:sz="8" w:space="0" w:color="000000"/>
              <w:bottom w:val="single" w:sz="8" w:space="0" w:color="000000"/>
              <w:right w:val="single" w:sz="8" w:space="0" w:color="000000"/>
            </w:tcBorders>
            <w:shd w:val="clear" w:color="auto" w:fill="C0C0C0"/>
          </w:tcPr>
          <w:p w14:paraId="1CD4FFD4" w14:textId="77777777" w:rsidR="006A0089" w:rsidRDefault="006668A2">
            <w:pPr>
              <w:spacing w:after="0" w:line="259" w:lineRule="auto"/>
              <w:ind w:left="0" w:firstLine="0"/>
            </w:pPr>
            <w:r>
              <w:rPr>
                <w:rFonts w:ascii="Calibri" w:eastAsia="Calibri" w:hAnsi="Calibri" w:cs="Calibri"/>
                <w:b/>
              </w:rPr>
              <w:lastRenderedPageBreak/>
              <w:t xml:space="preserve">Monocyte/Lymphocyte VCS </w:t>
            </w:r>
          </w:p>
        </w:tc>
        <w:tc>
          <w:tcPr>
            <w:tcW w:w="2881" w:type="dxa"/>
            <w:tcBorders>
              <w:top w:val="single" w:sz="8" w:space="0" w:color="000000"/>
              <w:left w:val="single" w:sz="8" w:space="0" w:color="000000"/>
              <w:bottom w:val="single" w:sz="8" w:space="0" w:color="000000"/>
              <w:right w:val="single" w:sz="8" w:space="0" w:color="000000"/>
            </w:tcBorders>
            <w:shd w:val="clear" w:color="auto" w:fill="C0C0C0"/>
          </w:tcPr>
          <w:p w14:paraId="32671CC4" w14:textId="77777777" w:rsidR="006A0089" w:rsidRDefault="006668A2">
            <w:pPr>
              <w:spacing w:after="0" w:line="259" w:lineRule="auto"/>
              <w:ind w:left="2" w:firstLine="0"/>
            </w:pPr>
            <w:r>
              <w:t xml:space="preserve">N/A </w:t>
            </w:r>
          </w:p>
        </w:tc>
        <w:tc>
          <w:tcPr>
            <w:tcW w:w="2879" w:type="dxa"/>
            <w:tcBorders>
              <w:top w:val="single" w:sz="8" w:space="0" w:color="000000"/>
              <w:left w:val="single" w:sz="8" w:space="0" w:color="000000"/>
              <w:bottom w:val="single" w:sz="8" w:space="0" w:color="000000"/>
              <w:right w:val="single" w:sz="8" w:space="0" w:color="000000"/>
            </w:tcBorders>
            <w:shd w:val="clear" w:color="auto" w:fill="C0C0C0"/>
          </w:tcPr>
          <w:p w14:paraId="38C7603F" w14:textId="77777777" w:rsidR="006A0089" w:rsidRDefault="006668A2">
            <w:pPr>
              <w:spacing w:after="0" w:line="259" w:lineRule="auto"/>
              <w:ind w:left="2" w:right="47" w:firstLine="0"/>
              <w:jc w:val="both"/>
            </w:pPr>
            <w:r>
              <w:t xml:space="preserve">Altered volume and scatter indicative of parasite presence </w:t>
            </w:r>
          </w:p>
        </w:tc>
      </w:tr>
      <w:tr w:rsidR="006A0089" w14:paraId="3B11DA2D" w14:textId="77777777">
        <w:trPr>
          <w:trHeight w:val="538"/>
        </w:trPr>
        <w:tc>
          <w:tcPr>
            <w:tcW w:w="2879" w:type="dxa"/>
            <w:tcBorders>
              <w:top w:val="single" w:sz="8" w:space="0" w:color="000000"/>
              <w:left w:val="single" w:sz="8" w:space="0" w:color="000000"/>
              <w:bottom w:val="single" w:sz="8" w:space="0" w:color="000000"/>
              <w:right w:val="single" w:sz="8" w:space="0" w:color="000000"/>
            </w:tcBorders>
          </w:tcPr>
          <w:p w14:paraId="28968883" w14:textId="77777777" w:rsidR="006A0089" w:rsidRDefault="006668A2">
            <w:pPr>
              <w:spacing w:after="0" w:line="259" w:lineRule="auto"/>
              <w:ind w:left="0" w:firstLine="0"/>
            </w:pPr>
            <w:r>
              <w:rPr>
                <w:rFonts w:ascii="Calibri" w:eastAsia="Calibri" w:hAnsi="Calibri" w:cs="Calibri"/>
                <w:b/>
              </w:rPr>
              <w:t xml:space="preserve">Sensitivity </w:t>
            </w:r>
          </w:p>
        </w:tc>
        <w:tc>
          <w:tcPr>
            <w:tcW w:w="2881" w:type="dxa"/>
            <w:tcBorders>
              <w:top w:val="single" w:sz="8" w:space="0" w:color="000000"/>
              <w:left w:val="single" w:sz="8" w:space="0" w:color="000000"/>
              <w:bottom w:val="single" w:sz="8" w:space="0" w:color="000000"/>
              <w:right w:val="single" w:sz="8" w:space="0" w:color="000000"/>
            </w:tcBorders>
          </w:tcPr>
          <w:p w14:paraId="31FFBFD7" w14:textId="77777777" w:rsidR="006A0089" w:rsidRDefault="006668A2">
            <w:pPr>
              <w:spacing w:after="0" w:line="259" w:lineRule="auto"/>
              <w:ind w:left="2" w:firstLine="0"/>
            </w:pPr>
            <w:r>
              <w:t xml:space="preserve">Moderate (50–70%) </w:t>
            </w:r>
          </w:p>
        </w:tc>
        <w:tc>
          <w:tcPr>
            <w:tcW w:w="2879" w:type="dxa"/>
            <w:tcBorders>
              <w:top w:val="single" w:sz="8" w:space="0" w:color="000000"/>
              <w:left w:val="single" w:sz="8" w:space="0" w:color="000000"/>
              <w:bottom w:val="single" w:sz="8" w:space="0" w:color="000000"/>
              <w:right w:val="single" w:sz="8" w:space="0" w:color="000000"/>
            </w:tcBorders>
          </w:tcPr>
          <w:p w14:paraId="3B6F6210" w14:textId="77777777" w:rsidR="006A0089" w:rsidRDefault="006668A2">
            <w:pPr>
              <w:spacing w:after="0" w:line="259" w:lineRule="auto"/>
              <w:ind w:left="2" w:firstLine="0"/>
            </w:pPr>
            <w:r>
              <w:t xml:space="preserve">Higher (80–90%) for early detection </w:t>
            </w:r>
          </w:p>
        </w:tc>
      </w:tr>
      <w:tr w:rsidR="006A0089" w14:paraId="673F149E" w14:textId="77777777">
        <w:trPr>
          <w:trHeight w:val="285"/>
        </w:trPr>
        <w:tc>
          <w:tcPr>
            <w:tcW w:w="2879" w:type="dxa"/>
            <w:tcBorders>
              <w:top w:val="single" w:sz="8" w:space="0" w:color="000000"/>
              <w:left w:val="single" w:sz="8" w:space="0" w:color="000000"/>
              <w:bottom w:val="single" w:sz="8" w:space="0" w:color="000000"/>
              <w:right w:val="single" w:sz="8" w:space="0" w:color="000000"/>
            </w:tcBorders>
            <w:shd w:val="clear" w:color="auto" w:fill="C0C0C0"/>
          </w:tcPr>
          <w:p w14:paraId="36EBCC6F" w14:textId="77777777" w:rsidR="006A0089" w:rsidRDefault="006668A2">
            <w:pPr>
              <w:spacing w:after="0" w:line="259" w:lineRule="auto"/>
              <w:ind w:left="0" w:firstLine="0"/>
            </w:pPr>
            <w:r>
              <w:rPr>
                <w:rFonts w:ascii="Calibri" w:eastAsia="Calibri" w:hAnsi="Calibri" w:cs="Calibri"/>
                <w:b/>
              </w:rPr>
              <w:t xml:space="preserve">Specificity </w:t>
            </w:r>
          </w:p>
        </w:tc>
        <w:tc>
          <w:tcPr>
            <w:tcW w:w="2881" w:type="dxa"/>
            <w:tcBorders>
              <w:top w:val="single" w:sz="8" w:space="0" w:color="000000"/>
              <w:left w:val="single" w:sz="8" w:space="0" w:color="000000"/>
              <w:bottom w:val="single" w:sz="8" w:space="0" w:color="000000"/>
              <w:right w:val="single" w:sz="8" w:space="0" w:color="000000"/>
            </w:tcBorders>
            <w:shd w:val="clear" w:color="auto" w:fill="C0C0C0"/>
          </w:tcPr>
          <w:p w14:paraId="0F0EA13C" w14:textId="77777777" w:rsidR="006A0089" w:rsidRDefault="006668A2">
            <w:pPr>
              <w:spacing w:after="0" w:line="259" w:lineRule="auto"/>
              <w:ind w:left="2" w:firstLine="0"/>
            </w:pPr>
            <w:r>
              <w:t xml:space="preserve">High (80–90%) </w:t>
            </w:r>
          </w:p>
        </w:tc>
        <w:tc>
          <w:tcPr>
            <w:tcW w:w="2879" w:type="dxa"/>
            <w:tcBorders>
              <w:top w:val="single" w:sz="8" w:space="0" w:color="000000"/>
              <w:left w:val="single" w:sz="8" w:space="0" w:color="000000"/>
              <w:bottom w:val="single" w:sz="8" w:space="0" w:color="000000"/>
              <w:right w:val="single" w:sz="8" w:space="0" w:color="000000"/>
            </w:tcBorders>
            <w:shd w:val="clear" w:color="auto" w:fill="C0C0C0"/>
          </w:tcPr>
          <w:p w14:paraId="3F4C2548" w14:textId="77777777" w:rsidR="006A0089" w:rsidRDefault="006668A2">
            <w:pPr>
              <w:spacing w:after="0" w:line="259" w:lineRule="auto"/>
              <w:ind w:left="2" w:firstLine="0"/>
            </w:pPr>
            <w:r>
              <w:t xml:space="preserve">High (85–95%) </w:t>
            </w:r>
          </w:p>
        </w:tc>
      </w:tr>
    </w:tbl>
    <w:p w14:paraId="7A06ECF4" w14:textId="77777777" w:rsidR="006A0089" w:rsidRDefault="006668A2">
      <w:pPr>
        <w:spacing w:after="546"/>
        <w:ind w:left="-5"/>
      </w:pPr>
      <w:r>
        <w:t xml:space="preserve">(*Actual data will be filled after study </w:t>
      </w:r>
      <w:proofErr w:type="gramStart"/>
      <w:r>
        <w:t>completion.*</w:t>
      </w:r>
      <w:proofErr w:type="gramEnd"/>
      <w:r>
        <w:t xml:space="preserve">) </w:t>
      </w:r>
    </w:p>
    <w:p w14:paraId="76BD3AA2" w14:textId="77777777" w:rsidR="006A0089" w:rsidRDefault="006668A2">
      <w:pPr>
        <w:pStyle w:val="Heading2"/>
        <w:ind w:left="-5"/>
      </w:pPr>
      <w:r>
        <w:t xml:space="preserve">6. Budget (Estimated) </w:t>
      </w:r>
    </w:p>
    <w:tbl>
      <w:tblPr>
        <w:tblStyle w:val="TableGrid"/>
        <w:tblW w:w="8639" w:type="dxa"/>
        <w:tblInd w:w="-108" w:type="dxa"/>
        <w:tblCellMar>
          <w:top w:w="41" w:type="dxa"/>
          <w:left w:w="108" w:type="dxa"/>
          <w:right w:w="115" w:type="dxa"/>
        </w:tblCellMar>
        <w:tblLook w:val="04A0" w:firstRow="1" w:lastRow="0" w:firstColumn="1" w:lastColumn="0" w:noHBand="0" w:noVBand="1"/>
      </w:tblPr>
      <w:tblGrid>
        <w:gridCol w:w="4320"/>
        <w:gridCol w:w="4319"/>
      </w:tblGrid>
      <w:tr w:rsidR="006A0089" w14:paraId="60833A6A" w14:textId="77777777">
        <w:trPr>
          <w:trHeight w:val="308"/>
        </w:trPr>
        <w:tc>
          <w:tcPr>
            <w:tcW w:w="4320" w:type="dxa"/>
            <w:tcBorders>
              <w:top w:val="single" w:sz="8" w:space="0" w:color="000000"/>
              <w:left w:val="single" w:sz="8" w:space="0" w:color="000000"/>
              <w:bottom w:val="single" w:sz="18" w:space="0" w:color="000000"/>
              <w:right w:val="single" w:sz="8" w:space="0" w:color="000000"/>
            </w:tcBorders>
          </w:tcPr>
          <w:p w14:paraId="547F4B91" w14:textId="77777777" w:rsidR="006A0089" w:rsidRDefault="006668A2">
            <w:pPr>
              <w:spacing w:after="0" w:line="259" w:lineRule="auto"/>
              <w:ind w:left="0" w:firstLine="0"/>
            </w:pPr>
            <w:r>
              <w:rPr>
                <w:rFonts w:ascii="Calibri" w:eastAsia="Calibri" w:hAnsi="Calibri" w:cs="Calibri"/>
                <w:b/>
              </w:rPr>
              <w:t xml:space="preserve">Item </w:t>
            </w:r>
          </w:p>
        </w:tc>
        <w:tc>
          <w:tcPr>
            <w:tcW w:w="4320" w:type="dxa"/>
            <w:tcBorders>
              <w:top w:val="single" w:sz="8" w:space="0" w:color="000000"/>
              <w:left w:val="single" w:sz="8" w:space="0" w:color="000000"/>
              <w:bottom w:val="single" w:sz="18" w:space="0" w:color="000000"/>
              <w:right w:val="single" w:sz="8" w:space="0" w:color="000000"/>
            </w:tcBorders>
          </w:tcPr>
          <w:p w14:paraId="3282D71D" w14:textId="77777777" w:rsidR="006A0089" w:rsidRDefault="006668A2">
            <w:pPr>
              <w:spacing w:after="0" w:line="259" w:lineRule="auto"/>
              <w:ind w:left="2" w:firstLine="0"/>
            </w:pPr>
            <w:r>
              <w:rPr>
                <w:rFonts w:ascii="Calibri" w:eastAsia="Calibri" w:hAnsi="Calibri" w:cs="Calibri"/>
                <w:b/>
              </w:rPr>
              <w:t xml:space="preserve">Cost (PKR) </w:t>
            </w:r>
          </w:p>
        </w:tc>
      </w:tr>
      <w:tr w:rsidR="006A0089" w14:paraId="50E57B2D" w14:textId="77777777">
        <w:trPr>
          <w:trHeight w:val="290"/>
        </w:trPr>
        <w:tc>
          <w:tcPr>
            <w:tcW w:w="4320" w:type="dxa"/>
            <w:tcBorders>
              <w:top w:val="single" w:sz="18" w:space="0" w:color="000000"/>
              <w:left w:val="single" w:sz="8" w:space="0" w:color="000000"/>
              <w:bottom w:val="single" w:sz="8" w:space="0" w:color="000000"/>
              <w:right w:val="single" w:sz="8" w:space="0" w:color="000000"/>
            </w:tcBorders>
            <w:shd w:val="clear" w:color="auto" w:fill="C0C0C0"/>
          </w:tcPr>
          <w:p w14:paraId="2564EE45" w14:textId="77777777" w:rsidR="006A0089" w:rsidRDefault="006668A2">
            <w:pPr>
              <w:spacing w:after="0" w:line="259" w:lineRule="auto"/>
              <w:ind w:left="0" w:firstLine="0"/>
            </w:pPr>
            <w:r>
              <w:rPr>
                <w:rFonts w:ascii="Calibri" w:eastAsia="Calibri" w:hAnsi="Calibri" w:cs="Calibri"/>
                <w:b/>
              </w:rPr>
              <w:t xml:space="preserve">Sample Collection Materials (EDTA tubes) </w:t>
            </w:r>
          </w:p>
        </w:tc>
        <w:tc>
          <w:tcPr>
            <w:tcW w:w="4320" w:type="dxa"/>
            <w:tcBorders>
              <w:top w:val="single" w:sz="18" w:space="0" w:color="000000"/>
              <w:left w:val="single" w:sz="8" w:space="0" w:color="000000"/>
              <w:bottom w:val="single" w:sz="8" w:space="0" w:color="000000"/>
              <w:right w:val="single" w:sz="8" w:space="0" w:color="000000"/>
            </w:tcBorders>
            <w:shd w:val="clear" w:color="auto" w:fill="C0C0C0"/>
          </w:tcPr>
          <w:p w14:paraId="2C1586EA" w14:textId="77777777" w:rsidR="006A0089" w:rsidRDefault="006668A2">
            <w:pPr>
              <w:spacing w:after="0" w:line="259" w:lineRule="auto"/>
              <w:ind w:left="2" w:firstLine="0"/>
            </w:pPr>
            <w:r>
              <w:t xml:space="preserve">5,000 </w:t>
            </w:r>
          </w:p>
        </w:tc>
      </w:tr>
      <w:tr w:rsidR="006A0089" w14:paraId="56E1AF8B" w14:textId="77777777">
        <w:trPr>
          <w:trHeight w:val="295"/>
        </w:trPr>
        <w:tc>
          <w:tcPr>
            <w:tcW w:w="4320" w:type="dxa"/>
            <w:tcBorders>
              <w:top w:val="single" w:sz="8" w:space="0" w:color="000000"/>
              <w:left w:val="single" w:sz="8" w:space="0" w:color="000000"/>
              <w:bottom w:val="single" w:sz="8" w:space="0" w:color="000000"/>
              <w:right w:val="single" w:sz="8" w:space="0" w:color="000000"/>
            </w:tcBorders>
          </w:tcPr>
          <w:p w14:paraId="0EB341B8" w14:textId="77777777" w:rsidR="006A0089" w:rsidRDefault="006668A2">
            <w:pPr>
              <w:spacing w:after="0" w:line="259" w:lineRule="auto"/>
              <w:ind w:left="0" w:firstLine="0"/>
            </w:pPr>
            <w:r>
              <w:rPr>
                <w:rFonts w:ascii="Calibri" w:eastAsia="Calibri" w:hAnsi="Calibri" w:cs="Calibri"/>
                <w:b/>
              </w:rPr>
              <w:t xml:space="preserve">Giemsa Stain &amp; Lab Consumables </w:t>
            </w:r>
          </w:p>
        </w:tc>
        <w:tc>
          <w:tcPr>
            <w:tcW w:w="4320" w:type="dxa"/>
            <w:tcBorders>
              <w:top w:val="single" w:sz="8" w:space="0" w:color="000000"/>
              <w:left w:val="single" w:sz="8" w:space="0" w:color="000000"/>
              <w:bottom w:val="single" w:sz="8" w:space="0" w:color="000000"/>
              <w:right w:val="single" w:sz="8" w:space="0" w:color="000000"/>
            </w:tcBorders>
          </w:tcPr>
          <w:p w14:paraId="0DECF78E" w14:textId="77777777" w:rsidR="006A0089" w:rsidRDefault="006668A2">
            <w:pPr>
              <w:spacing w:after="0" w:line="259" w:lineRule="auto"/>
              <w:ind w:left="2" w:firstLine="0"/>
            </w:pPr>
            <w:r>
              <w:t xml:space="preserve">7,000 </w:t>
            </w:r>
          </w:p>
        </w:tc>
      </w:tr>
      <w:tr w:rsidR="006A0089" w14:paraId="0F130846" w14:textId="77777777">
        <w:trPr>
          <w:trHeight w:val="285"/>
        </w:trPr>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2B1840BD" w14:textId="77777777" w:rsidR="006A0089" w:rsidRDefault="006668A2">
            <w:pPr>
              <w:spacing w:after="0" w:line="259" w:lineRule="auto"/>
              <w:ind w:left="0" w:firstLine="0"/>
            </w:pPr>
            <w:r>
              <w:rPr>
                <w:rFonts w:ascii="Calibri" w:eastAsia="Calibri" w:hAnsi="Calibri" w:cs="Calibri"/>
                <w:b/>
              </w:rPr>
              <w:t xml:space="preserve">Rapid Diagnostic Test Kits </w:t>
            </w:r>
          </w:p>
        </w:tc>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5C7852F2" w14:textId="77777777" w:rsidR="006A0089" w:rsidRDefault="006668A2">
            <w:pPr>
              <w:spacing w:after="0" w:line="259" w:lineRule="auto"/>
              <w:ind w:left="2" w:firstLine="0"/>
            </w:pPr>
            <w:r>
              <w:t xml:space="preserve">10,000 </w:t>
            </w:r>
          </w:p>
        </w:tc>
      </w:tr>
      <w:tr w:rsidR="006A0089" w14:paraId="0E0D8260" w14:textId="77777777">
        <w:trPr>
          <w:trHeight w:val="290"/>
        </w:trPr>
        <w:tc>
          <w:tcPr>
            <w:tcW w:w="4320" w:type="dxa"/>
            <w:tcBorders>
              <w:top w:val="single" w:sz="8" w:space="0" w:color="000000"/>
              <w:left w:val="single" w:sz="8" w:space="0" w:color="000000"/>
              <w:bottom w:val="single" w:sz="8" w:space="0" w:color="000000"/>
              <w:right w:val="single" w:sz="8" w:space="0" w:color="000000"/>
            </w:tcBorders>
          </w:tcPr>
          <w:p w14:paraId="683130A8" w14:textId="77777777" w:rsidR="006A0089" w:rsidRDefault="006668A2">
            <w:pPr>
              <w:spacing w:after="0" w:line="259" w:lineRule="auto"/>
              <w:ind w:left="0" w:firstLine="0"/>
            </w:pPr>
            <w:r>
              <w:rPr>
                <w:rFonts w:ascii="Calibri" w:eastAsia="Calibri" w:hAnsi="Calibri" w:cs="Calibri"/>
                <w:b/>
              </w:rPr>
              <w:t xml:space="preserve">Analyzer Time / Maintenance </w:t>
            </w:r>
          </w:p>
        </w:tc>
        <w:tc>
          <w:tcPr>
            <w:tcW w:w="4320" w:type="dxa"/>
            <w:tcBorders>
              <w:top w:val="single" w:sz="8" w:space="0" w:color="000000"/>
              <w:left w:val="single" w:sz="8" w:space="0" w:color="000000"/>
              <w:bottom w:val="single" w:sz="8" w:space="0" w:color="000000"/>
              <w:right w:val="single" w:sz="8" w:space="0" w:color="000000"/>
            </w:tcBorders>
          </w:tcPr>
          <w:p w14:paraId="422484F5" w14:textId="77777777" w:rsidR="006A0089" w:rsidRDefault="006668A2">
            <w:pPr>
              <w:spacing w:after="0" w:line="259" w:lineRule="auto"/>
              <w:ind w:left="2" w:firstLine="0"/>
            </w:pPr>
            <w:r>
              <w:t xml:space="preserve">8,000 </w:t>
            </w:r>
          </w:p>
        </w:tc>
      </w:tr>
      <w:tr w:rsidR="006A0089" w14:paraId="5D6B3D20" w14:textId="77777777">
        <w:trPr>
          <w:trHeight w:val="285"/>
        </w:trPr>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374F4869" w14:textId="77777777" w:rsidR="006A0089" w:rsidRDefault="006668A2">
            <w:pPr>
              <w:spacing w:after="0" w:line="259" w:lineRule="auto"/>
              <w:ind w:left="0" w:firstLine="0"/>
            </w:pPr>
            <w:r>
              <w:rPr>
                <w:rFonts w:ascii="Calibri" w:eastAsia="Calibri" w:hAnsi="Calibri" w:cs="Calibri"/>
                <w:b/>
              </w:rPr>
              <w:t xml:space="preserve">Data Analysis &amp; Printing </w:t>
            </w:r>
          </w:p>
        </w:tc>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7799AC13" w14:textId="77777777" w:rsidR="006A0089" w:rsidRDefault="006668A2">
            <w:pPr>
              <w:spacing w:after="0" w:line="259" w:lineRule="auto"/>
              <w:ind w:left="2" w:firstLine="0"/>
            </w:pPr>
            <w:r>
              <w:t xml:space="preserve">5,000 </w:t>
            </w:r>
          </w:p>
        </w:tc>
      </w:tr>
      <w:tr w:rsidR="006A0089" w14:paraId="3BE62622" w14:textId="77777777">
        <w:trPr>
          <w:trHeight w:val="295"/>
        </w:trPr>
        <w:tc>
          <w:tcPr>
            <w:tcW w:w="4320" w:type="dxa"/>
            <w:tcBorders>
              <w:top w:val="single" w:sz="8" w:space="0" w:color="000000"/>
              <w:left w:val="single" w:sz="8" w:space="0" w:color="000000"/>
              <w:bottom w:val="single" w:sz="8" w:space="0" w:color="000000"/>
              <w:right w:val="single" w:sz="8" w:space="0" w:color="000000"/>
            </w:tcBorders>
          </w:tcPr>
          <w:p w14:paraId="7614E7F0" w14:textId="77777777" w:rsidR="006A0089" w:rsidRDefault="006668A2">
            <w:pPr>
              <w:spacing w:after="0" w:line="259" w:lineRule="auto"/>
              <w:ind w:left="0" w:firstLine="0"/>
            </w:pPr>
            <w:r>
              <w:rPr>
                <w:rFonts w:ascii="Calibri" w:eastAsia="Calibri" w:hAnsi="Calibri" w:cs="Calibri"/>
                <w:b/>
              </w:rPr>
              <w:t xml:space="preserve">Miscellaneous </w:t>
            </w:r>
          </w:p>
        </w:tc>
        <w:tc>
          <w:tcPr>
            <w:tcW w:w="4320" w:type="dxa"/>
            <w:tcBorders>
              <w:top w:val="single" w:sz="8" w:space="0" w:color="000000"/>
              <w:left w:val="single" w:sz="8" w:space="0" w:color="000000"/>
              <w:bottom w:val="single" w:sz="8" w:space="0" w:color="000000"/>
              <w:right w:val="single" w:sz="8" w:space="0" w:color="000000"/>
            </w:tcBorders>
          </w:tcPr>
          <w:p w14:paraId="1B12D0EF" w14:textId="77777777" w:rsidR="006A0089" w:rsidRDefault="006668A2">
            <w:pPr>
              <w:spacing w:after="0" w:line="259" w:lineRule="auto"/>
              <w:ind w:left="2" w:firstLine="0"/>
            </w:pPr>
            <w:r>
              <w:t xml:space="preserve">5,000 </w:t>
            </w:r>
          </w:p>
        </w:tc>
      </w:tr>
      <w:tr w:rsidR="006A0089" w14:paraId="29F1595D" w14:textId="77777777">
        <w:trPr>
          <w:trHeight w:val="285"/>
        </w:trPr>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0751C0DE" w14:textId="77777777" w:rsidR="006A0089" w:rsidRDefault="006668A2">
            <w:pPr>
              <w:spacing w:after="0" w:line="259" w:lineRule="auto"/>
              <w:ind w:left="0" w:firstLine="0"/>
            </w:pPr>
            <w:r>
              <w:rPr>
                <w:rFonts w:ascii="Calibri" w:eastAsia="Calibri" w:hAnsi="Calibri" w:cs="Calibri"/>
                <w:b/>
              </w:rPr>
              <w:t xml:space="preserve">Total Estimated Budget </w:t>
            </w:r>
          </w:p>
        </w:tc>
        <w:tc>
          <w:tcPr>
            <w:tcW w:w="4320" w:type="dxa"/>
            <w:tcBorders>
              <w:top w:val="single" w:sz="8" w:space="0" w:color="000000"/>
              <w:left w:val="single" w:sz="8" w:space="0" w:color="000000"/>
              <w:bottom w:val="single" w:sz="8" w:space="0" w:color="000000"/>
              <w:right w:val="single" w:sz="8" w:space="0" w:color="000000"/>
            </w:tcBorders>
            <w:shd w:val="clear" w:color="auto" w:fill="C0C0C0"/>
          </w:tcPr>
          <w:p w14:paraId="6660C84F" w14:textId="77777777" w:rsidR="006A0089" w:rsidRDefault="006668A2">
            <w:pPr>
              <w:spacing w:after="0" w:line="259" w:lineRule="auto"/>
              <w:ind w:left="2" w:firstLine="0"/>
            </w:pPr>
            <w:r>
              <w:t xml:space="preserve">40,000 PKR </w:t>
            </w:r>
          </w:p>
        </w:tc>
      </w:tr>
    </w:tbl>
    <w:p w14:paraId="2AFE1662" w14:textId="77777777" w:rsidR="006A0089" w:rsidRDefault="006668A2">
      <w:pPr>
        <w:pStyle w:val="Heading2"/>
        <w:ind w:left="-5"/>
      </w:pPr>
      <w:r>
        <w:t xml:space="preserve">7. References </w:t>
      </w:r>
    </w:p>
    <w:p w14:paraId="70AD8005" w14:textId="77777777" w:rsidR="006A0089" w:rsidRDefault="006668A2">
      <w:pPr>
        <w:spacing w:after="207"/>
        <w:ind w:left="-5"/>
      </w:pPr>
      <w:proofErr w:type="spellStart"/>
      <w:r>
        <w:rPr>
          <w:rFonts w:cs="Cambria"/>
        </w:rPr>
        <w:t>Rojanawatsirivet</w:t>
      </w:r>
      <w:proofErr w:type="spellEnd"/>
      <w:r>
        <w:rPr>
          <w:rFonts w:cs="Cambria"/>
        </w:rPr>
        <w:t xml:space="preserve"> C et al. “Cell population data analysis for malaria diagnosis.” Am J Trop </w:t>
      </w:r>
      <w:r>
        <w:t xml:space="preserve">Med </w:t>
      </w:r>
      <w:proofErr w:type="spellStart"/>
      <w:r>
        <w:t>Hyg</w:t>
      </w:r>
      <w:proofErr w:type="spellEnd"/>
      <w:r>
        <w:t xml:space="preserve">. 2015. </w:t>
      </w:r>
    </w:p>
    <w:p w14:paraId="4B153887" w14:textId="77777777" w:rsidR="006A0089" w:rsidRDefault="006668A2">
      <w:pPr>
        <w:spacing w:after="207"/>
        <w:ind w:left="-5"/>
      </w:pPr>
      <w:proofErr w:type="spellStart"/>
      <w:r>
        <w:t>Kotepui</w:t>
      </w:r>
      <w:proofErr w:type="spellEnd"/>
      <w:r>
        <w:t xml:space="preserve"> M et al. </w:t>
      </w:r>
      <w:r>
        <w:rPr>
          <w:rFonts w:cs="Cambria"/>
        </w:rPr>
        <w:t xml:space="preserve">“Hematological parameters and malaria infection.” Asian Pac J Trop </w:t>
      </w:r>
      <w:r>
        <w:t xml:space="preserve">Biomed. 2012. </w:t>
      </w:r>
    </w:p>
    <w:p w14:paraId="08265E80" w14:textId="77777777" w:rsidR="006A0089" w:rsidRDefault="006668A2">
      <w:pPr>
        <w:spacing w:after="207"/>
        <w:ind w:left="-5"/>
      </w:pPr>
      <w:proofErr w:type="spellStart"/>
      <w:r>
        <w:rPr>
          <w:rFonts w:cs="Cambria"/>
        </w:rPr>
        <w:t>Kakkar</w:t>
      </w:r>
      <w:proofErr w:type="spellEnd"/>
      <w:r>
        <w:rPr>
          <w:rFonts w:cs="Cambria"/>
        </w:rPr>
        <w:t xml:space="preserve"> N et al. “Malaria detection on hematology analyzers.” Indian J </w:t>
      </w:r>
      <w:proofErr w:type="spellStart"/>
      <w:r>
        <w:rPr>
          <w:rFonts w:cs="Cambria"/>
        </w:rPr>
        <w:t>Pathol</w:t>
      </w:r>
      <w:proofErr w:type="spellEnd"/>
      <w:r>
        <w:rPr>
          <w:rFonts w:cs="Cambria"/>
        </w:rPr>
        <w:t xml:space="preserve"> Microbiol. </w:t>
      </w:r>
      <w:r>
        <w:t xml:space="preserve">2018. </w:t>
      </w:r>
    </w:p>
    <w:p w14:paraId="4304049B" w14:textId="77777777" w:rsidR="006A0089" w:rsidRDefault="006668A2">
      <w:pPr>
        <w:spacing w:after="207"/>
        <w:ind w:left="-5"/>
      </w:pPr>
      <w:r>
        <w:rPr>
          <w:rFonts w:cs="Cambria"/>
        </w:rPr>
        <w:t>Chandrashekar V et al. “Utility of CPD in malaria detection.” J Lab Physicians. 2020.</w:t>
      </w:r>
      <w:r>
        <w:t xml:space="preserve"> </w:t>
      </w:r>
    </w:p>
    <w:p w14:paraId="0C317951" w14:textId="77777777" w:rsidR="006A0089" w:rsidRDefault="006668A2">
      <w:pPr>
        <w:ind w:left="-5"/>
      </w:pPr>
      <w:r>
        <w:t xml:space="preserve">WHO. World Malaria Report 2024. Geneva: World Health Organization. </w:t>
      </w:r>
    </w:p>
    <w:sectPr w:rsidR="006A0089">
      <w:pgSz w:w="12240" w:h="15840"/>
      <w:pgMar w:top="1451" w:right="1822" w:bottom="1558"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777556"/>
    <w:multiLevelType w:val="hybridMultilevel"/>
    <w:tmpl w:val="FFFFFFFF"/>
    <w:lvl w:ilvl="0" w:tplc="483CA7F4">
      <w:start w:val="1"/>
      <w:numFmt w:val="bullet"/>
      <w:lvlText w:val="•"/>
      <w:lvlJc w:val="left"/>
      <w:pPr>
        <w:ind w:left="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08ABB9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E6841B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E80FA1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ED03002">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D8417F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F8A9E8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A086878">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C1AB9D6">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91006FE"/>
    <w:multiLevelType w:val="hybridMultilevel"/>
    <w:tmpl w:val="FFFFFFFF"/>
    <w:lvl w:ilvl="0" w:tplc="E9921EA8">
      <w:start w:val="1"/>
      <w:numFmt w:val="bullet"/>
      <w:lvlText w:val="•"/>
      <w:lvlJc w:val="left"/>
      <w:pPr>
        <w:ind w:left="1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7BA6722">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AD48AB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C007C2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056C56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E6309A">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ED67ED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56E345A">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F36C258">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089"/>
    <w:rsid w:val="0009019B"/>
    <w:rsid w:val="000C3959"/>
    <w:rsid w:val="002B61AF"/>
    <w:rsid w:val="003E37F6"/>
    <w:rsid w:val="006668A2"/>
    <w:rsid w:val="006A0089"/>
    <w:rsid w:val="00741990"/>
    <w:rsid w:val="00803253"/>
    <w:rsid w:val="00E466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B5F54"/>
  <w15:docId w15:val="{6B2D2149-6EB5-4444-ACCD-144A7C4E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 w:line="268" w:lineRule="auto"/>
      <w:ind w:left="10" w:hanging="10"/>
    </w:pPr>
    <w:rPr>
      <w:rFonts w:ascii="Cambria" w:eastAsia="Cambria" w:hAnsi="Cambria"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17365D"/>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65F91"/>
      <w:sz w:val="28"/>
    </w:rPr>
  </w:style>
  <w:style w:type="character" w:customStyle="1" w:styleId="Heading1Char">
    <w:name w:val="Heading 1 Char"/>
    <w:link w:val="Heading1"/>
    <w:rPr>
      <w:rFonts w:ascii="Calibri" w:eastAsia="Calibri" w:hAnsi="Calibri" w:cs="Calibri"/>
      <w:color w:val="17365D"/>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lenovo</cp:lastModifiedBy>
  <cp:revision>2</cp:revision>
  <dcterms:created xsi:type="dcterms:W3CDTF">2025-11-12T13:58:00Z</dcterms:created>
  <dcterms:modified xsi:type="dcterms:W3CDTF">2025-11-12T13:58:00Z</dcterms:modified>
</cp:coreProperties>
</file>