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2107" w14:textId="5786CCBB" w:rsidR="00037BD8" w:rsidRDefault="00037BD8" w:rsidP="001007B4">
      <w:pPr>
        <w:pStyle w:val="Heading1"/>
      </w:pPr>
      <w:r w:rsidRPr="001007B4">
        <w:t>Newly developed datasets</w:t>
      </w:r>
    </w:p>
    <w:p w14:paraId="39BE97DE" w14:textId="263ED42B" w:rsidR="00037BD8" w:rsidRDefault="00037BD8"/>
    <w:p w14:paraId="535E499D" w14:textId="4A8D6169" w:rsidR="00835DD6" w:rsidRDefault="00835DD6" w:rsidP="00497960">
      <w:pPr>
        <w:pStyle w:val="Heading2"/>
      </w:pPr>
      <w:r>
        <w:t xml:space="preserve">National school counselor survey </w:t>
      </w:r>
      <w:r w:rsidR="00497960">
        <w:t>(nscs.csv and nscs_missing.csv)</w:t>
      </w:r>
    </w:p>
    <w:p w14:paraId="02D6A1E5" w14:textId="7F0D75C0" w:rsidR="00497960" w:rsidRDefault="00497960"/>
    <w:p w14:paraId="30473F8A" w14:textId="78F9C37C" w:rsidR="00497960" w:rsidRPr="00497960" w:rsidRDefault="00497960" w:rsidP="00497960">
      <w:pPr>
        <w:pStyle w:val="NormalWeb"/>
        <w:shd w:val="clear" w:color="auto" w:fill="FFFFFF"/>
        <w:spacing w:before="0" w:beforeAutospacing="0" w:after="150" w:afterAutospacing="0"/>
        <w:rPr>
          <w:rFonts w:asciiTheme="minorHAnsi" w:hAnsiTheme="minorHAnsi" w:cstheme="minorHAnsi"/>
          <w:color w:val="333333"/>
        </w:rPr>
      </w:pPr>
      <w:r w:rsidRPr="00497960">
        <w:rPr>
          <w:rFonts w:asciiTheme="minorHAnsi" w:hAnsiTheme="minorHAnsi" w:cstheme="minorHAnsi"/>
          <w:color w:val="333333"/>
        </w:rPr>
        <w:t xml:space="preserve">To gain a broad picture of the counselor experience during the early months of COVID-19 school closures, </w:t>
      </w:r>
      <w:hyperlink r:id="rId5" w:history="1">
        <w:proofErr w:type="spellStart"/>
        <w:r w:rsidRPr="00497960">
          <w:rPr>
            <w:rStyle w:val="Hyperlink"/>
            <w:rFonts w:asciiTheme="minorHAnsi" w:hAnsiTheme="minorHAnsi" w:cstheme="minorHAnsi"/>
          </w:rPr>
          <w:t>Savitz</w:t>
        </w:r>
        <w:proofErr w:type="spellEnd"/>
        <w:r w:rsidRPr="00497960">
          <w:rPr>
            <w:rStyle w:val="Hyperlink"/>
            <w:rFonts w:asciiTheme="minorHAnsi" w:hAnsiTheme="minorHAnsi" w:cstheme="minorHAnsi"/>
          </w:rPr>
          <w:t>-Romer and Rowan-Kenyon (2021)</w:t>
        </w:r>
      </w:hyperlink>
      <w:r w:rsidRPr="00497960">
        <w:rPr>
          <w:rFonts w:asciiTheme="minorHAnsi" w:hAnsiTheme="minorHAnsi" w:cstheme="minorHAnsi"/>
          <w:color w:val="333333"/>
        </w:rPr>
        <w:t xml:space="preserve"> created an 80-question online survey to collect data from 1,060 school counselors and educators in adjacent roles (e.g., college counselors, adjustment counselors, counseling directors) in 48 states and Puerto Rico in the US. For simplicity reasons, we only include in our dataset the key variables as following (dropping incomplete observations resulted in N = 787):</w:t>
      </w:r>
    </w:p>
    <w:p w14:paraId="385D5565"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r w:rsidRPr="00497960">
        <w:rPr>
          <w:rFonts w:asciiTheme="minorHAnsi" w:hAnsiTheme="minorHAnsi" w:cstheme="minorHAnsi"/>
          <w:color w:val="333333"/>
        </w:rPr>
        <w:t>id, counselor identification number</w:t>
      </w:r>
    </w:p>
    <w:p w14:paraId="6FA1C95F"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r w:rsidRPr="00497960">
        <w:rPr>
          <w:rFonts w:asciiTheme="minorHAnsi" w:hAnsiTheme="minorHAnsi" w:cstheme="minorHAnsi"/>
          <w:color w:val="333333"/>
        </w:rPr>
        <w:t>grades, school level, 0 = elementary, 1 = middle school, 2 = high school, 3 = mixed</w:t>
      </w:r>
    </w:p>
    <w:p w14:paraId="2CB73EDE"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proofErr w:type="spellStart"/>
      <w:r w:rsidRPr="00497960">
        <w:rPr>
          <w:rFonts w:asciiTheme="minorHAnsi" w:hAnsiTheme="minorHAnsi" w:cstheme="minorHAnsi"/>
          <w:color w:val="333333"/>
        </w:rPr>
        <w:t>schooltype</w:t>
      </w:r>
      <w:proofErr w:type="spellEnd"/>
      <w:r w:rsidRPr="00497960">
        <w:rPr>
          <w:rFonts w:asciiTheme="minorHAnsi" w:hAnsiTheme="minorHAnsi" w:cstheme="minorHAnsi"/>
          <w:color w:val="333333"/>
        </w:rPr>
        <w:t>, school type, 1 = public, 2 = charter, 3 = private</w:t>
      </w:r>
    </w:p>
    <w:p w14:paraId="0CF3A025"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r w:rsidRPr="00497960">
        <w:rPr>
          <w:rFonts w:asciiTheme="minorHAnsi" w:hAnsiTheme="minorHAnsi" w:cstheme="minorHAnsi"/>
          <w:color w:val="333333"/>
        </w:rPr>
        <w:t>urbanicity, school urbanicity level, 1 = urban, 2 = suburban, 3 = rural</w:t>
      </w:r>
    </w:p>
    <w:p w14:paraId="79536894"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r w:rsidRPr="00497960">
        <w:rPr>
          <w:rFonts w:asciiTheme="minorHAnsi" w:hAnsiTheme="minorHAnsi" w:cstheme="minorHAnsi"/>
          <w:color w:val="333333"/>
        </w:rPr>
        <w:t>female, counselor gender coded one for female and zero for others</w:t>
      </w:r>
    </w:p>
    <w:p w14:paraId="0FDFFE5D"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r w:rsidRPr="00497960">
        <w:rPr>
          <w:rFonts w:asciiTheme="minorHAnsi" w:hAnsiTheme="minorHAnsi" w:cstheme="minorHAnsi"/>
          <w:color w:val="333333"/>
        </w:rPr>
        <w:t>exp, counselor experience measured by years</w:t>
      </w:r>
    </w:p>
    <w:p w14:paraId="1F2DEE5C"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proofErr w:type="spellStart"/>
      <w:r w:rsidRPr="00497960">
        <w:rPr>
          <w:rFonts w:asciiTheme="minorHAnsi" w:hAnsiTheme="minorHAnsi" w:cstheme="minorHAnsi"/>
          <w:color w:val="333333"/>
        </w:rPr>
        <w:t>ooo</w:t>
      </w:r>
      <w:proofErr w:type="spellEnd"/>
      <w:r w:rsidRPr="00497960">
        <w:rPr>
          <w:rFonts w:asciiTheme="minorHAnsi" w:hAnsiTheme="minorHAnsi" w:cstheme="minorHAnsi"/>
          <w:color w:val="333333"/>
        </w:rPr>
        <w:t>, dichotomous variable coded one if the counselor had less time for one-on-one counseling due to COVID</w:t>
      </w:r>
    </w:p>
    <w:p w14:paraId="401DF838" w14:textId="77777777" w:rsidR="00497960"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r w:rsidRPr="00497960">
        <w:rPr>
          <w:rFonts w:asciiTheme="minorHAnsi" w:hAnsiTheme="minorHAnsi" w:cstheme="minorHAnsi"/>
          <w:color w:val="333333"/>
        </w:rPr>
        <w:t>group, dichotomous variable coded one if the counselor had less time for group counseling due to COVID</w:t>
      </w:r>
    </w:p>
    <w:p w14:paraId="6920CB0C" w14:textId="5F122201" w:rsidR="00835DD6" w:rsidRPr="00497960" w:rsidRDefault="00497960" w:rsidP="00497960">
      <w:pPr>
        <w:numPr>
          <w:ilvl w:val="0"/>
          <w:numId w:val="5"/>
        </w:numPr>
        <w:shd w:val="clear" w:color="auto" w:fill="FFFFFF"/>
        <w:spacing w:before="100" w:beforeAutospacing="1" w:after="100" w:afterAutospacing="1"/>
        <w:rPr>
          <w:rFonts w:asciiTheme="minorHAnsi" w:hAnsiTheme="minorHAnsi" w:cstheme="minorHAnsi"/>
          <w:color w:val="333333"/>
        </w:rPr>
      </w:pPr>
      <w:proofErr w:type="spellStart"/>
      <w:r w:rsidRPr="00497960">
        <w:rPr>
          <w:rFonts w:asciiTheme="minorHAnsi" w:hAnsiTheme="minorHAnsi" w:cstheme="minorHAnsi"/>
          <w:color w:val="333333"/>
        </w:rPr>
        <w:t>sel</w:t>
      </w:r>
      <w:proofErr w:type="spellEnd"/>
      <w:r w:rsidRPr="00497960">
        <w:rPr>
          <w:rFonts w:asciiTheme="minorHAnsi" w:hAnsiTheme="minorHAnsi" w:cstheme="minorHAnsi"/>
          <w:color w:val="333333"/>
        </w:rPr>
        <w:t>, dichotomous variable coded one if the counselor had less time for supporting student social emotional needs due to COVID</w:t>
      </w:r>
    </w:p>
    <w:p w14:paraId="5D6E950C" w14:textId="0B0831FA" w:rsidR="006805CD" w:rsidRPr="006805CD" w:rsidRDefault="001007B4" w:rsidP="006805CD">
      <w:pPr>
        <w:pStyle w:val="Heading2"/>
      </w:pPr>
      <w:r w:rsidRPr="00C843C6">
        <w:t>School principal data</w:t>
      </w:r>
      <w:r w:rsidR="00506457">
        <w:t xml:space="preserve"> (principal.csv)</w:t>
      </w:r>
    </w:p>
    <w:p w14:paraId="177015C7" w14:textId="77777777" w:rsidR="001007B4" w:rsidRPr="001007B4" w:rsidRDefault="001007B4" w:rsidP="001007B4">
      <w:pPr>
        <w:rPr>
          <w:rFonts w:asciiTheme="minorHAnsi" w:hAnsiTheme="minorHAnsi" w:cstheme="minorHAnsi"/>
        </w:rPr>
      </w:pPr>
    </w:p>
    <w:p w14:paraId="7889F0EB" w14:textId="77777777" w:rsidR="001007B4" w:rsidRPr="001007B4" w:rsidRDefault="001007B4" w:rsidP="001007B4">
      <w:pPr>
        <w:pStyle w:val="NormalWeb"/>
        <w:shd w:val="clear" w:color="auto" w:fill="FFFFFF"/>
        <w:spacing w:before="0" w:beforeAutospacing="0" w:after="150" w:afterAutospacing="0"/>
        <w:rPr>
          <w:rFonts w:asciiTheme="minorHAnsi" w:hAnsiTheme="minorHAnsi" w:cstheme="minorHAnsi"/>
          <w:color w:val="333333"/>
        </w:rPr>
      </w:pPr>
      <w:r w:rsidRPr="001007B4">
        <w:rPr>
          <w:rFonts w:asciiTheme="minorHAnsi" w:hAnsiTheme="minorHAnsi" w:cstheme="minorHAnsi"/>
          <w:color w:val="333333"/>
        </w:rPr>
        <w:t xml:space="preserve">This dataset was drawn from Meta </w:t>
      </w:r>
      <w:proofErr w:type="spellStart"/>
      <w:r w:rsidRPr="001007B4">
        <w:rPr>
          <w:rFonts w:asciiTheme="minorHAnsi" w:hAnsiTheme="minorHAnsi" w:cstheme="minorHAnsi"/>
          <w:color w:val="333333"/>
        </w:rPr>
        <w:t>Krüger’s</w:t>
      </w:r>
      <w:proofErr w:type="spellEnd"/>
      <w:r w:rsidRPr="001007B4">
        <w:rPr>
          <w:rFonts w:asciiTheme="minorHAnsi" w:hAnsiTheme="minorHAnsi" w:cstheme="minorHAnsi"/>
          <w:color w:val="333333"/>
        </w:rPr>
        <w:t xml:space="preserve"> (1994) study investigating gender differences in school leadership in Netherlands. The study implemented a matching procedure to generate pairs of comparable schools (N=98) with the only difference being that one school principal was female and the other male, then surveyed the school principals, teachers, and students. Due to deletion of incomplete observations, our dataset is a bit smaller than the one used in the article, it contains 94 school principals and 800 students.</w:t>
      </w:r>
    </w:p>
    <w:p w14:paraId="5EEC4D92" w14:textId="77777777" w:rsidR="001007B4" w:rsidRPr="001007B4" w:rsidRDefault="001007B4" w:rsidP="001007B4">
      <w:pPr>
        <w:pStyle w:val="NormalWeb"/>
        <w:shd w:val="clear" w:color="auto" w:fill="FFFFFF"/>
        <w:spacing w:before="0" w:beforeAutospacing="0" w:after="150" w:afterAutospacing="0"/>
        <w:rPr>
          <w:rFonts w:asciiTheme="minorHAnsi" w:hAnsiTheme="minorHAnsi" w:cstheme="minorHAnsi"/>
          <w:color w:val="333333"/>
        </w:rPr>
      </w:pPr>
      <w:r w:rsidRPr="001007B4">
        <w:rPr>
          <w:rFonts w:asciiTheme="minorHAnsi" w:hAnsiTheme="minorHAnsi" w:cstheme="minorHAnsi"/>
          <w:color w:val="333333"/>
        </w:rPr>
        <w:t>The dataset contains nine variables, detailed below.</w:t>
      </w:r>
    </w:p>
    <w:p w14:paraId="2A68D0F4" w14:textId="77777777"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schid</w:t>
      </w:r>
      <w:proofErr w:type="spellEnd"/>
      <w:r w:rsidRPr="001007B4">
        <w:rPr>
          <w:rFonts w:asciiTheme="minorHAnsi" w:hAnsiTheme="minorHAnsi" w:cstheme="minorHAnsi"/>
          <w:color w:val="333333"/>
        </w:rPr>
        <w:t>, school identification number</w:t>
      </w:r>
    </w:p>
    <w:p w14:paraId="1224DE3C" w14:textId="77777777"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stuid</w:t>
      </w:r>
      <w:proofErr w:type="spellEnd"/>
      <w:r w:rsidRPr="001007B4">
        <w:rPr>
          <w:rFonts w:asciiTheme="minorHAnsi" w:hAnsiTheme="minorHAnsi" w:cstheme="minorHAnsi"/>
          <w:color w:val="333333"/>
        </w:rPr>
        <w:t>, student identification number within each school</w:t>
      </w:r>
    </w:p>
    <w:p w14:paraId="2B6E631D" w14:textId="77777777"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female, coded one for female principals and zero for male principals</w:t>
      </w:r>
    </w:p>
    <w:p w14:paraId="44DD15AB" w14:textId="77777777"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stufemale</w:t>
      </w:r>
      <w:proofErr w:type="spellEnd"/>
      <w:r w:rsidRPr="001007B4">
        <w:rPr>
          <w:rFonts w:asciiTheme="minorHAnsi" w:hAnsiTheme="minorHAnsi" w:cstheme="minorHAnsi"/>
          <w:color w:val="333333"/>
        </w:rPr>
        <w:t>, coded one for female students and zero for male students</w:t>
      </w:r>
    </w:p>
    <w:p w14:paraId="70951B8F" w14:textId="77777777"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match, coded one if student and principal are the same gender</w:t>
      </w:r>
    </w:p>
    <w:p w14:paraId="234F2002" w14:textId="77777777"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 xml:space="preserve">q1, students’ rating on a survey item, “Sometimes the principal talks to me”, on a 4-point </w:t>
      </w:r>
      <w:proofErr w:type="spellStart"/>
      <w:r w:rsidRPr="001007B4">
        <w:rPr>
          <w:rFonts w:asciiTheme="minorHAnsi" w:hAnsiTheme="minorHAnsi" w:cstheme="minorHAnsi"/>
          <w:color w:val="333333"/>
        </w:rPr>
        <w:t>likert</w:t>
      </w:r>
      <w:proofErr w:type="spellEnd"/>
      <w:r w:rsidRPr="001007B4">
        <w:rPr>
          <w:rFonts w:asciiTheme="minorHAnsi" w:hAnsiTheme="minorHAnsi" w:cstheme="minorHAnsi"/>
          <w:color w:val="333333"/>
        </w:rPr>
        <w:t xml:space="preserve"> scale, 1=low, 4=high</w:t>
      </w:r>
    </w:p>
    <w:p w14:paraId="2D8BA54D" w14:textId="70AC27ED"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lastRenderedPageBreak/>
        <w:t xml:space="preserve">q2, students’ rating on a survey item, “I think the </w:t>
      </w:r>
      <w:r w:rsidR="007D0DE8" w:rsidRPr="001007B4">
        <w:rPr>
          <w:rFonts w:asciiTheme="minorHAnsi" w:hAnsiTheme="minorHAnsi" w:cstheme="minorHAnsi"/>
          <w:color w:val="333333"/>
        </w:rPr>
        <w:t>principal</w:t>
      </w:r>
      <w:r w:rsidR="007D0DE8" w:rsidRPr="001007B4">
        <w:rPr>
          <w:rFonts w:asciiTheme="minorHAnsi" w:hAnsiTheme="minorHAnsi" w:cstheme="minorHAnsi"/>
          <w:color w:val="333333"/>
        </w:rPr>
        <w:t xml:space="preserve"> </w:t>
      </w:r>
      <w:r w:rsidRPr="001007B4">
        <w:rPr>
          <w:rFonts w:asciiTheme="minorHAnsi" w:hAnsiTheme="minorHAnsi" w:cstheme="minorHAnsi"/>
          <w:color w:val="333333"/>
        </w:rPr>
        <w:t xml:space="preserve">knows who I am”, on a 4-point </w:t>
      </w:r>
      <w:proofErr w:type="spellStart"/>
      <w:r w:rsidRPr="001007B4">
        <w:rPr>
          <w:rFonts w:asciiTheme="minorHAnsi" w:hAnsiTheme="minorHAnsi" w:cstheme="minorHAnsi"/>
          <w:color w:val="333333"/>
        </w:rPr>
        <w:t>likert</w:t>
      </w:r>
      <w:proofErr w:type="spellEnd"/>
      <w:r w:rsidRPr="001007B4">
        <w:rPr>
          <w:rFonts w:asciiTheme="minorHAnsi" w:hAnsiTheme="minorHAnsi" w:cstheme="minorHAnsi"/>
          <w:color w:val="333333"/>
        </w:rPr>
        <w:t xml:space="preserve"> scale, 1=low, 4=high</w:t>
      </w:r>
    </w:p>
    <w:p w14:paraId="615133C4" w14:textId="593763DB"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 xml:space="preserve">q3, students’ rating on a survey item, “School </w:t>
      </w:r>
      <w:r w:rsidR="007D0DE8" w:rsidRPr="001007B4">
        <w:rPr>
          <w:rFonts w:asciiTheme="minorHAnsi" w:hAnsiTheme="minorHAnsi" w:cstheme="minorHAnsi"/>
          <w:color w:val="333333"/>
        </w:rPr>
        <w:t>principal</w:t>
      </w:r>
      <w:r w:rsidRPr="001007B4">
        <w:rPr>
          <w:rFonts w:asciiTheme="minorHAnsi" w:hAnsiTheme="minorHAnsi" w:cstheme="minorHAnsi"/>
          <w:color w:val="333333"/>
        </w:rPr>
        <w:t xml:space="preserve"> knows how well I am doing”, on a 4-point </w:t>
      </w:r>
      <w:proofErr w:type="spellStart"/>
      <w:r w:rsidRPr="001007B4">
        <w:rPr>
          <w:rFonts w:asciiTheme="minorHAnsi" w:hAnsiTheme="minorHAnsi" w:cstheme="minorHAnsi"/>
          <w:color w:val="333333"/>
        </w:rPr>
        <w:t>likert</w:t>
      </w:r>
      <w:proofErr w:type="spellEnd"/>
      <w:r w:rsidRPr="001007B4">
        <w:rPr>
          <w:rFonts w:asciiTheme="minorHAnsi" w:hAnsiTheme="minorHAnsi" w:cstheme="minorHAnsi"/>
          <w:color w:val="333333"/>
        </w:rPr>
        <w:t xml:space="preserve"> scale, 1=low, 4=high</w:t>
      </w:r>
    </w:p>
    <w:p w14:paraId="033BDA45" w14:textId="10808B08" w:rsidR="001007B4" w:rsidRPr="001007B4" w:rsidRDefault="001007B4" w:rsidP="001007B4">
      <w:pPr>
        <w:numPr>
          <w:ilvl w:val="0"/>
          <w:numId w:val="5"/>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 xml:space="preserve">q4, students’ rating on a survey item, “The school </w:t>
      </w:r>
      <w:r w:rsidR="007D0DE8" w:rsidRPr="001007B4">
        <w:rPr>
          <w:rFonts w:asciiTheme="minorHAnsi" w:hAnsiTheme="minorHAnsi" w:cstheme="minorHAnsi"/>
          <w:color w:val="333333"/>
        </w:rPr>
        <w:t>principal</w:t>
      </w:r>
      <w:r w:rsidRPr="001007B4">
        <w:rPr>
          <w:rFonts w:asciiTheme="minorHAnsi" w:hAnsiTheme="minorHAnsi" w:cstheme="minorHAnsi"/>
          <w:color w:val="333333"/>
        </w:rPr>
        <w:t xml:space="preserve"> is nice”, on a 4-point </w:t>
      </w:r>
      <w:proofErr w:type="spellStart"/>
      <w:r w:rsidRPr="001007B4">
        <w:rPr>
          <w:rFonts w:asciiTheme="minorHAnsi" w:hAnsiTheme="minorHAnsi" w:cstheme="minorHAnsi"/>
          <w:color w:val="333333"/>
        </w:rPr>
        <w:t>likert</w:t>
      </w:r>
      <w:proofErr w:type="spellEnd"/>
      <w:r w:rsidRPr="001007B4">
        <w:rPr>
          <w:rFonts w:asciiTheme="minorHAnsi" w:hAnsiTheme="minorHAnsi" w:cstheme="minorHAnsi"/>
          <w:color w:val="333333"/>
        </w:rPr>
        <w:t xml:space="preserve"> scale, 1=low, 4=high</w:t>
      </w:r>
    </w:p>
    <w:p w14:paraId="2A314A68" w14:textId="4E3633A8" w:rsidR="001007B4" w:rsidRPr="001007B4" w:rsidRDefault="001007B4" w:rsidP="001007B4">
      <w:pPr>
        <w:pStyle w:val="Heading2"/>
      </w:pPr>
      <w:r w:rsidRPr="001007B4">
        <w:t>College GPA data</w:t>
      </w:r>
      <w:r w:rsidR="00506457">
        <w:t xml:space="preserve"> (gpa.csv</w:t>
      </w:r>
      <w:r w:rsidR="00275EB1">
        <w:t xml:space="preserve"> and gpa_above.csv</w:t>
      </w:r>
      <w:r w:rsidR="00506457">
        <w:t>)</w:t>
      </w:r>
    </w:p>
    <w:p w14:paraId="753E4190" w14:textId="77777777" w:rsidR="001007B4" w:rsidRPr="001007B4" w:rsidRDefault="001007B4" w:rsidP="001007B4">
      <w:pPr>
        <w:rPr>
          <w:rFonts w:asciiTheme="minorHAnsi" w:hAnsiTheme="minorHAnsi" w:cstheme="minorHAnsi"/>
        </w:rPr>
      </w:pPr>
    </w:p>
    <w:p w14:paraId="0978E2F6" w14:textId="77777777" w:rsidR="00275EB1" w:rsidRDefault="001007B4" w:rsidP="001007B4">
      <w:pPr>
        <w:pStyle w:val="NormalWeb"/>
        <w:shd w:val="clear" w:color="auto" w:fill="FFFFFF"/>
        <w:spacing w:before="0" w:beforeAutospacing="0" w:after="150" w:afterAutospacing="0"/>
        <w:rPr>
          <w:rFonts w:asciiTheme="minorHAnsi" w:hAnsiTheme="minorHAnsi" w:cstheme="minorHAnsi"/>
          <w:color w:val="333333"/>
        </w:rPr>
      </w:pPr>
      <w:r w:rsidRPr="001007B4">
        <w:rPr>
          <w:rFonts w:asciiTheme="minorHAnsi" w:hAnsiTheme="minorHAnsi" w:cstheme="minorHAnsi"/>
          <w:color w:val="333333"/>
        </w:rPr>
        <w:t xml:space="preserve">The GPA data is a longitudinal dataset, where 200 college students were followed for six consecutive semesters. The data was simulated. Note that this dataset contains incomplete observations. </w:t>
      </w:r>
    </w:p>
    <w:p w14:paraId="40003A3F" w14:textId="129D0A88" w:rsidR="001007B4" w:rsidRPr="001007B4" w:rsidRDefault="00275EB1" w:rsidP="001007B4">
      <w:pPr>
        <w:pStyle w:val="NormalWeb"/>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For gpa.csv, k</w:t>
      </w:r>
      <w:r w:rsidR="001007B4" w:rsidRPr="001007B4">
        <w:rPr>
          <w:rFonts w:asciiTheme="minorHAnsi" w:hAnsiTheme="minorHAnsi" w:cstheme="minorHAnsi"/>
          <w:color w:val="333333"/>
        </w:rPr>
        <w:t>ey variables are</w:t>
      </w:r>
      <w:r>
        <w:rPr>
          <w:rFonts w:asciiTheme="minorHAnsi" w:hAnsiTheme="minorHAnsi" w:cstheme="minorHAnsi"/>
          <w:color w:val="333333"/>
        </w:rPr>
        <w:t>:</w:t>
      </w:r>
    </w:p>
    <w:p w14:paraId="63C751C9" w14:textId="77777777" w:rsidR="001007B4" w:rsidRPr="001007B4" w:rsidRDefault="001007B4" w:rsidP="001007B4">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stuid</w:t>
      </w:r>
      <w:proofErr w:type="spellEnd"/>
      <w:r w:rsidRPr="001007B4">
        <w:rPr>
          <w:rFonts w:asciiTheme="minorHAnsi" w:hAnsiTheme="minorHAnsi" w:cstheme="minorHAnsi"/>
          <w:color w:val="333333"/>
        </w:rPr>
        <w:t>, student identification number</w:t>
      </w:r>
    </w:p>
    <w:p w14:paraId="7099701F" w14:textId="77777777" w:rsidR="001007B4" w:rsidRPr="001007B4" w:rsidRDefault="001007B4" w:rsidP="001007B4">
      <w:pPr>
        <w:numPr>
          <w:ilvl w:val="0"/>
          <w:numId w:val="6"/>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time, a factor variable indexing the six consecutive semesters</w:t>
      </w:r>
    </w:p>
    <w:p w14:paraId="496F48E0" w14:textId="6DF34AB6" w:rsidR="001007B4" w:rsidRDefault="001007B4" w:rsidP="001007B4">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gpa</w:t>
      </w:r>
      <w:proofErr w:type="spellEnd"/>
      <w:r w:rsidRPr="001007B4">
        <w:rPr>
          <w:rFonts w:asciiTheme="minorHAnsi" w:hAnsiTheme="minorHAnsi" w:cstheme="minorHAnsi"/>
          <w:color w:val="333333"/>
        </w:rPr>
        <w:t xml:space="preserve">, student’s GPA </w:t>
      </w:r>
      <w:r w:rsidR="00275EB1">
        <w:rPr>
          <w:rFonts w:asciiTheme="minorHAnsi" w:hAnsiTheme="minorHAnsi" w:cstheme="minorHAnsi"/>
          <w:color w:val="333333"/>
        </w:rPr>
        <w:t>at the end of semester</w:t>
      </w:r>
    </w:p>
    <w:p w14:paraId="68EDE48B" w14:textId="77777777" w:rsidR="001007B4" w:rsidRPr="001007B4" w:rsidRDefault="001007B4" w:rsidP="001007B4">
      <w:pPr>
        <w:numPr>
          <w:ilvl w:val="0"/>
          <w:numId w:val="6"/>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female, coded one for female students and zero for male</w:t>
      </w:r>
    </w:p>
    <w:p w14:paraId="0965A6C1" w14:textId="0FFCB6A7" w:rsidR="001007B4" w:rsidRDefault="001007B4" w:rsidP="001007B4">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hsgpa</w:t>
      </w:r>
      <w:proofErr w:type="spellEnd"/>
      <w:r w:rsidRPr="001007B4">
        <w:rPr>
          <w:rFonts w:asciiTheme="minorHAnsi" w:hAnsiTheme="minorHAnsi" w:cstheme="minorHAnsi"/>
          <w:color w:val="333333"/>
        </w:rPr>
        <w:t>, high school GPA</w:t>
      </w:r>
    </w:p>
    <w:p w14:paraId="7E2592D7" w14:textId="63750273" w:rsidR="00275EB1" w:rsidRPr="001007B4" w:rsidRDefault="00275EB1" w:rsidP="00275EB1">
      <w:pPr>
        <w:pStyle w:val="NormalWeb"/>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For gpa</w:t>
      </w:r>
      <w:r>
        <w:rPr>
          <w:rFonts w:asciiTheme="minorHAnsi" w:hAnsiTheme="minorHAnsi" w:cstheme="minorHAnsi"/>
          <w:color w:val="333333"/>
        </w:rPr>
        <w:t>_above</w:t>
      </w:r>
      <w:r>
        <w:rPr>
          <w:rFonts w:asciiTheme="minorHAnsi" w:hAnsiTheme="minorHAnsi" w:cstheme="minorHAnsi"/>
          <w:color w:val="333333"/>
        </w:rPr>
        <w:t>.csv, k</w:t>
      </w:r>
      <w:r w:rsidRPr="001007B4">
        <w:rPr>
          <w:rFonts w:asciiTheme="minorHAnsi" w:hAnsiTheme="minorHAnsi" w:cstheme="minorHAnsi"/>
          <w:color w:val="333333"/>
        </w:rPr>
        <w:t>ey variables are</w:t>
      </w:r>
      <w:r>
        <w:rPr>
          <w:rFonts w:asciiTheme="minorHAnsi" w:hAnsiTheme="minorHAnsi" w:cstheme="minorHAnsi"/>
          <w:color w:val="333333"/>
        </w:rPr>
        <w:t>:</w:t>
      </w:r>
    </w:p>
    <w:p w14:paraId="027F3008" w14:textId="77777777" w:rsidR="00275EB1" w:rsidRPr="001007B4" w:rsidRDefault="00275EB1" w:rsidP="00275EB1">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stuid</w:t>
      </w:r>
      <w:proofErr w:type="spellEnd"/>
      <w:r w:rsidRPr="001007B4">
        <w:rPr>
          <w:rFonts w:asciiTheme="minorHAnsi" w:hAnsiTheme="minorHAnsi" w:cstheme="minorHAnsi"/>
          <w:color w:val="333333"/>
        </w:rPr>
        <w:t>, student identification number</w:t>
      </w:r>
    </w:p>
    <w:p w14:paraId="731E4E8F" w14:textId="77777777" w:rsidR="00275EB1" w:rsidRPr="001007B4" w:rsidRDefault="00275EB1" w:rsidP="00275EB1">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Pr>
          <w:rFonts w:asciiTheme="minorHAnsi" w:hAnsiTheme="minorHAnsi" w:cstheme="minorHAnsi"/>
          <w:color w:val="333333"/>
        </w:rPr>
        <w:t>gpa_above</w:t>
      </w:r>
      <w:proofErr w:type="spellEnd"/>
      <w:r>
        <w:rPr>
          <w:rFonts w:asciiTheme="minorHAnsi" w:hAnsiTheme="minorHAnsi" w:cstheme="minorHAnsi"/>
          <w:color w:val="333333"/>
        </w:rPr>
        <w:t>, a binary variable coded one for students whose overall college GPA was above 3.0 and zero otherwise</w:t>
      </w:r>
    </w:p>
    <w:p w14:paraId="062A6ADA" w14:textId="77777777" w:rsidR="00275EB1" w:rsidRPr="001007B4" w:rsidRDefault="00275EB1" w:rsidP="00275EB1">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female, coded</w:t>
      </w:r>
      <w:proofErr w:type="spellEnd"/>
      <w:r w:rsidRPr="001007B4">
        <w:rPr>
          <w:rFonts w:asciiTheme="minorHAnsi" w:hAnsiTheme="minorHAnsi" w:cstheme="minorHAnsi"/>
          <w:color w:val="333333"/>
        </w:rPr>
        <w:t xml:space="preserve"> one for female students and zero for male</w:t>
      </w:r>
    </w:p>
    <w:p w14:paraId="6CF7EBFF" w14:textId="2D643352" w:rsidR="00275EB1" w:rsidRPr="00F332B2" w:rsidRDefault="00275EB1" w:rsidP="00275EB1">
      <w:pPr>
        <w:numPr>
          <w:ilvl w:val="0"/>
          <w:numId w:val="6"/>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hsgpa</w:t>
      </w:r>
      <w:proofErr w:type="spellEnd"/>
      <w:r w:rsidRPr="001007B4">
        <w:rPr>
          <w:rFonts w:asciiTheme="minorHAnsi" w:hAnsiTheme="minorHAnsi" w:cstheme="minorHAnsi"/>
          <w:color w:val="333333"/>
        </w:rPr>
        <w:t>, high school GPA</w:t>
      </w:r>
    </w:p>
    <w:p w14:paraId="1BBAF010" w14:textId="2C1AE97E" w:rsidR="001007B4" w:rsidRPr="001007B4" w:rsidRDefault="001007B4" w:rsidP="001007B4">
      <w:pPr>
        <w:pStyle w:val="Heading2"/>
      </w:pPr>
      <w:r w:rsidRPr="001007B4">
        <w:t>GALO data</w:t>
      </w:r>
      <w:r w:rsidR="00454BF5">
        <w:t xml:space="preserve"> (</w:t>
      </w:r>
      <w:r w:rsidR="0042449D">
        <w:t xml:space="preserve">particularly </w:t>
      </w:r>
      <w:r w:rsidR="00454BF5">
        <w:t>for Unit 5</w:t>
      </w:r>
      <w:r w:rsidR="0042449D">
        <w:t xml:space="preserve"> dealing with missing data</w:t>
      </w:r>
      <w:r w:rsidR="00454BF5">
        <w:t>)</w:t>
      </w:r>
      <w:r w:rsidR="00506457">
        <w:t xml:space="preserve"> (galo.csv)</w:t>
      </w:r>
    </w:p>
    <w:p w14:paraId="533D1621" w14:textId="77777777" w:rsidR="001007B4" w:rsidRPr="001007B4" w:rsidRDefault="001007B4" w:rsidP="001007B4">
      <w:pPr>
        <w:rPr>
          <w:rFonts w:asciiTheme="minorHAnsi" w:hAnsiTheme="minorHAnsi" w:cstheme="minorHAnsi"/>
        </w:rPr>
      </w:pPr>
    </w:p>
    <w:p w14:paraId="6D986742" w14:textId="77777777" w:rsidR="001007B4" w:rsidRPr="001007B4" w:rsidRDefault="001007B4" w:rsidP="001007B4">
      <w:pPr>
        <w:pStyle w:val="NormalWeb"/>
        <w:shd w:val="clear" w:color="auto" w:fill="FFFFFF"/>
        <w:spacing w:before="0" w:beforeAutospacing="0" w:after="150" w:afterAutospacing="0"/>
        <w:rPr>
          <w:rFonts w:asciiTheme="minorHAnsi" w:hAnsiTheme="minorHAnsi" w:cstheme="minorHAnsi"/>
          <w:color w:val="333333"/>
        </w:rPr>
      </w:pPr>
      <w:r w:rsidRPr="001007B4">
        <w:rPr>
          <w:rFonts w:asciiTheme="minorHAnsi" w:hAnsiTheme="minorHAnsi" w:cstheme="minorHAnsi"/>
          <w:color w:val="333333"/>
        </w:rPr>
        <w:t xml:space="preserve">The GALO data is originally described by </w:t>
      </w:r>
      <w:proofErr w:type="spellStart"/>
      <w:r w:rsidRPr="001007B4">
        <w:rPr>
          <w:rFonts w:asciiTheme="minorHAnsi" w:hAnsiTheme="minorHAnsi" w:cstheme="minorHAnsi"/>
          <w:color w:val="333333"/>
        </w:rPr>
        <w:t>Peschar</w:t>
      </w:r>
      <w:proofErr w:type="spellEnd"/>
      <w:r w:rsidRPr="001007B4">
        <w:rPr>
          <w:rFonts w:asciiTheme="minorHAnsi" w:hAnsiTheme="minorHAnsi" w:cstheme="minorHAnsi"/>
          <w:color w:val="333333"/>
        </w:rPr>
        <w:t xml:space="preserve"> (1975) and analyzed by </w:t>
      </w:r>
      <w:proofErr w:type="spellStart"/>
      <w:r w:rsidRPr="001007B4">
        <w:rPr>
          <w:rFonts w:asciiTheme="minorHAnsi" w:hAnsiTheme="minorHAnsi" w:cstheme="minorHAnsi"/>
          <w:color w:val="333333"/>
        </w:rPr>
        <w:t>Dronkers</w:t>
      </w:r>
      <w:proofErr w:type="spellEnd"/>
      <w:r w:rsidRPr="001007B4">
        <w:rPr>
          <w:rFonts w:asciiTheme="minorHAnsi" w:hAnsiTheme="minorHAnsi" w:cstheme="minorHAnsi"/>
          <w:color w:val="333333"/>
        </w:rPr>
        <w:t xml:space="preserve"> and </w:t>
      </w:r>
      <w:proofErr w:type="spellStart"/>
      <w:r w:rsidRPr="001007B4">
        <w:rPr>
          <w:rFonts w:asciiTheme="minorHAnsi" w:hAnsiTheme="minorHAnsi" w:cstheme="minorHAnsi"/>
          <w:color w:val="333333"/>
        </w:rPr>
        <w:t>Schijf</w:t>
      </w:r>
      <w:proofErr w:type="spellEnd"/>
      <w:r w:rsidRPr="001007B4">
        <w:rPr>
          <w:rFonts w:asciiTheme="minorHAnsi" w:hAnsiTheme="minorHAnsi" w:cstheme="minorHAnsi"/>
          <w:color w:val="333333"/>
        </w:rPr>
        <w:t xml:space="preserve"> (1994) among other studies. The 1959 cohort consists of 1270 school children in the sixth grade of 37 elementary schools in the city of Groningen (Netherlands).</w:t>
      </w:r>
    </w:p>
    <w:p w14:paraId="0ABE39D4" w14:textId="77777777" w:rsidR="001007B4" w:rsidRPr="001007B4" w:rsidRDefault="001007B4" w:rsidP="001007B4">
      <w:pPr>
        <w:pStyle w:val="NormalWeb"/>
        <w:shd w:val="clear" w:color="auto" w:fill="FFFFFF"/>
        <w:spacing w:before="0" w:beforeAutospacing="0" w:after="150" w:afterAutospacing="0"/>
        <w:rPr>
          <w:rFonts w:asciiTheme="minorHAnsi" w:hAnsiTheme="minorHAnsi" w:cstheme="minorHAnsi"/>
          <w:color w:val="333333"/>
        </w:rPr>
      </w:pPr>
      <w:r w:rsidRPr="001007B4">
        <w:rPr>
          <w:rFonts w:asciiTheme="minorHAnsi" w:hAnsiTheme="minorHAnsi" w:cstheme="minorHAnsi"/>
          <w:color w:val="333333"/>
        </w:rPr>
        <w:t>Variables are detailed below.</w:t>
      </w:r>
    </w:p>
    <w:p w14:paraId="3EBD2E64" w14:textId="77777777" w:rsidR="001007B4" w:rsidRPr="001007B4" w:rsidRDefault="001007B4" w:rsidP="001007B4">
      <w:pPr>
        <w:numPr>
          <w:ilvl w:val="0"/>
          <w:numId w:val="7"/>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schid</w:t>
      </w:r>
      <w:proofErr w:type="spellEnd"/>
      <w:r w:rsidRPr="001007B4">
        <w:rPr>
          <w:rFonts w:asciiTheme="minorHAnsi" w:hAnsiTheme="minorHAnsi" w:cstheme="minorHAnsi"/>
          <w:color w:val="333333"/>
        </w:rPr>
        <w:t>, school identification number</w:t>
      </w:r>
    </w:p>
    <w:p w14:paraId="7AA98AE4" w14:textId="77777777" w:rsidR="001007B4" w:rsidRPr="001007B4" w:rsidRDefault="001007B4" w:rsidP="001007B4">
      <w:pPr>
        <w:numPr>
          <w:ilvl w:val="0"/>
          <w:numId w:val="7"/>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female, coded one for female students and zero for male</w:t>
      </w:r>
    </w:p>
    <w:p w14:paraId="5542417E" w14:textId="77777777" w:rsidR="001007B4" w:rsidRPr="001007B4" w:rsidRDefault="001007B4" w:rsidP="001007B4">
      <w:pPr>
        <w:numPr>
          <w:ilvl w:val="0"/>
          <w:numId w:val="7"/>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galo</w:t>
      </w:r>
      <w:proofErr w:type="spellEnd"/>
      <w:r w:rsidRPr="001007B4">
        <w:rPr>
          <w:rFonts w:asciiTheme="minorHAnsi" w:hAnsiTheme="minorHAnsi" w:cstheme="minorHAnsi"/>
          <w:color w:val="333333"/>
        </w:rPr>
        <w:t>, student’s achievement score on GALO test</w:t>
      </w:r>
    </w:p>
    <w:p w14:paraId="69D75191" w14:textId="77777777" w:rsidR="001007B4" w:rsidRPr="001007B4" w:rsidRDefault="001007B4" w:rsidP="001007B4">
      <w:pPr>
        <w:numPr>
          <w:ilvl w:val="0"/>
          <w:numId w:val="7"/>
        </w:numPr>
        <w:shd w:val="clear" w:color="auto" w:fill="FFFFFF"/>
        <w:spacing w:before="100" w:beforeAutospacing="1" w:after="100" w:afterAutospacing="1"/>
        <w:rPr>
          <w:rFonts w:asciiTheme="minorHAnsi" w:hAnsiTheme="minorHAnsi" w:cstheme="minorHAnsi"/>
          <w:color w:val="333333"/>
        </w:rPr>
      </w:pPr>
      <w:r w:rsidRPr="001007B4">
        <w:rPr>
          <w:rFonts w:asciiTheme="minorHAnsi" w:hAnsiTheme="minorHAnsi" w:cstheme="minorHAnsi"/>
          <w:color w:val="333333"/>
        </w:rPr>
        <w:t>advice, teacher’s advice about secondary education; 0</w:t>
      </w:r>
      <w:proofErr w:type="gramStart"/>
      <w:r w:rsidRPr="001007B4">
        <w:rPr>
          <w:rFonts w:asciiTheme="minorHAnsi" w:hAnsiTheme="minorHAnsi" w:cstheme="minorHAnsi"/>
          <w:color w:val="333333"/>
        </w:rPr>
        <w:t>=“</w:t>
      </w:r>
      <w:proofErr w:type="gramEnd"/>
      <w:r w:rsidRPr="001007B4">
        <w:rPr>
          <w:rFonts w:asciiTheme="minorHAnsi" w:hAnsiTheme="minorHAnsi" w:cstheme="minorHAnsi"/>
          <w:color w:val="333333"/>
        </w:rPr>
        <w:t>no subsequent school”, 1=“lowest”,…, 6=“highest”, 999=“missing”</w:t>
      </w:r>
    </w:p>
    <w:p w14:paraId="04611CDE" w14:textId="77777777" w:rsidR="001007B4" w:rsidRPr="001007B4" w:rsidRDefault="001007B4" w:rsidP="001007B4">
      <w:pPr>
        <w:numPr>
          <w:ilvl w:val="0"/>
          <w:numId w:val="7"/>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medu</w:t>
      </w:r>
      <w:proofErr w:type="spellEnd"/>
      <w:r w:rsidRPr="001007B4">
        <w:rPr>
          <w:rFonts w:asciiTheme="minorHAnsi" w:hAnsiTheme="minorHAnsi" w:cstheme="minorHAnsi"/>
          <w:color w:val="333333"/>
        </w:rPr>
        <w:t>, mother’s highest education; 1</w:t>
      </w:r>
      <w:proofErr w:type="gramStart"/>
      <w:r w:rsidRPr="001007B4">
        <w:rPr>
          <w:rFonts w:asciiTheme="minorHAnsi" w:hAnsiTheme="minorHAnsi" w:cstheme="minorHAnsi"/>
          <w:color w:val="333333"/>
        </w:rPr>
        <w:t>=“</w:t>
      </w:r>
      <w:proofErr w:type="gramEnd"/>
      <w:r w:rsidRPr="001007B4">
        <w:rPr>
          <w:rFonts w:asciiTheme="minorHAnsi" w:hAnsiTheme="minorHAnsi" w:cstheme="minorHAnsi"/>
          <w:color w:val="333333"/>
        </w:rPr>
        <w:t>lowest”,…, 9=“highest”, 999=“missing”</w:t>
      </w:r>
    </w:p>
    <w:p w14:paraId="1C9D276C" w14:textId="77777777" w:rsidR="001007B4" w:rsidRPr="001007B4" w:rsidRDefault="001007B4" w:rsidP="001007B4">
      <w:pPr>
        <w:numPr>
          <w:ilvl w:val="0"/>
          <w:numId w:val="7"/>
        </w:numPr>
        <w:shd w:val="clear" w:color="auto" w:fill="FFFFFF"/>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color w:val="333333"/>
        </w:rPr>
        <w:t>fedu</w:t>
      </w:r>
      <w:proofErr w:type="spellEnd"/>
      <w:r w:rsidRPr="001007B4">
        <w:rPr>
          <w:rFonts w:asciiTheme="minorHAnsi" w:hAnsiTheme="minorHAnsi" w:cstheme="minorHAnsi"/>
          <w:color w:val="333333"/>
        </w:rPr>
        <w:t>, father’s highest education; 1</w:t>
      </w:r>
      <w:proofErr w:type="gramStart"/>
      <w:r w:rsidRPr="001007B4">
        <w:rPr>
          <w:rFonts w:asciiTheme="minorHAnsi" w:hAnsiTheme="minorHAnsi" w:cstheme="minorHAnsi"/>
          <w:color w:val="333333"/>
        </w:rPr>
        <w:t>=“</w:t>
      </w:r>
      <w:proofErr w:type="gramEnd"/>
      <w:r w:rsidRPr="001007B4">
        <w:rPr>
          <w:rFonts w:asciiTheme="minorHAnsi" w:hAnsiTheme="minorHAnsi" w:cstheme="minorHAnsi"/>
          <w:color w:val="333333"/>
        </w:rPr>
        <w:t>lowest”,…, 9=“highest”, 999=“missing”</w:t>
      </w:r>
    </w:p>
    <w:p w14:paraId="126B3B37" w14:textId="6A4B6B96" w:rsidR="001007B4" w:rsidRPr="001007B4" w:rsidRDefault="001007B4" w:rsidP="00037BD8">
      <w:pPr>
        <w:numPr>
          <w:ilvl w:val="0"/>
          <w:numId w:val="7"/>
        </w:numPr>
        <w:shd w:val="clear" w:color="auto" w:fill="FFFFFF"/>
        <w:spacing w:before="100" w:beforeAutospacing="1" w:after="100" w:afterAutospacing="1"/>
        <w:rPr>
          <w:rStyle w:val="Heading2Char"/>
          <w:rFonts w:asciiTheme="minorHAnsi" w:eastAsia="Times New Roman" w:hAnsiTheme="minorHAnsi" w:cstheme="minorHAnsi"/>
          <w:color w:val="333333"/>
          <w:sz w:val="24"/>
          <w:szCs w:val="24"/>
        </w:rPr>
      </w:pPr>
      <w:proofErr w:type="spellStart"/>
      <w:r w:rsidRPr="001007B4">
        <w:rPr>
          <w:rFonts w:asciiTheme="minorHAnsi" w:hAnsiTheme="minorHAnsi" w:cstheme="minorHAnsi"/>
          <w:color w:val="333333"/>
        </w:rPr>
        <w:t>focc</w:t>
      </w:r>
      <w:proofErr w:type="spellEnd"/>
      <w:r w:rsidRPr="001007B4">
        <w:rPr>
          <w:rFonts w:asciiTheme="minorHAnsi" w:hAnsiTheme="minorHAnsi" w:cstheme="minorHAnsi"/>
          <w:color w:val="333333"/>
        </w:rPr>
        <w:t>, father’s occupational status; 1</w:t>
      </w:r>
      <w:proofErr w:type="gramStart"/>
      <w:r w:rsidRPr="001007B4">
        <w:rPr>
          <w:rFonts w:asciiTheme="minorHAnsi" w:hAnsiTheme="minorHAnsi" w:cstheme="minorHAnsi"/>
          <w:color w:val="333333"/>
        </w:rPr>
        <w:t>=“</w:t>
      </w:r>
      <w:proofErr w:type="gramEnd"/>
      <w:r w:rsidRPr="001007B4">
        <w:rPr>
          <w:rFonts w:asciiTheme="minorHAnsi" w:hAnsiTheme="minorHAnsi" w:cstheme="minorHAnsi"/>
          <w:color w:val="333333"/>
        </w:rPr>
        <w:t>lowest”,…, 6=“highest”, 9=“missing”</w:t>
      </w:r>
    </w:p>
    <w:p w14:paraId="0779ED56" w14:textId="2AF4F517" w:rsidR="00037BD8" w:rsidRPr="001007B4" w:rsidRDefault="00037BD8" w:rsidP="001007B4">
      <w:pPr>
        <w:pStyle w:val="Heading2"/>
      </w:pPr>
      <w:r w:rsidRPr="001007B4">
        <w:lastRenderedPageBreak/>
        <w:t>Binge Eating in Men</w:t>
      </w:r>
    </w:p>
    <w:p w14:paraId="1EBA0379" w14:textId="612403BC" w:rsidR="00037BD8" w:rsidRPr="001007B4" w:rsidRDefault="00037BD8">
      <w:pPr>
        <w:rPr>
          <w:rFonts w:asciiTheme="minorHAnsi" w:hAnsiTheme="minorHAnsi" w:cstheme="minorHAnsi"/>
        </w:rPr>
      </w:pPr>
    </w:p>
    <w:p w14:paraId="5D6A8472" w14:textId="7887F1DA" w:rsidR="00037BD8" w:rsidRPr="001007B4" w:rsidRDefault="00037BD8" w:rsidP="00037BD8">
      <w:pPr>
        <w:rPr>
          <w:rFonts w:asciiTheme="minorHAnsi" w:hAnsiTheme="minorHAnsi" w:cstheme="minorHAnsi"/>
          <w:color w:val="212121"/>
          <w:shd w:val="clear" w:color="auto" w:fill="FFFFFF"/>
        </w:rPr>
      </w:pPr>
      <w:r w:rsidRPr="001007B4">
        <w:rPr>
          <w:rFonts w:asciiTheme="minorHAnsi" w:hAnsiTheme="minorHAnsi" w:cstheme="minorHAnsi"/>
        </w:rPr>
        <w:t>This dataset is the original dataset used in a study conducted by Dr. Nichole Kelly and her colleague (</w:t>
      </w:r>
      <w:hyperlink r:id="rId6" w:history="1">
        <w:r w:rsidRPr="001007B4">
          <w:rPr>
            <w:rStyle w:val="Hyperlink"/>
            <w:rFonts w:asciiTheme="minorHAnsi" w:hAnsiTheme="minorHAnsi" w:cstheme="minorHAnsi"/>
          </w:rPr>
          <w:t>Kelly, Cotter, &amp; Guidinger, 2018</w:t>
        </w:r>
      </w:hyperlink>
      <w:r w:rsidRPr="001007B4">
        <w:rPr>
          <w:rFonts w:asciiTheme="minorHAnsi" w:hAnsiTheme="minorHAnsi" w:cstheme="minorHAnsi"/>
        </w:rPr>
        <w:t xml:space="preserve">). They </w:t>
      </w:r>
      <w:r w:rsidRPr="001007B4">
        <w:rPr>
          <w:rFonts w:asciiTheme="minorHAnsi" w:hAnsiTheme="minorHAnsi" w:cstheme="minorHAnsi"/>
          <w:color w:val="212121"/>
          <w:shd w:val="clear" w:color="auto" w:fill="FFFFFF"/>
        </w:rPr>
        <w:t>examined whether perceived overeating patterns were uniquely associated with eating- and weight-related comorbidities and found that young men who engage in both subjective (SBEs) and objective binge eating episodes (OBEs)</w:t>
      </w:r>
      <w:r w:rsidRPr="001007B4">
        <w:rPr>
          <w:rFonts w:asciiTheme="minorHAnsi" w:hAnsiTheme="minorHAnsi" w:cstheme="minorHAnsi"/>
        </w:rPr>
        <w:t xml:space="preserve"> </w:t>
      </w:r>
      <w:r w:rsidRPr="001007B4">
        <w:rPr>
          <w:rFonts w:asciiTheme="minorHAnsi" w:hAnsiTheme="minorHAnsi" w:cstheme="minorHAnsi"/>
          <w:color w:val="212121"/>
          <w:shd w:val="clear" w:color="auto" w:fill="FFFFFF"/>
        </w:rPr>
        <w:t>may be at the highest risk for chronic disease and psychological concerns.</w:t>
      </w:r>
    </w:p>
    <w:p w14:paraId="187C4129" w14:textId="71DC7571" w:rsidR="00037BD8" w:rsidRPr="001007B4" w:rsidRDefault="00037BD8" w:rsidP="00037BD8">
      <w:pPr>
        <w:rPr>
          <w:rFonts w:asciiTheme="minorHAnsi" w:hAnsiTheme="minorHAnsi" w:cstheme="minorHAnsi"/>
          <w:color w:val="212121"/>
          <w:shd w:val="clear" w:color="auto" w:fill="FFFFFF"/>
        </w:rPr>
      </w:pPr>
    </w:p>
    <w:p w14:paraId="31926F0E" w14:textId="6E4614B9" w:rsidR="00037BD8" w:rsidRPr="001007B4" w:rsidRDefault="00037BD8" w:rsidP="00037BD8">
      <w:pPr>
        <w:rPr>
          <w:rFonts w:asciiTheme="minorHAnsi" w:hAnsiTheme="minorHAnsi" w:cstheme="minorHAnsi"/>
        </w:rPr>
      </w:pPr>
      <w:r w:rsidRPr="001007B4">
        <w:rPr>
          <w:rFonts w:asciiTheme="minorHAnsi" w:hAnsiTheme="minorHAnsi" w:cstheme="minorHAnsi"/>
          <w:color w:val="212121"/>
          <w:shd w:val="clear" w:color="auto" w:fill="FFFFFF"/>
        </w:rPr>
        <w:t xml:space="preserve">Analytic Sample. This dataset is individual-level data for 1114 young men (age 18-30), who were recruited from across US and finished the survey through a link sent via email. The data contains 343 incomplete observations.  </w:t>
      </w:r>
    </w:p>
    <w:p w14:paraId="4DE66741" w14:textId="1B13F9B0" w:rsidR="00037BD8" w:rsidRPr="001007B4" w:rsidRDefault="00037BD8">
      <w:pPr>
        <w:rPr>
          <w:rFonts w:asciiTheme="minorHAnsi" w:hAnsiTheme="minorHAnsi" w:cstheme="minorHAnsi"/>
        </w:rPr>
      </w:pPr>
    </w:p>
    <w:p w14:paraId="0657B2B4" w14:textId="6A6B45C3" w:rsidR="00037BD8" w:rsidRPr="001007B4" w:rsidRDefault="00037BD8" w:rsidP="00037BD8">
      <w:pPr>
        <w:spacing w:after="158"/>
        <w:rPr>
          <w:rFonts w:asciiTheme="minorHAnsi" w:hAnsiTheme="minorHAnsi" w:cstheme="minorHAnsi"/>
          <w:color w:val="333333"/>
        </w:rPr>
      </w:pPr>
      <w:r w:rsidRPr="001007B4">
        <w:rPr>
          <w:rFonts w:asciiTheme="minorHAnsi" w:hAnsiTheme="minorHAnsi" w:cstheme="minorHAnsi"/>
          <w:color w:val="333333"/>
        </w:rPr>
        <w:t>The data set contains 13 variables, detailed below.</w:t>
      </w:r>
    </w:p>
    <w:p w14:paraId="694776E1" w14:textId="44396419"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none</w:t>
      </w:r>
      <w:r w:rsidRPr="001007B4">
        <w:rPr>
          <w:rFonts w:asciiTheme="minorHAnsi" w:hAnsiTheme="minorHAnsi" w:cstheme="minorHAnsi"/>
          <w:color w:val="333333"/>
        </w:rPr>
        <w:t xml:space="preserve">, dummy variable coded 1 for individuals without disordered eating </w:t>
      </w:r>
    </w:p>
    <w:p w14:paraId="5DD823E1" w14:textId="23CCDB55"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oe</w:t>
      </w:r>
      <w:proofErr w:type="spellEnd"/>
      <w:r w:rsidRPr="001007B4">
        <w:rPr>
          <w:rFonts w:asciiTheme="minorHAnsi" w:hAnsiTheme="minorHAnsi" w:cstheme="minorHAnsi"/>
          <w:color w:val="333333"/>
        </w:rPr>
        <w:t>, dummy variable coded 1 for individuals with OE(s) only; note: OE means overeating without presence of loss of control</w:t>
      </w:r>
    </w:p>
    <w:p w14:paraId="77F4B8E2" w14:textId="08134A44"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sbe</w:t>
      </w:r>
      <w:proofErr w:type="spellEnd"/>
      <w:r w:rsidRPr="001007B4">
        <w:rPr>
          <w:rFonts w:asciiTheme="minorHAnsi" w:hAnsiTheme="minorHAnsi" w:cstheme="minorHAnsi"/>
          <w:color w:val="333333"/>
        </w:rPr>
        <w:t xml:space="preserve">, dummy variable coded 1 for individuals with SBE(s) only; note: SBE means subjective binge eating </w:t>
      </w:r>
    </w:p>
    <w:p w14:paraId="01B76B7C" w14:textId="36CC1CB6"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obe</w:t>
      </w:r>
      <w:proofErr w:type="spellEnd"/>
      <w:r w:rsidRPr="001007B4">
        <w:rPr>
          <w:rFonts w:asciiTheme="minorHAnsi" w:hAnsiTheme="minorHAnsi" w:cstheme="minorHAnsi"/>
          <w:color w:val="333333"/>
        </w:rPr>
        <w:t>, dummy variable coded 1 for individuals with OBE(s) only; note: OBE means objective binge eating</w:t>
      </w:r>
    </w:p>
    <w:p w14:paraId="35BF207E" w14:textId="6D8274D5"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sobe</w:t>
      </w:r>
      <w:proofErr w:type="spellEnd"/>
      <w:r w:rsidRPr="001007B4">
        <w:rPr>
          <w:rFonts w:asciiTheme="minorHAnsi" w:hAnsiTheme="minorHAnsi" w:cstheme="minorHAnsi"/>
          <w:color w:val="333333"/>
        </w:rPr>
        <w:t>, dummy variable coded 1 for individuals with both OBE(s) and SBE (s)</w:t>
      </w:r>
    </w:p>
    <w:p w14:paraId="7174795F" w14:textId="5E41C326"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dietary</w:t>
      </w:r>
      <w:r w:rsidRPr="001007B4">
        <w:rPr>
          <w:rFonts w:asciiTheme="minorHAnsi" w:hAnsiTheme="minorHAnsi" w:cstheme="minorHAnsi"/>
          <w:color w:val="333333"/>
        </w:rPr>
        <w:t>, mean dietary restraint score (higher scores = higher restraint)</w:t>
      </w:r>
    </w:p>
    <w:p w14:paraId="1D56C68C" w14:textId="763E9A5C"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emotion</w:t>
      </w:r>
      <w:r w:rsidRPr="001007B4">
        <w:rPr>
          <w:rFonts w:asciiTheme="minorHAnsi" w:hAnsiTheme="minorHAnsi" w:cstheme="minorHAnsi"/>
          <w:color w:val="333333"/>
        </w:rPr>
        <w:t>, measure of emotion dysregulation problems (higher scores = more problems)</w:t>
      </w:r>
    </w:p>
    <w:p w14:paraId="09AC6788" w14:textId="7DE5264A"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image</w:t>
      </w:r>
      <w:r w:rsidRPr="001007B4">
        <w:rPr>
          <w:rFonts w:asciiTheme="minorHAnsi" w:hAnsiTheme="minorHAnsi" w:cstheme="minorHAnsi"/>
          <w:color w:val="333333"/>
        </w:rPr>
        <w:t xml:space="preserve">, body image concern measure, higher = greater internalization of thin and muscular ideal </w:t>
      </w:r>
    </w:p>
    <w:p w14:paraId="6D6F5D4F" w14:textId="75A88A8C"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race</w:t>
      </w:r>
      <w:r w:rsidRPr="001007B4">
        <w:rPr>
          <w:rFonts w:asciiTheme="minorHAnsi" w:hAnsiTheme="minorHAnsi" w:cstheme="minorHAnsi"/>
          <w:color w:val="333333"/>
        </w:rPr>
        <w:t>, Racial/ethnic identity (four categories)</w:t>
      </w:r>
    </w:p>
    <w:p w14:paraId="576D5763" w14:textId="6A21FBE4"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bmi</w:t>
      </w:r>
      <w:proofErr w:type="spellEnd"/>
      <w:r w:rsidRPr="001007B4">
        <w:rPr>
          <w:rFonts w:asciiTheme="minorHAnsi" w:hAnsiTheme="minorHAnsi" w:cstheme="minorHAnsi"/>
          <w:i/>
          <w:iCs/>
          <w:color w:val="333333"/>
        </w:rPr>
        <w:t>, Body mass index (in kg/m-squared)</w:t>
      </w:r>
    </w:p>
    <w:p w14:paraId="7B19EFC8" w14:textId="0CC297A7"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age</w:t>
      </w:r>
    </w:p>
    <w:p w14:paraId="20408A95" w14:textId="10BD842D"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edu</w:t>
      </w:r>
      <w:proofErr w:type="spellEnd"/>
      <w:r w:rsidRPr="001007B4">
        <w:rPr>
          <w:rFonts w:asciiTheme="minorHAnsi" w:hAnsiTheme="minorHAnsi" w:cstheme="minorHAnsi"/>
          <w:i/>
          <w:iCs/>
          <w:color w:val="333333"/>
        </w:rPr>
        <w:t>, education group (nine categories)</w:t>
      </w:r>
    </w:p>
    <w:p w14:paraId="05FEED77" w14:textId="3C691B55" w:rsidR="00037BD8" w:rsidRPr="001007B4" w:rsidRDefault="00037BD8" w:rsidP="00037BD8">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employ</w:t>
      </w:r>
      <w:r w:rsidRPr="001007B4">
        <w:rPr>
          <w:rFonts w:asciiTheme="minorHAnsi" w:hAnsiTheme="minorHAnsi" w:cstheme="minorHAnsi"/>
          <w:color w:val="333333"/>
        </w:rPr>
        <w:t>, employment status (four categories)</w:t>
      </w:r>
    </w:p>
    <w:p w14:paraId="685E9CF1" w14:textId="20C3B625" w:rsidR="00037BD8" w:rsidRPr="001007B4" w:rsidRDefault="00037BD8" w:rsidP="001007B4">
      <w:pPr>
        <w:pStyle w:val="Heading2"/>
      </w:pPr>
      <w:r w:rsidRPr="001007B4">
        <w:t xml:space="preserve">CEPS </w:t>
      </w:r>
    </w:p>
    <w:p w14:paraId="62C4C017" w14:textId="60529A9D" w:rsidR="00037BD8" w:rsidRPr="001007B4" w:rsidRDefault="00037BD8">
      <w:pPr>
        <w:rPr>
          <w:rFonts w:asciiTheme="minorHAnsi" w:hAnsiTheme="minorHAnsi" w:cstheme="minorHAnsi"/>
        </w:rPr>
      </w:pPr>
    </w:p>
    <w:p w14:paraId="18BB69DF" w14:textId="77777777" w:rsidR="001007B4" w:rsidRPr="001007B4" w:rsidRDefault="00037BD8" w:rsidP="001007B4">
      <w:pPr>
        <w:rPr>
          <w:rFonts w:asciiTheme="minorHAnsi" w:hAnsiTheme="minorHAnsi" w:cstheme="minorHAnsi"/>
        </w:rPr>
      </w:pPr>
      <w:r w:rsidRPr="001007B4">
        <w:rPr>
          <w:rFonts w:asciiTheme="minorHAnsi" w:hAnsiTheme="minorHAnsi" w:cstheme="minorHAnsi"/>
        </w:rPr>
        <w:t xml:space="preserve">I have access </w:t>
      </w:r>
      <w:r w:rsidR="00106111" w:rsidRPr="001007B4">
        <w:rPr>
          <w:rFonts w:asciiTheme="minorHAnsi" w:hAnsiTheme="minorHAnsi" w:cstheme="minorHAnsi"/>
        </w:rPr>
        <w:t xml:space="preserve">to </w:t>
      </w:r>
      <w:r w:rsidRPr="001007B4">
        <w:rPr>
          <w:rFonts w:asciiTheme="minorHAnsi" w:hAnsiTheme="minorHAnsi" w:cstheme="minorHAnsi"/>
        </w:rPr>
        <w:t xml:space="preserve">and </w:t>
      </w:r>
      <w:r w:rsidR="00106111" w:rsidRPr="001007B4">
        <w:rPr>
          <w:rFonts w:asciiTheme="minorHAnsi" w:hAnsiTheme="minorHAnsi" w:cstheme="minorHAnsi"/>
        </w:rPr>
        <w:t>knowledge</w:t>
      </w:r>
      <w:r w:rsidRPr="001007B4">
        <w:rPr>
          <w:rFonts w:asciiTheme="minorHAnsi" w:hAnsiTheme="minorHAnsi" w:cstheme="minorHAnsi"/>
        </w:rPr>
        <w:t xml:space="preserve"> about </w:t>
      </w:r>
      <w:hyperlink r:id="rId7" w:history="1">
        <w:r w:rsidRPr="001007B4">
          <w:rPr>
            <w:rStyle w:val="Hyperlink"/>
            <w:rFonts w:asciiTheme="minorHAnsi" w:hAnsiTheme="minorHAnsi" w:cstheme="minorHAnsi"/>
          </w:rPr>
          <w:t>China Education Panel Survey (CEPS)</w:t>
        </w:r>
      </w:hyperlink>
      <w:r w:rsidRPr="001007B4">
        <w:rPr>
          <w:rFonts w:asciiTheme="minorHAnsi" w:hAnsiTheme="minorHAnsi" w:cstheme="minorHAnsi"/>
        </w:rPr>
        <w:t>, China’s nationally representative, longitudinal survey of middle school students. Two-year data on 9,449 students from the initial 7</w:t>
      </w:r>
      <w:r w:rsidRPr="001007B4">
        <w:rPr>
          <w:rFonts w:asciiTheme="minorHAnsi" w:hAnsiTheme="minorHAnsi" w:cstheme="minorHAnsi"/>
          <w:vertAlign w:val="superscript"/>
        </w:rPr>
        <w:t>th</w:t>
      </w:r>
      <w:r w:rsidRPr="001007B4">
        <w:rPr>
          <w:rFonts w:asciiTheme="minorHAnsi" w:hAnsiTheme="minorHAnsi" w:cstheme="minorHAnsi"/>
        </w:rPr>
        <w:t xml:space="preserve"> grade cohort is publicly available. CEPS data contains 400+ school-level, 200+ teacher-level, 300+ parent-level, and 400+ student-level variables. </w:t>
      </w:r>
      <w:r w:rsidR="00106111" w:rsidRPr="001007B4">
        <w:rPr>
          <w:rFonts w:asciiTheme="minorHAnsi" w:hAnsiTheme="minorHAnsi" w:cstheme="minorHAnsi"/>
        </w:rPr>
        <w:t>We could</w:t>
      </w:r>
      <w:r w:rsidRPr="001007B4">
        <w:rPr>
          <w:rFonts w:asciiTheme="minorHAnsi" w:hAnsiTheme="minorHAnsi" w:cstheme="minorHAnsi"/>
        </w:rPr>
        <w:t xml:space="preserve"> talk more about what we need for this class, including lectures and assignments, and I can work on the datasets accordingly. </w:t>
      </w:r>
    </w:p>
    <w:p w14:paraId="725ADFF1" w14:textId="77777777" w:rsidR="001007B4" w:rsidRPr="001007B4" w:rsidRDefault="001007B4" w:rsidP="001007B4">
      <w:pPr>
        <w:rPr>
          <w:rFonts w:asciiTheme="minorHAnsi" w:hAnsiTheme="minorHAnsi" w:cstheme="minorHAnsi"/>
        </w:rPr>
      </w:pPr>
    </w:p>
    <w:p w14:paraId="29E4A6A2" w14:textId="68D945E2" w:rsidR="00D01336" w:rsidRPr="001007B4" w:rsidRDefault="00037BD8" w:rsidP="001007B4">
      <w:pPr>
        <w:pStyle w:val="Heading1"/>
      </w:pPr>
      <w:r w:rsidRPr="001007B4">
        <w:t>Datasets used across EDUC 641 &amp; 643</w:t>
      </w:r>
    </w:p>
    <w:p w14:paraId="13F6196C" w14:textId="77777777" w:rsidR="00037BD8" w:rsidRPr="001007B4" w:rsidRDefault="00037BD8">
      <w:pPr>
        <w:rPr>
          <w:rFonts w:asciiTheme="minorHAnsi" w:hAnsiTheme="minorHAnsi" w:cstheme="minorHAnsi"/>
        </w:rPr>
      </w:pPr>
    </w:p>
    <w:p w14:paraId="7BE14F6F" w14:textId="4E1CE3F1" w:rsidR="00D01336" w:rsidRPr="001007B4" w:rsidRDefault="00D01336" w:rsidP="001007B4">
      <w:pPr>
        <w:pStyle w:val="Heading2"/>
      </w:pPr>
      <w:r w:rsidRPr="001007B4">
        <w:lastRenderedPageBreak/>
        <w:t>1. Teacher Professional Development Study (PDS)</w:t>
      </w:r>
    </w:p>
    <w:p w14:paraId="4561634D" w14:textId="77777777" w:rsidR="00037BD8" w:rsidRPr="001007B4" w:rsidRDefault="00037BD8" w:rsidP="00037BD8">
      <w:pPr>
        <w:rPr>
          <w:rFonts w:asciiTheme="minorHAnsi" w:hAnsiTheme="minorHAnsi" w:cstheme="minorHAnsi"/>
        </w:rPr>
      </w:pPr>
    </w:p>
    <w:p w14:paraId="0DB158FA" w14:textId="5E222E2F" w:rsidR="00D01336" w:rsidRPr="001007B4" w:rsidRDefault="00D01336" w:rsidP="00D01336">
      <w:pPr>
        <w:spacing w:after="158"/>
        <w:rPr>
          <w:rFonts w:asciiTheme="minorHAnsi" w:hAnsiTheme="minorHAnsi" w:cstheme="minorHAnsi"/>
          <w:color w:val="333333"/>
        </w:rPr>
      </w:pPr>
      <w:r w:rsidRPr="001007B4">
        <w:rPr>
          <w:rFonts w:asciiTheme="minorHAnsi" w:hAnsiTheme="minorHAnsi" w:cstheme="minorHAnsi"/>
          <w:color w:val="333333"/>
        </w:rPr>
        <w:t>Th</w:t>
      </w:r>
      <w:r w:rsidR="00037BD8" w:rsidRPr="001007B4">
        <w:rPr>
          <w:rFonts w:asciiTheme="minorHAnsi" w:hAnsiTheme="minorHAnsi" w:cstheme="minorHAnsi"/>
          <w:color w:val="333333"/>
        </w:rPr>
        <w:t>is</w:t>
      </w:r>
      <w:r w:rsidRPr="001007B4">
        <w:rPr>
          <w:rFonts w:asciiTheme="minorHAnsi" w:hAnsiTheme="minorHAnsi" w:cstheme="minorHAnsi"/>
          <w:color w:val="333333"/>
        </w:rPr>
        <w:t xml:space="preserve"> dataset </w:t>
      </w:r>
      <w:r w:rsidR="00037BD8" w:rsidRPr="001007B4">
        <w:rPr>
          <w:rFonts w:asciiTheme="minorHAnsi" w:hAnsiTheme="minorHAnsi" w:cstheme="minorHAnsi"/>
          <w:color w:val="333333"/>
        </w:rPr>
        <w:t>i</w:t>
      </w:r>
      <w:r w:rsidRPr="001007B4">
        <w:rPr>
          <w:rFonts w:asciiTheme="minorHAnsi" w:hAnsiTheme="minorHAnsi" w:cstheme="minorHAnsi"/>
          <w:color w:val="333333"/>
        </w:rPr>
        <w:t>s drawn from the NCRECE </w:t>
      </w:r>
      <w:hyperlink r:id="rId8" w:history="1">
        <w:r w:rsidRPr="001007B4">
          <w:rPr>
            <w:rFonts w:asciiTheme="minorHAnsi" w:hAnsiTheme="minorHAnsi" w:cstheme="minorHAnsi"/>
            <w:color w:val="333333"/>
          </w:rPr>
          <w:t>Teacher Professional Development Study (PDS)</w:t>
        </w:r>
      </w:hyperlink>
      <w:r w:rsidRPr="001007B4">
        <w:rPr>
          <w:rFonts w:asciiTheme="minorHAnsi" w:hAnsiTheme="minorHAnsi" w:cstheme="minorHAnsi"/>
          <w:color w:val="333333"/>
        </w:rPr>
        <w:t> data</w:t>
      </w:r>
      <w:r w:rsidR="00037BD8" w:rsidRPr="001007B4">
        <w:rPr>
          <w:rFonts w:asciiTheme="minorHAnsi" w:hAnsiTheme="minorHAnsi" w:cstheme="minorHAnsi"/>
          <w:color w:val="333333"/>
        </w:rPr>
        <w:t>base</w:t>
      </w:r>
      <w:r w:rsidRPr="001007B4">
        <w:rPr>
          <w:rFonts w:asciiTheme="minorHAnsi" w:hAnsiTheme="minorHAnsi" w:cstheme="minorHAnsi"/>
          <w:color w:val="333333"/>
        </w:rPr>
        <w:t>. This study was a randomized controlled evaluation of two forms of professional development (PD) - coursework (phase 1) and consultancy (phase 2) - delivered to about 490 early childhood education teachers across the nation. These PD supports aimed to improve teachers’ implementation of language/literacy activities and interactions with children, as well as promote gains in children’s social and academic development.</w:t>
      </w:r>
    </w:p>
    <w:p w14:paraId="67AF27D7" w14:textId="5CDA307D" w:rsidR="00D01336" w:rsidRPr="001007B4" w:rsidRDefault="00D01336" w:rsidP="00D01336">
      <w:pPr>
        <w:spacing w:after="158"/>
        <w:rPr>
          <w:rFonts w:asciiTheme="minorHAnsi" w:hAnsiTheme="minorHAnsi" w:cstheme="minorHAnsi"/>
          <w:color w:val="333333"/>
        </w:rPr>
      </w:pPr>
      <w:r w:rsidRPr="001007B4">
        <w:rPr>
          <w:rFonts w:asciiTheme="minorHAnsi" w:hAnsiTheme="minorHAnsi" w:cstheme="minorHAnsi"/>
          <w:color w:val="333333"/>
        </w:rPr>
        <w:t>Our dataset is student-level data for 440 preschool students. Since PDS student outcome data has not been collected during phase 1, we focus on phase 2 intervention. Specifically, the sample students were in phase 1 treatment group and in either the treatment or control group during phase 2. Observations with missing values on any of the key variables were deleted for simplification reasons.</w:t>
      </w:r>
    </w:p>
    <w:p w14:paraId="459845B6" w14:textId="274D559D" w:rsidR="00D01336" w:rsidRPr="001007B4" w:rsidRDefault="00D01336" w:rsidP="00D01336">
      <w:pPr>
        <w:spacing w:after="158"/>
        <w:rPr>
          <w:rFonts w:asciiTheme="minorHAnsi" w:hAnsiTheme="minorHAnsi" w:cstheme="minorHAnsi"/>
          <w:color w:val="333333"/>
        </w:rPr>
      </w:pPr>
      <w:r w:rsidRPr="001007B4">
        <w:rPr>
          <w:rFonts w:asciiTheme="minorHAnsi" w:hAnsiTheme="minorHAnsi" w:cstheme="minorHAnsi"/>
          <w:color w:val="333333"/>
        </w:rPr>
        <w:t>The data set contains 11 variables, detailed below.</w:t>
      </w:r>
    </w:p>
    <w:p w14:paraId="7DB73274"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childid</w:t>
      </w:r>
      <w:proofErr w:type="spellEnd"/>
      <w:r w:rsidRPr="001007B4">
        <w:rPr>
          <w:rFonts w:asciiTheme="minorHAnsi" w:hAnsiTheme="minorHAnsi" w:cstheme="minorHAnsi"/>
          <w:color w:val="333333"/>
        </w:rPr>
        <w:t>, unique identification number for the student</w:t>
      </w:r>
    </w:p>
    <w:p w14:paraId="78177616"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tchid</w:t>
      </w:r>
      <w:proofErr w:type="spellEnd"/>
      <w:r w:rsidRPr="001007B4">
        <w:rPr>
          <w:rFonts w:asciiTheme="minorHAnsi" w:hAnsiTheme="minorHAnsi" w:cstheme="minorHAnsi"/>
          <w:color w:val="333333"/>
        </w:rPr>
        <w:t>, unique identification number for the student’s teacher</w:t>
      </w:r>
    </w:p>
    <w:p w14:paraId="371A2433"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schid</w:t>
      </w:r>
      <w:proofErr w:type="spellEnd"/>
      <w:r w:rsidRPr="001007B4">
        <w:rPr>
          <w:rFonts w:asciiTheme="minorHAnsi" w:hAnsiTheme="minorHAnsi" w:cstheme="minorHAnsi"/>
          <w:color w:val="333333"/>
        </w:rPr>
        <w:t>, unique identification number for the student’s school</w:t>
      </w:r>
    </w:p>
    <w:p w14:paraId="00EB9C43"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cohort</w:t>
      </w:r>
      <w:r w:rsidRPr="001007B4">
        <w:rPr>
          <w:rFonts w:asciiTheme="minorHAnsi" w:hAnsiTheme="minorHAnsi" w:cstheme="minorHAnsi"/>
          <w:color w:val="333333"/>
        </w:rPr>
        <w:t>, coded 1 for cohort 1 students (who started the experiment in spring 08) and 2 for cohort 2 students (who started the experiment in spring 09)</w:t>
      </w:r>
    </w:p>
    <w:p w14:paraId="69D660BF"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treat</w:t>
      </w:r>
      <w:r w:rsidRPr="001007B4">
        <w:rPr>
          <w:rFonts w:asciiTheme="minorHAnsi" w:hAnsiTheme="minorHAnsi" w:cstheme="minorHAnsi"/>
          <w:color w:val="333333"/>
        </w:rPr>
        <w:t>, coded 1 for students in phase 2 treatment group and 0 for those in phase 2 control group</w:t>
      </w:r>
    </w:p>
    <w:p w14:paraId="604A783F"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vocabulary</w:t>
      </w:r>
      <w:r w:rsidRPr="001007B4">
        <w:rPr>
          <w:rFonts w:asciiTheme="minorHAnsi" w:hAnsiTheme="minorHAnsi" w:cstheme="minorHAnsi"/>
          <w:color w:val="333333"/>
        </w:rPr>
        <w:t>, the student’s post phase 2 score on a receptive vocabulary test (Peabody Picture Vocabulary Test-3rd edition)</w:t>
      </w:r>
    </w:p>
    <w:p w14:paraId="23F3EDAB"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female</w:t>
      </w:r>
      <w:r w:rsidRPr="001007B4">
        <w:rPr>
          <w:rFonts w:asciiTheme="minorHAnsi" w:hAnsiTheme="minorHAnsi" w:cstheme="minorHAnsi"/>
          <w:color w:val="333333"/>
        </w:rPr>
        <w:t>, coded 1 for female students and 0 for male students</w:t>
      </w:r>
    </w:p>
    <w:p w14:paraId="5FF1785C"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language_eng</w:t>
      </w:r>
      <w:proofErr w:type="spellEnd"/>
      <w:r w:rsidRPr="001007B4">
        <w:rPr>
          <w:rFonts w:asciiTheme="minorHAnsi" w:hAnsiTheme="minorHAnsi" w:cstheme="minorHAnsi"/>
          <w:color w:val="333333"/>
        </w:rPr>
        <w:t>, coded 1 for students whose primary language is English and 0 otherwise</w:t>
      </w:r>
    </w:p>
    <w:p w14:paraId="4DA346F3"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disability</w:t>
      </w:r>
      <w:r w:rsidRPr="001007B4">
        <w:rPr>
          <w:rFonts w:asciiTheme="minorHAnsi" w:hAnsiTheme="minorHAnsi" w:cstheme="minorHAnsi"/>
          <w:color w:val="333333"/>
        </w:rPr>
        <w:t>, coded 1 for students with a disability and 0 otherwise</w:t>
      </w:r>
    </w:p>
    <w:p w14:paraId="0BE5B6D7"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ethnicity</w:t>
      </w:r>
      <w:r w:rsidRPr="001007B4">
        <w:rPr>
          <w:rFonts w:asciiTheme="minorHAnsi" w:hAnsiTheme="minorHAnsi" w:cstheme="minorHAnsi"/>
          <w:color w:val="333333"/>
        </w:rPr>
        <w:t>, eight-category variable documenting the student’s ethnicity</w:t>
      </w:r>
    </w:p>
    <w:p w14:paraId="06A4126D" w14:textId="77777777" w:rsidR="00D01336" w:rsidRPr="001007B4" w:rsidRDefault="00D01336" w:rsidP="00D01336">
      <w:pPr>
        <w:numPr>
          <w:ilvl w:val="0"/>
          <w:numId w:val="1"/>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mother_edu</w:t>
      </w:r>
      <w:proofErr w:type="spellEnd"/>
      <w:r w:rsidRPr="001007B4">
        <w:rPr>
          <w:rFonts w:asciiTheme="minorHAnsi" w:hAnsiTheme="minorHAnsi" w:cstheme="minorHAnsi"/>
          <w:color w:val="333333"/>
        </w:rPr>
        <w:t>, the student’s mother’s total years of education</w:t>
      </w:r>
    </w:p>
    <w:p w14:paraId="04AD1476" w14:textId="0A8B04A0" w:rsidR="00037BD8" w:rsidRPr="001007B4" w:rsidRDefault="00D01336" w:rsidP="001007B4">
      <w:pPr>
        <w:pStyle w:val="Heading2"/>
      </w:pPr>
      <w:r w:rsidRPr="001007B4">
        <w:t xml:space="preserve">2. </w:t>
      </w:r>
      <w:r w:rsidR="00037BD8" w:rsidRPr="001007B4">
        <w:t>Add Heath</w:t>
      </w:r>
    </w:p>
    <w:p w14:paraId="123D2D71" w14:textId="77777777" w:rsidR="00037BD8" w:rsidRPr="001007B4" w:rsidRDefault="00037BD8" w:rsidP="00037BD8">
      <w:pPr>
        <w:rPr>
          <w:rFonts w:asciiTheme="minorHAnsi" w:hAnsiTheme="minorHAnsi" w:cstheme="minorHAnsi"/>
        </w:rPr>
      </w:pPr>
    </w:p>
    <w:p w14:paraId="15611362" w14:textId="10C1900D" w:rsidR="00037BD8" w:rsidRPr="001007B4" w:rsidRDefault="00037BD8" w:rsidP="00037BD8">
      <w:pPr>
        <w:spacing w:after="158"/>
        <w:rPr>
          <w:rFonts w:asciiTheme="minorHAnsi" w:hAnsiTheme="minorHAnsi" w:cstheme="minorHAnsi"/>
          <w:color w:val="333333"/>
        </w:rPr>
      </w:pPr>
      <w:r w:rsidRPr="001007B4">
        <w:rPr>
          <w:rFonts w:asciiTheme="minorHAnsi" w:hAnsiTheme="minorHAnsi" w:cstheme="minorHAnsi"/>
          <w:color w:val="333333"/>
        </w:rPr>
        <w:t>This dataset is drawn from the third and fourth waves of National Longitudinal Study of Adolescent to Adult Health (</w:t>
      </w:r>
      <w:hyperlink r:id="rId9" w:anchor="public-use" w:history="1">
        <w:r w:rsidRPr="001007B4">
          <w:rPr>
            <w:rFonts w:asciiTheme="minorHAnsi" w:hAnsiTheme="minorHAnsi" w:cstheme="minorHAnsi"/>
            <w:color w:val="333333"/>
          </w:rPr>
          <w:t>Add Health</w:t>
        </w:r>
      </w:hyperlink>
      <w:r w:rsidRPr="001007B4">
        <w:rPr>
          <w:rFonts w:asciiTheme="minorHAnsi" w:hAnsiTheme="minorHAnsi" w:cstheme="minorHAnsi"/>
          <w:color w:val="333333"/>
        </w:rPr>
        <w:t>) public-use data. Add Health is a longitudinal study of a nationally representative sample of over 20,000 adolescents (the public-use data sample is much smaller in size) who were in grades 7-12 during the 1994-95 school year, containing rich demographic, social, familial, socioeconomic, behavioral, psychosocial, cognitive, and health information. When the third (2001) and fourth (2008) waves took place, the participants were aged from 18-26 and from 24-32.</w:t>
      </w:r>
    </w:p>
    <w:p w14:paraId="48315CCF" w14:textId="0EC28BB9" w:rsidR="00037BD8" w:rsidRPr="001007B4" w:rsidRDefault="00000000" w:rsidP="00037BD8">
      <w:pPr>
        <w:spacing w:after="158"/>
        <w:rPr>
          <w:rFonts w:asciiTheme="minorHAnsi" w:hAnsiTheme="minorHAnsi" w:cstheme="minorHAnsi"/>
          <w:color w:val="333333"/>
        </w:rPr>
      </w:pPr>
      <w:hyperlink r:id="rId10" w:history="1">
        <w:r w:rsidR="00037BD8" w:rsidRPr="001007B4">
          <w:rPr>
            <w:rFonts w:asciiTheme="minorHAnsi" w:hAnsiTheme="minorHAnsi" w:cstheme="minorHAnsi"/>
            <w:color w:val="333333"/>
          </w:rPr>
          <w:t>Kraft et al (2021)</w:t>
        </w:r>
      </w:hyperlink>
      <w:r w:rsidR="00037BD8" w:rsidRPr="001007B4">
        <w:rPr>
          <w:rFonts w:asciiTheme="minorHAnsi" w:hAnsiTheme="minorHAnsi" w:cstheme="minorHAnsi"/>
          <w:color w:val="333333"/>
        </w:rPr>
        <w:t xml:space="preserve"> took advantage of this data and examined an understudied area - the pathway through which mentoring relationship between students and school personnel influences human capital development. Particularly, they found that having a school-based mentor is </w:t>
      </w:r>
      <w:r w:rsidR="00037BD8" w:rsidRPr="001007B4">
        <w:rPr>
          <w:rFonts w:asciiTheme="minorHAnsi" w:hAnsiTheme="minorHAnsi" w:cstheme="minorHAnsi"/>
          <w:color w:val="333333"/>
        </w:rPr>
        <w:lastRenderedPageBreak/>
        <w:t>associated with an increase of 0.24 GPA points at high-school, a full year of additional education, and an increase of $60,600-$92,400 in lifetime earnings. </w:t>
      </w:r>
    </w:p>
    <w:p w14:paraId="7294A1A2" w14:textId="34CEAD7D" w:rsidR="00037BD8" w:rsidRPr="001007B4" w:rsidRDefault="00037BD8" w:rsidP="00037BD8">
      <w:pPr>
        <w:pStyle w:val="NormalWeb"/>
        <w:spacing w:before="0" w:beforeAutospacing="0" w:after="150" w:afterAutospacing="0"/>
        <w:rPr>
          <w:rFonts w:asciiTheme="minorHAnsi" w:hAnsiTheme="minorHAnsi" w:cstheme="minorHAnsi"/>
        </w:rPr>
      </w:pPr>
      <w:r w:rsidRPr="001007B4">
        <w:rPr>
          <w:rFonts w:asciiTheme="minorHAnsi" w:hAnsiTheme="minorHAnsi" w:cstheme="minorHAnsi"/>
        </w:rPr>
        <w:t xml:space="preserve">The dataset you’ll be using is individual-level data for Add Health participants who have no missing data on our variables of interested in both waves 3 and 4. Note that for simplifying reasons, we use smaller datasets than Kraft et al does and the measures of predictor and outcome variables are slightly different. </w:t>
      </w:r>
      <w:proofErr w:type="gramStart"/>
      <w:r w:rsidRPr="001007B4">
        <w:rPr>
          <w:rFonts w:asciiTheme="minorHAnsi" w:hAnsiTheme="minorHAnsi" w:cstheme="minorHAnsi"/>
        </w:rPr>
        <w:t>Also</w:t>
      </w:r>
      <w:proofErr w:type="gramEnd"/>
      <w:r w:rsidRPr="001007B4">
        <w:rPr>
          <w:rFonts w:asciiTheme="minorHAnsi" w:hAnsiTheme="minorHAnsi" w:cstheme="minorHAnsi"/>
        </w:rPr>
        <w:t xml:space="preserve"> we do not ask you to fit the fixed-effects models in Kraft et al, therefore all the results you get from this exercise cannot be interpreted as causal effects.</w:t>
      </w:r>
    </w:p>
    <w:p w14:paraId="4B09C148" w14:textId="77777777" w:rsidR="00037BD8" w:rsidRPr="001007B4" w:rsidRDefault="00037BD8" w:rsidP="00037BD8">
      <w:pPr>
        <w:pStyle w:val="NormalWeb"/>
        <w:spacing w:before="0" w:beforeAutospacing="0" w:after="150" w:afterAutospacing="0"/>
        <w:rPr>
          <w:rFonts w:asciiTheme="minorHAnsi" w:hAnsiTheme="minorHAnsi" w:cstheme="minorHAnsi"/>
          <w:b/>
          <w:bCs/>
        </w:rPr>
      </w:pPr>
      <w:r w:rsidRPr="001007B4">
        <w:rPr>
          <w:rStyle w:val="Strong"/>
          <w:rFonts w:asciiTheme="minorHAnsi" w:hAnsiTheme="minorHAnsi" w:cstheme="minorHAnsi"/>
          <w:b w:val="0"/>
          <w:bCs w:val="0"/>
        </w:rPr>
        <w:t>Key variables</w:t>
      </w:r>
      <w:r w:rsidRPr="001007B4">
        <w:rPr>
          <w:rFonts w:asciiTheme="minorHAnsi" w:hAnsiTheme="minorHAnsi" w:cstheme="minorHAnsi"/>
          <w:b/>
          <w:bCs/>
        </w:rPr>
        <w:t>:</w:t>
      </w:r>
    </w:p>
    <w:p w14:paraId="5048C3B1" w14:textId="77777777"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r w:rsidRPr="001007B4">
        <w:rPr>
          <w:rFonts w:asciiTheme="minorHAnsi" w:hAnsiTheme="minorHAnsi" w:cstheme="minorHAnsi"/>
          <w:color w:val="333333"/>
        </w:rPr>
        <w:t>id</w:t>
      </w:r>
      <w:r w:rsidRPr="001007B4">
        <w:rPr>
          <w:rFonts w:asciiTheme="minorHAnsi" w:hAnsiTheme="minorHAnsi" w:cstheme="minorHAnsi"/>
          <w:i/>
          <w:iCs/>
          <w:color w:val="333333"/>
        </w:rPr>
        <w:t>, the individual’s unique identification number.</w:t>
      </w:r>
    </w:p>
    <w:p w14:paraId="128843A8" w14:textId="77777777"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r w:rsidRPr="001007B4">
        <w:rPr>
          <w:rFonts w:asciiTheme="minorHAnsi" w:hAnsiTheme="minorHAnsi" w:cstheme="minorHAnsi"/>
          <w:color w:val="333333"/>
        </w:rPr>
        <w:t>mentor</w:t>
      </w:r>
      <w:r w:rsidRPr="001007B4">
        <w:rPr>
          <w:rFonts w:asciiTheme="minorHAnsi" w:hAnsiTheme="minorHAnsi" w:cstheme="minorHAnsi"/>
          <w:i/>
          <w:iCs/>
          <w:color w:val="333333"/>
        </w:rPr>
        <w:t>, binary variable, coded 1 for individuals who reported to have a school-based mentor (teachers/guidance counselors and coaches/athletic directors). This variable exists only in ah01.csv dataset.</w:t>
      </w:r>
    </w:p>
    <w:p w14:paraId="10983C28" w14:textId="77777777"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proofErr w:type="spellStart"/>
      <w:r w:rsidRPr="001007B4">
        <w:rPr>
          <w:rFonts w:asciiTheme="minorHAnsi" w:hAnsiTheme="minorHAnsi" w:cstheme="minorHAnsi"/>
          <w:color w:val="333333"/>
        </w:rPr>
        <w:t>mentee_age</w:t>
      </w:r>
      <w:proofErr w:type="spellEnd"/>
      <w:r w:rsidRPr="001007B4">
        <w:rPr>
          <w:rFonts w:asciiTheme="minorHAnsi" w:hAnsiTheme="minorHAnsi" w:cstheme="minorHAnsi"/>
          <w:i/>
          <w:iCs/>
          <w:color w:val="333333"/>
        </w:rPr>
        <w:t>, the individual’s age when the mentor started to have an impact in their life. This variable exists only in ah02.csv dataset.</w:t>
      </w:r>
    </w:p>
    <w:p w14:paraId="3B487FE1" w14:textId="77777777"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r w:rsidRPr="001007B4">
        <w:rPr>
          <w:rFonts w:asciiTheme="minorHAnsi" w:hAnsiTheme="minorHAnsi" w:cstheme="minorHAnsi"/>
          <w:color w:val="333333"/>
        </w:rPr>
        <w:t>education</w:t>
      </w:r>
      <w:r w:rsidRPr="001007B4">
        <w:rPr>
          <w:rFonts w:asciiTheme="minorHAnsi" w:hAnsiTheme="minorHAnsi" w:cstheme="minorHAnsi"/>
          <w:i/>
          <w:iCs/>
          <w:color w:val="333333"/>
        </w:rPr>
        <w:t>, the individual’s total years of education (recoded from Add Health data using the same approach in Kraft et al p.14).</w:t>
      </w:r>
    </w:p>
    <w:p w14:paraId="675EC12A" w14:textId="77777777"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proofErr w:type="spellStart"/>
      <w:r w:rsidRPr="001007B4">
        <w:rPr>
          <w:rFonts w:asciiTheme="minorHAnsi" w:hAnsiTheme="minorHAnsi" w:cstheme="minorHAnsi"/>
          <w:color w:val="333333"/>
        </w:rPr>
        <w:t>income_log</w:t>
      </w:r>
      <w:proofErr w:type="spellEnd"/>
      <w:r w:rsidRPr="001007B4">
        <w:rPr>
          <w:rFonts w:asciiTheme="minorHAnsi" w:hAnsiTheme="minorHAnsi" w:cstheme="minorHAnsi"/>
          <w:i/>
          <w:iCs/>
          <w:color w:val="333333"/>
        </w:rPr>
        <w:t>, the individual’s log-transformed annual earnings (including salary and all types of other incomes).</w:t>
      </w:r>
    </w:p>
    <w:p w14:paraId="39254DB6" w14:textId="77777777"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proofErr w:type="spellStart"/>
      <w:r w:rsidRPr="001007B4">
        <w:rPr>
          <w:rFonts w:asciiTheme="minorHAnsi" w:hAnsiTheme="minorHAnsi" w:cstheme="minorHAnsi"/>
          <w:color w:val="333333"/>
        </w:rPr>
        <w:t>gpa</w:t>
      </w:r>
      <w:proofErr w:type="spellEnd"/>
      <w:r w:rsidRPr="001007B4">
        <w:rPr>
          <w:rFonts w:asciiTheme="minorHAnsi" w:hAnsiTheme="minorHAnsi" w:cstheme="minorHAnsi"/>
          <w:i/>
          <w:iCs/>
          <w:color w:val="333333"/>
        </w:rPr>
        <w:t>, the individual’s high school final GPA points.</w:t>
      </w:r>
    </w:p>
    <w:p w14:paraId="093DAD42" w14:textId="0E6A1034" w:rsidR="00037BD8" w:rsidRPr="001007B4" w:rsidRDefault="00037BD8" w:rsidP="00037BD8">
      <w:pPr>
        <w:numPr>
          <w:ilvl w:val="0"/>
          <w:numId w:val="2"/>
        </w:numPr>
        <w:spacing w:before="100" w:beforeAutospacing="1" w:after="100" w:afterAutospacing="1"/>
        <w:rPr>
          <w:rFonts w:asciiTheme="minorHAnsi" w:hAnsiTheme="minorHAnsi" w:cstheme="minorHAnsi"/>
          <w:i/>
          <w:iCs/>
          <w:color w:val="333333"/>
        </w:rPr>
      </w:pPr>
      <w:r w:rsidRPr="001007B4">
        <w:rPr>
          <w:rFonts w:asciiTheme="minorHAnsi" w:hAnsiTheme="minorHAnsi" w:cstheme="minorHAnsi"/>
          <w:color w:val="333333"/>
        </w:rPr>
        <w:t>gpa_3</w:t>
      </w:r>
      <w:r w:rsidRPr="001007B4">
        <w:rPr>
          <w:rFonts w:asciiTheme="minorHAnsi" w:hAnsiTheme="minorHAnsi" w:cstheme="minorHAnsi"/>
          <w:i/>
          <w:iCs/>
          <w:color w:val="333333"/>
        </w:rPr>
        <w:t>, binary variable coded 1 for individuals whose high school final GPA was above 3.0</w:t>
      </w:r>
    </w:p>
    <w:p w14:paraId="0B52E2F7" w14:textId="037DE5CE" w:rsidR="00D01336" w:rsidRPr="001007B4" w:rsidRDefault="00037BD8" w:rsidP="001007B4">
      <w:pPr>
        <w:pStyle w:val="Heading2"/>
      </w:pPr>
      <w:r w:rsidRPr="001007B4">
        <w:t xml:space="preserve">3. </w:t>
      </w:r>
      <w:r w:rsidR="00D01336" w:rsidRPr="001007B4">
        <w:t>Stanford Education Data Archive (SEDA)</w:t>
      </w:r>
    </w:p>
    <w:p w14:paraId="0FE5B048" w14:textId="77777777" w:rsidR="00037BD8" w:rsidRPr="001007B4" w:rsidRDefault="00037BD8" w:rsidP="001007B4">
      <w:pPr>
        <w:pStyle w:val="Heading2"/>
      </w:pPr>
    </w:p>
    <w:p w14:paraId="05D9CB71" w14:textId="77777777" w:rsidR="00D01336" w:rsidRPr="001007B4" w:rsidRDefault="00D01336" w:rsidP="00D01336">
      <w:pPr>
        <w:spacing w:after="158"/>
        <w:rPr>
          <w:rFonts w:asciiTheme="minorHAnsi" w:hAnsiTheme="minorHAnsi" w:cstheme="minorHAnsi"/>
          <w:color w:val="333333"/>
        </w:rPr>
      </w:pPr>
      <w:r w:rsidRPr="001007B4">
        <w:rPr>
          <w:rFonts w:asciiTheme="minorHAnsi" w:hAnsiTheme="minorHAnsi" w:cstheme="minorHAnsi"/>
          <w:color w:val="333333"/>
        </w:rPr>
        <w:t>The data set we’ll be using in our final project was drawn from the Stanford Education Data Archive (</w:t>
      </w:r>
      <w:hyperlink r:id="rId11" w:history="1">
        <w:r w:rsidRPr="001007B4">
          <w:rPr>
            <w:rFonts w:asciiTheme="minorHAnsi" w:hAnsiTheme="minorHAnsi" w:cstheme="minorHAnsi"/>
            <w:color w:val="2780E3"/>
            <w:u w:val="single"/>
          </w:rPr>
          <w:t>SEDA</w:t>
        </w:r>
      </w:hyperlink>
      <w:r w:rsidRPr="001007B4">
        <w:rPr>
          <w:rFonts w:asciiTheme="minorHAnsi" w:hAnsiTheme="minorHAnsi" w:cstheme="minorHAnsi"/>
          <w:color w:val="333333"/>
        </w:rPr>
        <w:t>) version 4.1. SEDA was launched in 2016 to provide nationally comparable, publicly available test score data for U.S. public school districts, allowing scientific inquiries on the relationships between educational conditions, contexts, and outcomes (especially student math/ELA achievements) at the district-level across the nation. It contains rich variables including measures of academic achievement and achievement gaps for school districts and counties, as well as district-level measures of racial and socioeconomic composition, racial and socioeconomic segregation patterns, and other features of the schooling system. Some descriptive findings can be found </w:t>
      </w:r>
      <w:hyperlink r:id="rId12" w:history="1">
        <w:r w:rsidRPr="001007B4">
          <w:rPr>
            <w:rFonts w:asciiTheme="minorHAnsi" w:hAnsiTheme="minorHAnsi" w:cstheme="minorHAnsi"/>
            <w:color w:val="2780E3"/>
            <w:u w:val="single"/>
          </w:rPr>
          <w:t>here</w:t>
        </w:r>
      </w:hyperlink>
      <w:r w:rsidRPr="001007B4">
        <w:rPr>
          <w:rFonts w:asciiTheme="minorHAnsi" w:hAnsiTheme="minorHAnsi" w:cstheme="minorHAnsi"/>
          <w:color w:val="333333"/>
        </w:rPr>
        <w:t>.</w:t>
      </w:r>
    </w:p>
    <w:p w14:paraId="0F5E59E3" w14:textId="26B3F5A0" w:rsidR="00D01336" w:rsidRPr="001007B4" w:rsidRDefault="00D01336" w:rsidP="00D01336">
      <w:pPr>
        <w:spacing w:after="158"/>
        <w:rPr>
          <w:rFonts w:asciiTheme="minorHAnsi" w:hAnsiTheme="minorHAnsi" w:cstheme="minorHAnsi"/>
          <w:color w:val="333333"/>
        </w:rPr>
      </w:pPr>
      <w:r w:rsidRPr="001007B4">
        <w:rPr>
          <w:rFonts w:asciiTheme="minorHAnsi" w:hAnsiTheme="minorHAnsi" w:cstheme="minorHAnsi"/>
          <w:color w:val="333333"/>
        </w:rPr>
        <w:t>Due to the large size of SEDA full data set, we focus on the school year 2017-18 data for the state of Oregon. Specifically, our data set is district-level data for 103 Oregon school districts. Observations with missing values on any of the key variables were deleted for simplification reasons.</w:t>
      </w:r>
    </w:p>
    <w:p w14:paraId="31AB16E8" w14:textId="60E2BB90" w:rsidR="00D01336" w:rsidRPr="001007B4" w:rsidRDefault="00D01336" w:rsidP="00D01336">
      <w:pPr>
        <w:spacing w:after="158"/>
        <w:rPr>
          <w:rFonts w:asciiTheme="minorHAnsi" w:hAnsiTheme="minorHAnsi" w:cstheme="minorHAnsi"/>
          <w:color w:val="333333"/>
        </w:rPr>
      </w:pPr>
      <w:r w:rsidRPr="001007B4">
        <w:rPr>
          <w:rFonts w:asciiTheme="minorHAnsi" w:hAnsiTheme="minorHAnsi" w:cstheme="minorHAnsi"/>
          <w:color w:val="333333"/>
        </w:rPr>
        <w:t>The data set contains 13 variables, detailed below.</w:t>
      </w:r>
    </w:p>
    <w:p w14:paraId="0B9A9A07"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district</w:t>
      </w:r>
      <w:r w:rsidRPr="001007B4">
        <w:rPr>
          <w:rFonts w:asciiTheme="minorHAnsi" w:hAnsiTheme="minorHAnsi" w:cstheme="minorHAnsi"/>
          <w:color w:val="333333"/>
        </w:rPr>
        <w:t>, name of the district</w:t>
      </w:r>
    </w:p>
    <w:p w14:paraId="4513A68E"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lastRenderedPageBreak/>
        <w:t>subject</w:t>
      </w:r>
      <w:r w:rsidRPr="001007B4">
        <w:rPr>
          <w:rFonts w:asciiTheme="minorHAnsi" w:hAnsiTheme="minorHAnsi" w:cstheme="minorHAnsi"/>
          <w:color w:val="333333"/>
        </w:rPr>
        <w:t>, coded “</w:t>
      </w:r>
      <w:proofErr w:type="spellStart"/>
      <w:r w:rsidRPr="001007B4">
        <w:rPr>
          <w:rFonts w:asciiTheme="minorHAnsi" w:hAnsiTheme="minorHAnsi" w:cstheme="minorHAnsi"/>
          <w:color w:val="333333"/>
        </w:rPr>
        <w:t>mth</w:t>
      </w:r>
      <w:proofErr w:type="spellEnd"/>
      <w:r w:rsidRPr="001007B4">
        <w:rPr>
          <w:rFonts w:asciiTheme="minorHAnsi" w:hAnsiTheme="minorHAnsi" w:cstheme="minorHAnsi"/>
          <w:color w:val="333333"/>
        </w:rPr>
        <w:t xml:space="preserve">” </w:t>
      </w:r>
      <w:proofErr w:type="spellStart"/>
      <w:r w:rsidRPr="001007B4">
        <w:rPr>
          <w:rFonts w:asciiTheme="minorHAnsi" w:hAnsiTheme="minorHAnsi" w:cstheme="minorHAnsi"/>
          <w:color w:val="333333"/>
        </w:rPr>
        <w:t>fo</w:t>
      </w:r>
      <w:proofErr w:type="spellEnd"/>
      <w:r w:rsidRPr="001007B4">
        <w:rPr>
          <w:rFonts w:asciiTheme="minorHAnsi" w:hAnsiTheme="minorHAnsi" w:cstheme="minorHAnsi"/>
          <w:color w:val="333333"/>
        </w:rPr>
        <w:t xml:space="preserve"> Mathematics and “</w:t>
      </w:r>
      <w:proofErr w:type="spellStart"/>
      <w:r w:rsidRPr="001007B4">
        <w:rPr>
          <w:rFonts w:asciiTheme="minorHAnsi" w:hAnsiTheme="minorHAnsi" w:cstheme="minorHAnsi"/>
          <w:color w:val="333333"/>
        </w:rPr>
        <w:t>rla</w:t>
      </w:r>
      <w:proofErr w:type="spellEnd"/>
      <w:r w:rsidRPr="001007B4">
        <w:rPr>
          <w:rFonts w:asciiTheme="minorHAnsi" w:hAnsiTheme="minorHAnsi" w:cstheme="minorHAnsi"/>
          <w:color w:val="333333"/>
        </w:rPr>
        <w:t>” for English/Language Arts</w:t>
      </w:r>
    </w:p>
    <w:p w14:paraId="1DE96F47"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grade</w:t>
      </w:r>
      <w:r w:rsidRPr="001007B4">
        <w:rPr>
          <w:rFonts w:asciiTheme="minorHAnsi" w:hAnsiTheme="minorHAnsi" w:cstheme="minorHAnsi"/>
          <w:color w:val="333333"/>
        </w:rPr>
        <w:t>, coded 3, 4, 5, 6 for grades 3-6</w:t>
      </w:r>
    </w:p>
    <w:p w14:paraId="1F5EBA88"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r w:rsidRPr="001007B4">
        <w:rPr>
          <w:rFonts w:asciiTheme="minorHAnsi" w:hAnsiTheme="minorHAnsi" w:cstheme="minorHAnsi"/>
          <w:i/>
          <w:iCs/>
          <w:color w:val="333333"/>
        </w:rPr>
        <w:t>achievement</w:t>
      </w:r>
      <w:r w:rsidRPr="001007B4">
        <w:rPr>
          <w:rFonts w:asciiTheme="minorHAnsi" w:hAnsiTheme="minorHAnsi" w:cstheme="minorHAnsi"/>
          <w:color w:val="333333"/>
        </w:rPr>
        <w:t>, grade-level average achievement test score</w:t>
      </w:r>
    </w:p>
    <w:p w14:paraId="1026AEAE"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gap_gender</w:t>
      </w:r>
      <w:proofErr w:type="spellEnd"/>
      <w:r w:rsidRPr="001007B4">
        <w:rPr>
          <w:rFonts w:asciiTheme="minorHAnsi" w:hAnsiTheme="minorHAnsi" w:cstheme="minorHAnsi"/>
          <w:color w:val="333333"/>
        </w:rPr>
        <w:t>, grade-level male-female gender gap on achievement test</w:t>
      </w:r>
    </w:p>
    <w:p w14:paraId="3707F053"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percent_ell</w:t>
      </w:r>
      <w:proofErr w:type="spellEnd"/>
      <w:r w:rsidRPr="001007B4">
        <w:rPr>
          <w:rFonts w:asciiTheme="minorHAnsi" w:hAnsiTheme="minorHAnsi" w:cstheme="minorHAnsi"/>
          <w:color w:val="333333"/>
        </w:rPr>
        <w:t>, district-level percentage of ELL students</w:t>
      </w:r>
    </w:p>
    <w:p w14:paraId="469B72F3"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percent_sped</w:t>
      </w:r>
      <w:proofErr w:type="spellEnd"/>
      <w:r w:rsidRPr="001007B4">
        <w:rPr>
          <w:rFonts w:asciiTheme="minorHAnsi" w:hAnsiTheme="minorHAnsi" w:cstheme="minorHAnsi"/>
          <w:color w:val="333333"/>
        </w:rPr>
        <w:t>, district-level percentage of students in special education program</w:t>
      </w:r>
    </w:p>
    <w:p w14:paraId="5495A31A"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percent_frl</w:t>
      </w:r>
      <w:proofErr w:type="spellEnd"/>
      <w:r w:rsidRPr="001007B4">
        <w:rPr>
          <w:rFonts w:asciiTheme="minorHAnsi" w:hAnsiTheme="minorHAnsi" w:cstheme="minorHAnsi"/>
          <w:color w:val="333333"/>
        </w:rPr>
        <w:t>, district-level percentage of students eligible for free or reduced school lunch</w:t>
      </w:r>
    </w:p>
    <w:p w14:paraId="0B9EF996"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percent_native</w:t>
      </w:r>
      <w:proofErr w:type="spellEnd"/>
      <w:r w:rsidRPr="001007B4">
        <w:rPr>
          <w:rFonts w:asciiTheme="minorHAnsi" w:hAnsiTheme="minorHAnsi" w:cstheme="minorHAnsi"/>
          <w:color w:val="333333"/>
        </w:rPr>
        <w:t>, district-level percentage of Native American students</w:t>
      </w:r>
    </w:p>
    <w:p w14:paraId="6CD99A80"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percent_asian</w:t>
      </w:r>
      <w:proofErr w:type="spellEnd"/>
      <w:r w:rsidRPr="001007B4">
        <w:rPr>
          <w:rFonts w:asciiTheme="minorHAnsi" w:hAnsiTheme="minorHAnsi" w:cstheme="minorHAnsi"/>
          <w:color w:val="333333"/>
        </w:rPr>
        <w:t>, district-level percentage of Asian students</w:t>
      </w:r>
    </w:p>
    <w:p w14:paraId="73090460"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percent_hispanic</w:t>
      </w:r>
      <w:proofErr w:type="spellEnd"/>
      <w:r w:rsidRPr="001007B4">
        <w:rPr>
          <w:rFonts w:asciiTheme="minorHAnsi" w:hAnsiTheme="minorHAnsi" w:cstheme="minorHAnsi"/>
          <w:color w:val="333333"/>
        </w:rPr>
        <w:t>, district-level percentage of Hispanic students</w:t>
      </w:r>
    </w:p>
    <w:p w14:paraId="3BF9DC06" w14:textId="77777777"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percent_black</w:t>
      </w:r>
      <w:proofErr w:type="spellEnd"/>
      <w:r w:rsidRPr="001007B4">
        <w:rPr>
          <w:rFonts w:asciiTheme="minorHAnsi" w:hAnsiTheme="minorHAnsi" w:cstheme="minorHAnsi"/>
          <w:color w:val="333333"/>
        </w:rPr>
        <w:t>, district-level percentage of African American students</w:t>
      </w:r>
    </w:p>
    <w:p w14:paraId="0502CA4D" w14:textId="057C06F8" w:rsidR="00D01336" w:rsidRPr="001007B4" w:rsidRDefault="00D01336" w:rsidP="00D01336">
      <w:pPr>
        <w:numPr>
          <w:ilvl w:val="0"/>
          <w:numId w:val="2"/>
        </w:numPr>
        <w:spacing w:before="100" w:beforeAutospacing="1" w:after="100" w:afterAutospacing="1"/>
        <w:rPr>
          <w:rFonts w:asciiTheme="minorHAnsi" w:hAnsiTheme="minorHAnsi" w:cstheme="minorHAnsi"/>
          <w:color w:val="333333"/>
        </w:rPr>
      </w:pPr>
      <w:proofErr w:type="spellStart"/>
      <w:r w:rsidRPr="001007B4">
        <w:rPr>
          <w:rFonts w:asciiTheme="minorHAnsi" w:hAnsiTheme="minorHAnsi" w:cstheme="minorHAnsi"/>
          <w:i/>
          <w:iCs/>
          <w:color w:val="333333"/>
        </w:rPr>
        <w:t>percent_white</w:t>
      </w:r>
      <w:proofErr w:type="spellEnd"/>
      <w:r w:rsidRPr="001007B4">
        <w:rPr>
          <w:rFonts w:asciiTheme="minorHAnsi" w:hAnsiTheme="minorHAnsi" w:cstheme="minorHAnsi"/>
          <w:color w:val="333333"/>
        </w:rPr>
        <w:t>, district-level percentage of white students</w:t>
      </w:r>
    </w:p>
    <w:sectPr w:rsidR="00D01336" w:rsidRPr="0010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18C3"/>
    <w:multiLevelType w:val="multilevel"/>
    <w:tmpl w:val="726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A54E9"/>
    <w:multiLevelType w:val="multilevel"/>
    <w:tmpl w:val="62B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034C0"/>
    <w:multiLevelType w:val="multilevel"/>
    <w:tmpl w:val="CB8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5049"/>
    <w:multiLevelType w:val="multilevel"/>
    <w:tmpl w:val="A9C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915C3"/>
    <w:multiLevelType w:val="multilevel"/>
    <w:tmpl w:val="1FA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130D7"/>
    <w:multiLevelType w:val="multilevel"/>
    <w:tmpl w:val="DF4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0C7F"/>
    <w:multiLevelType w:val="multilevel"/>
    <w:tmpl w:val="1B2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17250"/>
    <w:multiLevelType w:val="multilevel"/>
    <w:tmpl w:val="60AA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6547">
    <w:abstractNumId w:val="0"/>
  </w:num>
  <w:num w:numId="2" w16cid:durableId="1547833571">
    <w:abstractNumId w:val="4"/>
  </w:num>
  <w:num w:numId="3" w16cid:durableId="1952546344">
    <w:abstractNumId w:val="5"/>
  </w:num>
  <w:num w:numId="4" w16cid:durableId="506673051">
    <w:abstractNumId w:val="1"/>
  </w:num>
  <w:num w:numId="5" w16cid:durableId="456530471">
    <w:abstractNumId w:val="3"/>
  </w:num>
  <w:num w:numId="6" w16cid:durableId="298462424">
    <w:abstractNumId w:val="2"/>
  </w:num>
  <w:num w:numId="7" w16cid:durableId="447164185">
    <w:abstractNumId w:val="6"/>
  </w:num>
  <w:num w:numId="8" w16cid:durableId="2826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36"/>
    <w:rsid w:val="00037BD8"/>
    <w:rsid w:val="001007B4"/>
    <w:rsid w:val="00106111"/>
    <w:rsid w:val="00275EB1"/>
    <w:rsid w:val="0042449D"/>
    <w:rsid w:val="00454BF5"/>
    <w:rsid w:val="00497960"/>
    <w:rsid w:val="00506314"/>
    <w:rsid w:val="00506457"/>
    <w:rsid w:val="005366C3"/>
    <w:rsid w:val="006805CD"/>
    <w:rsid w:val="007D0DE8"/>
    <w:rsid w:val="00835DD6"/>
    <w:rsid w:val="00C843C6"/>
    <w:rsid w:val="00D01336"/>
    <w:rsid w:val="00F3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5075"/>
  <w15:chartTrackingRefBased/>
  <w15:docId w15:val="{01B1A519-D86D-4041-A05A-6222F7E1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D8"/>
    <w:rPr>
      <w:rFonts w:ascii="Times New Roman" w:eastAsia="Times New Roman" w:hAnsi="Times New Roman" w:cs="Times New Roman"/>
    </w:rPr>
  </w:style>
  <w:style w:type="paragraph" w:styleId="Heading1">
    <w:name w:val="heading 1"/>
    <w:basedOn w:val="Normal"/>
    <w:next w:val="Normal"/>
    <w:link w:val="Heading1Char"/>
    <w:uiPriority w:val="9"/>
    <w:qFormat/>
    <w:rsid w:val="00037B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B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01336"/>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1336"/>
    <w:rPr>
      <w:rFonts w:ascii="Times New Roman" w:eastAsia="Times New Roman" w:hAnsi="Times New Roman" w:cs="Times New Roman"/>
      <w:b/>
      <w:bCs/>
    </w:rPr>
  </w:style>
  <w:style w:type="paragraph" w:styleId="NormalWeb">
    <w:name w:val="Normal (Web)"/>
    <w:basedOn w:val="Normal"/>
    <w:uiPriority w:val="99"/>
    <w:unhideWhenUsed/>
    <w:rsid w:val="00D01336"/>
    <w:pPr>
      <w:spacing w:before="100" w:beforeAutospacing="1" w:after="100" w:afterAutospacing="1"/>
    </w:pPr>
  </w:style>
  <w:style w:type="character" w:customStyle="1" w:styleId="apple-converted-space">
    <w:name w:val="apple-converted-space"/>
    <w:basedOn w:val="DefaultParagraphFont"/>
    <w:rsid w:val="00D01336"/>
  </w:style>
  <w:style w:type="character" w:styleId="Hyperlink">
    <w:name w:val="Hyperlink"/>
    <w:basedOn w:val="DefaultParagraphFont"/>
    <w:uiPriority w:val="99"/>
    <w:unhideWhenUsed/>
    <w:rsid w:val="00D01336"/>
    <w:rPr>
      <w:color w:val="0000FF"/>
      <w:u w:val="single"/>
    </w:rPr>
  </w:style>
  <w:style w:type="character" w:styleId="Strong">
    <w:name w:val="Strong"/>
    <w:basedOn w:val="DefaultParagraphFont"/>
    <w:uiPriority w:val="22"/>
    <w:qFormat/>
    <w:rsid w:val="00D01336"/>
    <w:rPr>
      <w:b/>
      <w:bCs/>
    </w:rPr>
  </w:style>
  <w:style w:type="character" w:styleId="Emphasis">
    <w:name w:val="Emphasis"/>
    <w:basedOn w:val="DefaultParagraphFont"/>
    <w:uiPriority w:val="20"/>
    <w:qFormat/>
    <w:rsid w:val="00D01336"/>
    <w:rPr>
      <w:i/>
      <w:iCs/>
    </w:rPr>
  </w:style>
  <w:style w:type="character" w:styleId="UnresolvedMention">
    <w:name w:val="Unresolved Mention"/>
    <w:basedOn w:val="DefaultParagraphFont"/>
    <w:uiPriority w:val="99"/>
    <w:semiHidden/>
    <w:unhideWhenUsed/>
    <w:rsid w:val="00037BD8"/>
    <w:rPr>
      <w:color w:val="605E5C"/>
      <w:shd w:val="clear" w:color="auto" w:fill="E1DFDD"/>
    </w:rPr>
  </w:style>
  <w:style w:type="paragraph" w:styleId="ListParagraph">
    <w:name w:val="List Paragraph"/>
    <w:basedOn w:val="Normal"/>
    <w:uiPriority w:val="34"/>
    <w:qFormat/>
    <w:rsid w:val="00037BD8"/>
    <w:pPr>
      <w:ind w:left="720"/>
      <w:contextualSpacing/>
    </w:pPr>
  </w:style>
  <w:style w:type="character" w:styleId="FollowedHyperlink">
    <w:name w:val="FollowedHyperlink"/>
    <w:basedOn w:val="DefaultParagraphFont"/>
    <w:uiPriority w:val="99"/>
    <w:semiHidden/>
    <w:unhideWhenUsed/>
    <w:rsid w:val="00037BD8"/>
    <w:rPr>
      <w:color w:val="954F72" w:themeColor="followedHyperlink"/>
      <w:u w:val="single"/>
    </w:rPr>
  </w:style>
  <w:style w:type="character" w:customStyle="1" w:styleId="Heading1Char">
    <w:name w:val="Heading 1 Char"/>
    <w:basedOn w:val="DefaultParagraphFont"/>
    <w:link w:val="Heading1"/>
    <w:uiPriority w:val="9"/>
    <w:rsid w:val="00037B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B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60710">
      <w:bodyDiv w:val="1"/>
      <w:marLeft w:val="0"/>
      <w:marRight w:val="0"/>
      <w:marTop w:val="0"/>
      <w:marBottom w:val="0"/>
      <w:divBdr>
        <w:top w:val="none" w:sz="0" w:space="0" w:color="auto"/>
        <w:left w:val="none" w:sz="0" w:space="0" w:color="auto"/>
        <w:bottom w:val="none" w:sz="0" w:space="0" w:color="auto"/>
        <w:right w:val="none" w:sz="0" w:space="0" w:color="auto"/>
      </w:divBdr>
    </w:div>
    <w:div w:id="710107643">
      <w:bodyDiv w:val="1"/>
      <w:marLeft w:val="0"/>
      <w:marRight w:val="0"/>
      <w:marTop w:val="0"/>
      <w:marBottom w:val="0"/>
      <w:divBdr>
        <w:top w:val="none" w:sz="0" w:space="0" w:color="auto"/>
        <w:left w:val="none" w:sz="0" w:space="0" w:color="auto"/>
        <w:bottom w:val="none" w:sz="0" w:space="0" w:color="auto"/>
        <w:right w:val="none" w:sz="0" w:space="0" w:color="auto"/>
      </w:divBdr>
      <w:divsChild>
        <w:div w:id="40717032">
          <w:marLeft w:val="0"/>
          <w:marRight w:val="0"/>
          <w:marTop w:val="0"/>
          <w:marBottom w:val="0"/>
          <w:divBdr>
            <w:top w:val="none" w:sz="0" w:space="0" w:color="auto"/>
            <w:left w:val="none" w:sz="0" w:space="0" w:color="auto"/>
            <w:bottom w:val="none" w:sz="0" w:space="0" w:color="auto"/>
            <w:right w:val="none" w:sz="0" w:space="0" w:color="auto"/>
          </w:divBdr>
        </w:div>
        <w:div w:id="1044601506">
          <w:marLeft w:val="0"/>
          <w:marRight w:val="0"/>
          <w:marTop w:val="0"/>
          <w:marBottom w:val="0"/>
          <w:divBdr>
            <w:top w:val="none" w:sz="0" w:space="0" w:color="auto"/>
            <w:left w:val="none" w:sz="0" w:space="0" w:color="auto"/>
            <w:bottom w:val="none" w:sz="0" w:space="0" w:color="auto"/>
            <w:right w:val="none" w:sz="0" w:space="0" w:color="auto"/>
          </w:divBdr>
        </w:div>
      </w:divsChild>
    </w:div>
    <w:div w:id="835388820">
      <w:bodyDiv w:val="1"/>
      <w:marLeft w:val="0"/>
      <w:marRight w:val="0"/>
      <w:marTop w:val="0"/>
      <w:marBottom w:val="0"/>
      <w:divBdr>
        <w:top w:val="none" w:sz="0" w:space="0" w:color="auto"/>
        <w:left w:val="none" w:sz="0" w:space="0" w:color="auto"/>
        <w:bottom w:val="none" w:sz="0" w:space="0" w:color="auto"/>
        <w:right w:val="none" w:sz="0" w:space="0" w:color="auto"/>
      </w:divBdr>
    </w:div>
    <w:div w:id="867134849">
      <w:bodyDiv w:val="1"/>
      <w:marLeft w:val="0"/>
      <w:marRight w:val="0"/>
      <w:marTop w:val="0"/>
      <w:marBottom w:val="0"/>
      <w:divBdr>
        <w:top w:val="none" w:sz="0" w:space="0" w:color="auto"/>
        <w:left w:val="none" w:sz="0" w:space="0" w:color="auto"/>
        <w:bottom w:val="none" w:sz="0" w:space="0" w:color="auto"/>
        <w:right w:val="none" w:sz="0" w:space="0" w:color="auto"/>
      </w:divBdr>
    </w:div>
    <w:div w:id="887061909">
      <w:bodyDiv w:val="1"/>
      <w:marLeft w:val="0"/>
      <w:marRight w:val="0"/>
      <w:marTop w:val="0"/>
      <w:marBottom w:val="0"/>
      <w:divBdr>
        <w:top w:val="none" w:sz="0" w:space="0" w:color="auto"/>
        <w:left w:val="none" w:sz="0" w:space="0" w:color="auto"/>
        <w:bottom w:val="none" w:sz="0" w:space="0" w:color="auto"/>
        <w:right w:val="none" w:sz="0" w:space="0" w:color="auto"/>
      </w:divBdr>
    </w:div>
    <w:div w:id="1066297979">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202286420">
      <w:bodyDiv w:val="1"/>
      <w:marLeft w:val="0"/>
      <w:marRight w:val="0"/>
      <w:marTop w:val="0"/>
      <w:marBottom w:val="0"/>
      <w:divBdr>
        <w:top w:val="none" w:sz="0" w:space="0" w:color="auto"/>
        <w:left w:val="none" w:sz="0" w:space="0" w:color="auto"/>
        <w:bottom w:val="none" w:sz="0" w:space="0" w:color="auto"/>
        <w:right w:val="none" w:sz="0" w:space="0" w:color="auto"/>
      </w:divBdr>
    </w:div>
    <w:div w:id="1360083578">
      <w:bodyDiv w:val="1"/>
      <w:marLeft w:val="0"/>
      <w:marRight w:val="0"/>
      <w:marTop w:val="0"/>
      <w:marBottom w:val="0"/>
      <w:divBdr>
        <w:top w:val="none" w:sz="0" w:space="0" w:color="auto"/>
        <w:left w:val="none" w:sz="0" w:space="0" w:color="auto"/>
        <w:bottom w:val="none" w:sz="0" w:space="0" w:color="auto"/>
        <w:right w:val="none" w:sz="0" w:space="0" w:color="auto"/>
      </w:divBdr>
      <w:divsChild>
        <w:div w:id="1275946426">
          <w:marLeft w:val="0"/>
          <w:marRight w:val="0"/>
          <w:marTop w:val="0"/>
          <w:marBottom w:val="0"/>
          <w:divBdr>
            <w:top w:val="none" w:sz="0" w:space="0" w:color="auto"/>
            <w:left w:val="none" w:sz="0" w:space="0" w:color="auto"/>
            <w:bottom w:val="none" w:sz="0" w:space="0" w:color="auto"/>
            <w:right w:val="none" w:sz="0" w:space="0" w:color="auto"/>
          </w:divBdr>
        </w:div>
        <w:div w:id="370038692">
          <w:marLeft w:val="0"/>
          <w:marRight w:val="0"/>
          <w:marTop w:val="0"/>
          <w:marBottom w:val="0"/>
          <w:divBdr>
            <w:top w:val="none" w:sz="0" w:space="0" w:color="auto"/>
            <w:left w:val="none" w:sz="0" w:space="0" w:color="auto"/>
            <w:bottom w:val="none" w:sz="0" w:space="0" w:color="auto"/>
            <w:right w:val="none" w:sz="0" w:space="0" w:color="auto"/>
          </w:divBdr>
        </w:div>
      </w:divsChild>
    </w:div>
    <w:div w:id="1465393375">
      <w:bodyDiv w:val="1"/>
      <w:marLeft w:val="0"/>
      <w:marRight w:val="0"/>
      <w:marTop w:val="0"/>
      <w:marBottom w:val="0"/>
      <w:divBdr>
        <w:top w:val="none" w:sz="0" w:space="0" w:color="auto"/>
        <w:left w:val="none" w:sz="0" w:space="0" w:color="auto"/>
        <w:bottom w:val="none" w:sz="0" w:space="0" w:color="auto"/>
        <w:right w:val="none" w:sz="0" w:space="0" w:color="auto"/>
      </w:divBdr>
      <w:divsChild>
        <w:div w:id="1337659948">
          <w:marLeft w:val="0"/>
          <w:marRight w:val="0"/>
          <w:marTop w:val="0"/>
          <w:marBottom w:val="0"/>
          <w:divBdr>
            <w:top w:val="none" w:sz="0" w:space="0" w:color="auto"/>
            <w:left w:val="none" w:sz="0" w:space="0" w:color="auto"/>
            <w:bottom w:val="none" w:sz="0" w:space="0" w:color="auto"/>
            <w:right w:val="none" w:sz="0" w:space="0" w:color="auto"/>
          </w:divBdr>
        </w:div>
        <w:div w:id="677581041">
          <w:marLeft w:val="0"/>
          <w:marRight w:val="0"/>
          <w:marTop w:val="0"/>
          <w:marBottom w:val="0"/>
          <w:divBdr>
            <w:top w:val="none" w:sz="0" w:space="0" w:color="auto"/>
            <w:left w:val="none" w:sz="0" w:space="0" w:color="auto"/>
            <w:bottom w:val="none" w:sz="0" w:space="0" w:color="auto"/>
            <w:right w:val="none" w:sz="0" w:space="0" w:color="auto"/>
          </w:divBdr>
        </w:div>
        <w:div w:id="1572499689">
          <w:marLeft w:val="0"/>
          <w:marRight w:val="0"/>
          <w:marTop w:val="0"/>
          <w:marBottom w:val="0"/>
          <w:divBdr>
            <w:top w:val="none" w:sz="0" w:space="0" w:color="auto"/>
            <w:left w:val="none" w:sz="0" w:space="0" w:color="auto"/>
            <w:bottom w:val="none" w:sz="0" w:space="0" w:color="auto"/>
            <w:right w:val="none" w:sz="0" w:space="0" w:color="auto"/>
          </w:divBdr>
        </w:div>
      </w:divsChild>
    </w:div>
    <w:div w:id="1615139693">
      <w:bodyDiv w:val="1"/>
      <w:marLeft w:val="0"/>
      <w:marRight w:val="0"/>
      <w:marTop w:val="0"/>
      <w:marBottom w:val="0"/>
      <w:divBdr>
        <w:top w:val="none" w:sz="0" w:space="0" w:color="auto"/>
        <w:left w:val="none" w:sz="0" w:space="0" w:color="auto"/>
        <w:bottom w:val="none" w:sz="0" w:space="0" w:color="auto"/>
        <w:right w:val="none" w:sz="0" w:space="0" w:color="auto"/>
      </w:divBdr>
    </w:div>
    <w:div w:id="1960524352">
      <w:bodyDiv w:val="1"/>
      <w:marLeft w:val="0"/>
      <w:marRight w:val="0"/>
      <w:marTop w:val="0"/>
      <w:marBottom w:val="0"/>
      <w:divBdr>
        <w:top w:val="none" w:sz="0" w:space="0" w:color="auto"/>
        <w:left w:val="none" w:sz="0" w:space="0" w:color="auto"/>
        <w:bottom w:val="none" w:sz="0" w:space="0" w:color="auto"/>
        <w:right w:val="none" w:sz="0" w:space="0" w:color="auto"/>
      </w:divBdr>
    </w:div>
    <w:div w:id="21144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ICPSR/studies/348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ps.ruc.edu.cn/English/Overview/Overview.htm" TargetMode="External"/><Relationship Id="rId12" Type="http://schemas.openxmlformats.org/officeDocument/2006/relationships/hyperlink" Target="https://edopportunity.org/discov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9990652/" TargetMode="External"/><Relationship Id="rId11" Type="http://schemas.openxmlformats.org/officeDocument/2006/relationships/hyperlink" Target="https://edopportunity.org" TargetMode="External"/><Relationship Id="rId5" Type="http://schemas.openxmlformats.org/officeDocument/2006/relationships/hyperlink" Target="https://doi.org/10.3886/E145681V1-98740" TargetMode="External"/><Relationship Id="rId10" Type="http://schemas.openxmlformats.org/officeDocument/2006/relationships/hyperlink" Target="https://www.edworkingpapers.com/ai21-441" TargetMode="External"/><Relationship Id="rId4" Type="http://schemas.openxmlformats.org/officeDocument/2006/relationships/webSettings" Target="webSettings.xml"/><Relationship Id="rId9" Type="http://schemas.openxmlformats.org/officeDocument/2006/relationships/hyperlink" Target="https://addhealth.cpc.unc.edu/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13</cp:revision>
  <dcterms:created xsi:type="dcterms:W3CDTF">2022-07-22T11:27:00Z</dcterms:created>
  <dcterms:modified xsi:type="dcterms:W3CDTF">2022-08-08T11:51:00Z</dcterms:modified>
</cp:coreProperties>
</file>