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DF96" w14:textId="77777777" w:rsidR="009639AD" w:rsidRDefault="00000000">
      <w:pPr>
        <w:spacing w:before="240" w:after="0"/>
        <w:jc w:val="center"/>
        <w:rPr>
          <w:b/>
          <w:bCs/>
          <w:color w:val="074F6A"/>
          <w:sz w:val="32"/>
          <w:szCs w:val="32"/>
        </w:rPr>
      </w:pPr>
      <w:r>
        <w:rPr>
          <w:b/>
          <w:bCs/>
          <w:color w:val="074F6A"/>
          <w:sz w:val="32"/>
          <w:szCs w:val="32"/>
        </w:rPr>
        <w:t>IAG DENUCHANGE Workshop</w:t>
      </w:r>
    </w:p>
    <w:p w14:paraId="071572C2" w14:textId="77777777" w:rsidR="009639AD" w:rsidRDefault="00000000">
      <w:pPr>
        <w:spacing w:after="0"/>
        <w:jc w:val="center"/>
        <w:rPr>
          <w:b/>
          <w:bCs/>
          <w:color w:val="074F6A"/>
          <w:sz w:val="32"/>
          <w:szCs w:val="32"/>
        </w:rPr>
      </w:pPr>
      <w:r>
        <w:rPr>
          <w:b/>
          <w:bCs/>
          <w:color w:val="074F6A"/>
          <w:sz w:val="32"/>
          <w:szCs w:val="32"/>
        </w:rPr>
        <w:t>6-9 October 2026</w:t>
      </w:r>
    </w:p>
    <w:p w14:paraId="5CE03A37" w14:textId="77777777" w:rsidR="009639AD" w:rsidRDefault="00000000">
      <w:pPr>
        <w:spacing w:after="0"/>
        <w:jc w:val="center"/>
        <w:rPr>
          <w:b/>
          <w:bCs/>
          <w:color w:val="074F6A"/>
          <w:sz w:val="32"/>
          <w:szCs w:val="32"/>
        </w:rPr>
      </w:pPr>
      <w:r>
        <w:rPr>
          <w:b/>
          <w:bCs/>
          <w:color w:val="074F6A"/>
          <w:sz w:val="32"/>
          <w:szCs w:val="32"/>
        </w:rPr>
        <w:t>Naxos, Greece</w:t>
      </w:r>
    </w:p>
    <w:p w14:paraId="21264399" w14:textId="77777777" w:rsidR="009639AD" w:rsidRDefault="00000000">
      <w:pPr>
        <w:spacing w:after="0"/>
        <w:jc w:val="center"/>
        <w:rPr>
          <w:b/>
          <w:bCs/>
          <w:color w:val="074F6A"/>
          <w:sz w:val="32"/>
          <w:szCs w:val="32"/>
        </w:rPr>
      </w:pPr>
      <w:r>
        <w:rPr>
          <w:b/>
          <w:bCs/>
          <w:color w:val="074F6A"/>
          <w:sz w:val="32"/>
          <w:szCs w:val="32"/>
        </w:rPr>
        <w:t>First circular</w:t>
      </w:r>
    </w:p>
    <w:p w14:paraId="53FC0279" w14:textId="77777777" w:rsidR="009639AD" w:rsidRDefault="00000000">
      <w:pPr>
        <w:spacing w:after="0"/>
        <w:jc w:val="center"/>
      </w:pPr>
      <w:r>
        <w:rPr>
          <w:noProof/>
        </w:rPr>
        <w:drawing>
          <wp:inline distT="0" distB="0" distL="0" distR="0" wp14:anchorId="2F614534" wp14:editId="41A8A313">
            <wp:extent cx="4677265" cy="2630902"/>
            <wp:effectExtent l="0" t="0" r="9035" b="0"/>
            <wp:docPr id="1223272139" name="Picture 12" descr="Aerial view of a beach and la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b="25000"/>
                    <a:stretch>
                      <a:fillRect/>
                    </a:stretch>
                  </pic:blipFill>
                  <pic:spPr>
                    <a:xfrm>
                      <a:off x="0" y="0"/>
                      <a:ext cx="4677265" cy="2630902"/>
                    </a:xfrm>
                    <a:prstGeom prst="rect">
                      <a:avLst/>
                    </a:prstGeom>
                    <a:noFill/>
                    <a:ln>
                      <a:noFill/>
                      <a:prstDash/>
                    </a:ln>
                  </pic:spPr>
                </pic:pic>
              </a:graphicData>
            </a:graphic>
          </wp:inline>
        </w:drawing>
      </w:r>
    </w:p>
    <w:p w14:paraId="05F7B726" w14:textId="77777777" w:rsidR="009639AD" w:rsidRDefault="00000000">
      <w:pPr>
        <w:spacing w:before="120" w:after="0"/>
        <w:rPr>
          <w:b/>
          <w:bCs/>
          <w:color w:val="074F6A"/>
        </w:rPr>
      </w:pPr>
      <w:r>
        <w:rPr>
          <w:b/>
          <w:bCs/>
          <w:color w:val="074F6A"/>
        </w:rPr>
        <w:t>WORKSHOP AIMS AND TOPICS</w:t>
      </w:r>
    </w:p>
    <w:p w14:paraId="0B39E275" w14:textId="77777777" w:rsidR="009639AD" w:rsidRDefault="00000000">
      <w:pPr>
        <w:spacing w:after="0"/>
      </w:pPr>
      <w:r>
        <w:t>We are pleased to invite you to take part in the workshop of the IAG-DENUCHANGE Working Group that will take place at Naxos, Greece, on 6-9 October 2026.</w:t>
      </w:r>
    </w:p>
    <w:p w14:paraId="46B15814" w14:textId="77777777" w:rsidR="009639AD" w:rsidRDefault="00000000">
      <w:pPr>
        <w:spacing w:after="0"/>
      </w:pPr>
      <w:r>
        <w:t>The workshop aims to bring together geoscientists, to contribute to an advanced understanding of denudation processes, such as weathering, erosion and mass movements in both coastal and terrestrial environments, their drivers, rates, diversity and variability around the world, and to facilitate future collaborations.</w:t>
      </w:r>
    </w:p>
    <w:p w14:paraId="1C8CCC3D" w14:textId="77777777" w:rsidR="009639AD" w:rsidRDefault="00000000">
      <w:pPr>
        <w:spacing w:before="120" w:after="0"/>
        <w:rPr>
          <w:b/>
          <w:bCs/>
          <w:color w:val="074F6A"/>
        </w:rPr>
      </w:pPr>
      <w:r>
        <w:rPr>
          <w:b/>
          <w:bCs/>
          <w:color w:val="074F6A"/>
        </w:rPr>
        <w:t>DATES</w:t>
      </w:r>
    </w:p>
    <w:p w14:paraId="6083F2E3" w14:textId="77777777" w:rsidR="009639AD" w:rsidRDefault="00000000">
      <w:pPr>
        <w:spacing w:after="0"/>
      </w:pPr>
      <w:r>
        <w:t>6-7 October 2026, presentations and poster sessions</w:t>
      </w:r>
    </w:p>
    <w:p w14:paraId="4109C72E" w14:textId="77777777" w:rsidR="009639AD" w:rsidRDefault="00000000">
      <w:pPr>
        <w:spacing w:after="0"/>
      </w:pPr>
      <w:r>
        <w:t>8-9 October 2026, field trip</w:t>
      </w:r>
    </w:p>
    <w:p w14:paraId="2F2B0BF3" w14:textId="77777777" w:rsidR="009639AD" w:rsidRDefault="00000000">
      <w:pPr>
        <w:spacing w:before="240" w:after="0"/>
        <w:rPr>
          <w:b/>
          <w:bCs/>
          <w:color w:val="074F6A"/>
        </w:rPr>
      </w:pPr>
      <w:r>
        <w:rPr>
          <w:b/>
          <w:bCs/>
          <w:color w:val="074F6A"/>
        </w:rPr>
        <w:t>ORGANIZING COMMITTEE</w:t>
      </w:r>
    </w:p>
    <w:p w14:paraId="217633C2" w14:textId="77777777" w:rsidR="009639AD" w:rsidRDefault="00000000">
      <w:pPr>
        <w:spacing w:after="0"/>
      </w:pPr>
      <w:r>
        <w:t>Prof. Evelpidou Niki, Department of Geology &amp; Geoenvironment, National &amp; Kapodistrian University of Athens</w:t>
      </w:r>
    </w:p>
    <w:p w14:paraId="4EAC6215" w14:textId="77777777" w:rsidR="009639AD" w:rsidRDefault="00000000">
      <w:pPr>
        <w:spacing w:after="0"/>
      </w:pPr>
      <w:r>
        <w:t>Dr. Anna Karkani, Department of Geology &amp; Geoenvironment, National &amp; Kapodistrian University of Athens</w:t>
      </w:r>
    </w:p>
    <w:p w14:paraId="463B99D8" w14:textId="77777777" w:rsidR="009639AD" w:rsidRDefault="00000000">
      <w:pPr>
        <w:spacing w:after="0"/>
      </w:pPr>
      <w:r>
        <w:t>Dr. Giannis Saitis, Department of Geology &amp; Geoenvironment, National &amp; Kapodistrian University of Athens</w:t>
      </w:r>
    </w:p>
    <w:p w14:paraId="7789C19E" w14:textId="77777777" w:rsidR="009639AD" w:rsidRDefault="009639AD">
      <w:pPr>
        <w:spacing w:after="0"/>
      </w:pPr>
    </w:p>
    <w:p w14:paraId="7AD5B58B" w14:textId="77777777" w:rsidR="009639AD" w:rsidRDefault="00000000">
      <w:pPr>
        <w:spacing w:after="0"/>
      </w:pPr>
      <w:commentRangeStart w:id="0"/>
      <w:r>
        <w:rPr>
          <w:b/>
          <w:bCs/>
          <w:color w:val="074F6A"/>
        </w:rPr>
        <w:t>SCIENTIFIC COMMITTEE</w:t>
      </w:r>
      <w:commentRangeEnd w:id="0"/>
      <w:r>
        <w:rPr>
          <w:rStyle w:val="CommentReference"/>
          <w:sz w:val="22"/>
          <w:szCs w:val="24"/>
        </w:rPr>
        <w:commentReference w:id="0"/>
      </w:r>
    </w:p>
    <w:p w14:paraId="73A28C1B" w14:textId="77777777" w:rsidR="009639AD" w:rsidRDefault="00000000">
      <w:pPr>
        <w:spacing w:after="0"/>
      </w:pPr>
      <w:r>
        <w:t>Dr. Achim A. Beylich, Geomorphological Field Laboratory (GFL), Selbustrand, Norway</w:t>
      </w:r>
    </w:p>
    <w:p w14:paraId="3DE5D654" w14:textId="77777777" w:rsidR="009639AD" w:rsidRDefault="00000000">
      <w:pPr>
        <w:spacing w:after="0"/>
      </w:pPr>
      <w:r>
        <w:t>Prof. Niki Evelpidou, Faculty of Geology &amp; Geoenvironment, National &amp; Kapodistrian University of Athens, Greece</w:t>
      </w:r>
    </w:p>
    <w:p w14:paraId="355C2B5C" w14:textId="77777777" w:rsidR="009639AD" w:rsidRDefault="00000000">
      <w:pPr>
        <w:spacing w:after="0"/>
      </w:pPr>
      <w:r>
        <w:t>Dr. Anna Karkani, Faculty of Geology &amp; Geoenvironment, National &amp; Kapodistrian University of Athens, Greece</w:t>
      </w:r>
    </w:p>
    <w:p w14:paraId="2BF82FE8" w14:textId="77777777" w:rsidR="009639AD" w:rsidRDefault="00000000">
      <w:pPr>
        <w:spacing w:after="0"/>
      </w:pPr>
      <w:r>
        <w:t>Dr. Eliza Płaczkowska, Institute of Geological Sciences, University of Wrocław, Poland</w:t>
      </w:r>
    </w:p>
    <w:p w14:paraId="6B5295B2" w14:textId="77777777" w:rsidR="009639AD" w:rsidRDefault="00000000">
      <w:pPr>
        <w:spacing w:after="0"/>
      </w:pPr>
      <w:r>
        <w:t>Prof. Nurit Shtober-Zisu, Department of Israel Studies, University of Haifa, Haifa, Israel</w:t>
      </w:r>
    </w:p>
    <w:p w14:paraId="5A45B344" w14:textId="77777777" w:rsidR="009639AD" w:rsidRDefault="00000000">
      <w:pPr>
        <w:spacing w:after="0"/>
      </w:pPr>
      <w:r>
        <w:t>Prof. Zbigniew Zwoliński, Institute of Geoecology and Geoinformation, Adam Mickiewicz University in Poznań, Poland.</w:t>
      </w:r>
    </w:p>
    <w:p w14:paraId="3EFB1D3B" w14:textId="77777777" w:rsidR="009639AD" w:rsidRDefault="009639AD">
      <w:pPr>
        <w:spacing w:after="0"/>
      </w:pPr>
    </w:p>
    <w:p w14:paraId="429D3EFE" w14:textId="77777777" w:rsidR="009639AD" w:rsidRDefault="00000000">
      <w:pPr>
        <w:spacing w:after="0"/>
        <w:rPr>
          <w:b/>
          <w:bCs/>
          <w:color w:val="074F6A"/>
        </w:rPr>
      </w:pPr>
      <w:r>
        <w:rPr>
          <w:b/>
          <w:bCs/>
          <w:color w:val="074F6A"/>
        </w:rPr>
        <w:t>WORKSHOP REGISTRATION FEES</w:t>
      </w:r>
    </w:p>
    <w:p w14:paraId="258678F5" w14:textId="77777777" w:rsidR="009639AD" w:rsidRDefault="00000000">
      <w:pPr>
        <w:spacing w:after="0"/>
      </w:pPr>
      <w:r>
        <w:t>Regular fee (2 days meeting + 2 days field trip): 450 €</w:t>
      </w:r>
    </w:p>
    <w:p w14:paraId="32DB0AF3" w14:textId="77777777" w:rsidR="009639AD" w:rsidRDefault="00000000">
      <w:pPr>
        <w:spacing w:after="0"/>
      </w:pPr>
      <w:r>
        <w:t>Student fee (2 days meeting + 2 days field trip): 300 €</w:t>
      </w:r>
    </w:p>
    <w:p w14:paraId="183FCBBF" w14:textId="77777777" w:rsidR="009639AD" w:rsidRDefault="00000000">
      <w:pPr>
        <w:spacing w:after="0"/>
      </w:pPr>
      <w:r>
        <w:t>Regular/Student fee (only 2 days meeting): 100 €</w:t>
      </w:r>
    </w:p>
    <w:p w14:paraId="62780C17" w14:textId="77777777" w:rsidR="009639AD" w:rsidRDefault="00000000">
      <w:pPr>
        <w:spacing w:after="0"/>
      </w:pPr>
      <w:r>
        <w:t>Accompanying person to the field trip: 300 €</w:t>
      </w:r>
    </w:p>
    <w:p w14:paraId="3274C6EB" w14:textId="77777777" w:rsidR="009639AD" w:rsidRDefault="009639AD">
      <w:pPr>
        <w:spacing w:after="0"/>
      </w:pPr>
    </w:p>
    <w:p w14:paraId="44FFE2D0" w14:textId="77777777" w:rsidR="009639AD" w:rsidRDefault="00000000">
      <w:pPr>
        <w:spacing w:after="0"/>
        <w:rPr>
          <w:i/>
          <w:iCs/>
        </w:rPr>
      </w:pPr>
      <w:r>
        <w:rPr>
          <w:i/>
          <w:iCs/>
        </w:rPr>
        <w:t>The full regular/student fee covers meeting materials, coffee breaks and lunches during the workshop (6-7/10/2026), Workshop Dinner (7/10/2026) and the 2-day field trip.</w:t>
      </w:r>
    </w:p>
    <w:p w14:paraId="27AD1D4E" w14:textId="77777777" w:rsidR="009639AD" w:rsidRDefault="009639AD">
      <w:pPr>
        <w:spacing w:after="0"/>
      </w:pPr>
    </w:p>
    <w:p w14:paraId="374A07B6" w14:textId="77777777" w:rsidR="009639AD" w:rsidRDefault="00000000">
      <w:pPr>
        <w:spacing w:after="0"/>
        <w:rPr>
          <w:b/>
          <w:bCs/>
          <w:color w:val="074F6A"/>
        </w:rPr>
      </w:pPr>
      <w:r>
        <w:rPr>
          <w:b/>
          <w:bCs/>
          <w:color w:val="074F6A"/>
        </w:rPr>
        <w:t>REGISTRATION FORM AND ABSTRACT SUBMISSION</w:t>
      </w:r>
    </w:p>
    <w:p w14:paraId="2E16AACF" w14:textId="77777777" w:rsidR="009639AD" w:rsidRDefault="00000000">
      <w:pPr>
        <w:spacing w:after="0"/>
      </w:pPr>
      <w:r>
        <w:t xml:space="preserve">Please, register and submit your abstract at </w:t>
      </w:r>
      <w:hyperlink r:id="rId10" w:history="1">
        <w:r>
          <w:rPr>
            <w:rStyle w:val="Hyperlink"/>
          </w:rPr>
          <w:t>https://forms.gle/Nz7TP2rviNwt8k437</w:t>
        </w:r>
      </w:hyperlink>
    </w:p>
    <w:p w14:paraId="36A38AEF" w14:textId="77777777" w:rsidR="009639AD" w:rsidRDefault="00000000">
      <w:pPr>
        <w:spacing w:after="0"/>
      </w:pPr>
      <w:r>
        <w:t xml:space="preserve">Please, specify your preference between oral and poster presentation. </w:t>
      </w:r>
    </w:p>
    <w:p w14:paraId="3B15D475" w14:textId="77777777" w:rsidR="009639AD" w:rsidRDefault="00000000">
      <w:pPr>
        <w:spacing w:after="0"/>
      </w:pPr>
      <w:r>
        <w:t xml:space="preserve">Abstracts must not exceed 500 words (not counting abstract title or author string) and must be submitted in English. It is recommended to type the text of the abstract in a Word processing programme in Calibri font size 11. </w:t>
      </w:r>
      <w:r>
        <w:rPr>
          <w:i/>
          <w:iCs/>
        </w:rPr>
        <w:t xml:space="preserve">Please rename your file as: </w:t>
      </w:r>
      <w:r>
        <w:rPr>
          <w:b/>
          <w:bCs/>
          <w:i/>
          <w:iCs/>
        </w:rPr>
        <w:t>Surname_Name_Topic.docx</w:t>
      </w:r>
      <w:r>
        <w:rPr>
          <w:i/>
          <w:iCs/>
        </w:rPr>
        <w:t xml:space="preserve"> before uploading.</w:t>
      </w:r>
    </w:p>
    <w:p w14:paraId="4F8459FB" w14:textId="77777777" w:rsidR="009639AD" w:rsidRDefault="009639AD">
      <w:pPr>
        <w:spacing w:after="0"/>
      </w:pPr>
    </w:p>
    <w:p w14:paraId="237CC4FB" w14:textId="77777777" w:rsidR="009639AD" w:rsidRDefault="00000000">
      <w:pPr>
        <w:pStyle w:val="Header"/>
        <w:spacing w:before="120" w:line="360" w:lineRule="auto"/>
        <w:ind w:right="-23"/>
      </w:pPr>
      <w:r>
        <w:rPr>
          <w:rStyle w:val="Strong"/>
          <w:color w:val="074F6A"/>
        </w:rPr>
        <w:t>DEADLINES</w:t>
      </w:r>
    </w:p>
    <w:p w14:paraId="049DA003" w14:textId="77777777" w:rsidR="009639AD" w:rsidRDefault="00000000">
      <w:pPr>
        <w:rPr>
          <w:b/>
          <w:bCs/>
          <w:color w:val="EE0000"/>
        </w:rPr>
      </w:pPr>
      <w:r>
        <w:rPr>
          <w:b/>
          <w:bCs/>
          <w:color w:val="EE0000"/>
        </w:rPr>
        <w:t>30 May 2026: Deadline for abstract submission</w:t>
      </w:r>
    </w:p>
    <w:p w14:paraId="2E1049DD" w14:textId="77777777" w:rsidR="009639AD" w:rsidRDefault="00000000">
      <w:pPr>
        <w:rPr>
          <w:b/>
          <w:bCs/>
          <w:color w:val="EE0000"/>
        </w:rPr>
      </w:pPr>
      <w:r>
        <w:rPr>
          <w:b/>
          <w:bCs/>
          <w:color w:val="EE0000"/>
        </w:rPr>
        <w:t>15 June 3026: Notifications to authors</w:t>
      </w:r>
    </w:p>
    <w:p w14:paraId="41EE74A8" w14:textId="77777777" w:rsidR="009639AD" w:rsidRDefault="00000000">
      <w:pPr>
        <w:rPr>
          <w:b/>
          <w:bCs/>
          <w:color w:val="EE0000"/>
        </w:rPr>
      </w:pPr>
      <w:r>
        <w:rPr>
          <w:b/>
          <w:bCs/>
          <w:color w:val="EE0000"/>
        </w:rPr>
        <w:t>15 July 2026: Deadline for registration</w:t>
      </w:r>
    </w:p>
    <w:p w14:paraId="73FE34E8" w14:textId="77777777" w:rsidR="009639AD" w:rsidRDefault="009639AD"/>
    <w:p w14:paraId="7A40AD5A" w14:textId="77777777" w:rsidR="009639AD" w:rsidRDefault="00000000">
      <w:pPr>
        <w:spacing w:before="240" w:after="0"/>
        <w:rPr>
          <w:b/>
          <w:bCs/>
          <w:color w:val="074F6A"/>
        </w:rPr>
      </w:pPr>
      <w:r>
        <w:rPr>
          <w:b/>
          <w:bCs/>
          <w:color w:val="074F6A"/>
        </w:rPr>
        <w:t>FIELDTRIP</w:t>
      </w:r>
    </w:p>
    <w:p w14:paraId="1E474651" w14:textId="77777777" w:rsidR="009639AD" w:rsidRDefault="00000000">
      <w:r>
        <w:t>The post-workshop field trip will take place on 8-9 October 2026 on Naxos Island, dedicated to exploring the critical continuum between catchment dynamics and coastal evolution. A major focus will be placed on the island’s interior to examine drivers of land degradation and desertification. Participants will observe the geomorphological footprint of forest fires, analyze runoff erosion processes, and discuss the impact of agricultural terraces and dams on sediment budgets. Moving from the hinterland to the coast, the itinerary addresses hydro-geomorphological hazards, including flash floods (Peritsis river), before examining coastal pressures. Key stops (Alyko, Laguna, Pyrgaki) will highlight cliff retreat and dune erosion, evaluating the effectiveness of Nature-based Solutions (NbS) for climate adaptation.</w:t>
      </w:r>
    </w:p>
    <w:sectPr w:rsidR="009639AD">
      <w:headerReference w:type="default" r:id="rId11"/>
      <w:pgSz w:w="11906" w:h="16838"/>
      <w:pgMar w:top="1418" w:right="1134" w:bottom="1418"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Karkani" w:date="2025-12-28T19:32:00Z" w:initials="AK">
    <w:p w14:paraId="7D84D8CE" w14:textId="77777777" w:rsidR="009639AD" w:rsidRDefault="00000000">
      <w:pPr>
        <w:pStyle w:val="CommentText"/>
        <w:jc w:val="left"/>
      </w:pPr>
      <w:r>
        <w:rPr>
          <w:rStyle w:val="CommentReference"/>
        </w:rPr>
        <w:annotationRef/>
      </w:r>
      <w:r>
        <w:t>Τα έβαλα αλφαβητικά με βάση το επώνυμο.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84D8C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84D8CE" w16cid:durableId="26C8E2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701C7" w14:textId="77777777" w:rsidR="003D0D8D" w:rsidRDefault="003D0D8D">
      <w:pPr>
        <w:spacing w:after="0" w:line="240" w:lineRule="auto"/>
      </w:pPr>
      <w:r>
        <w:separator/>
      </w:r>
    </w:p>
  </w:endnote>
  <w:endnote w:type="continuationSeparator" w:id="0">
    <w:p w14:paraId="2955B9E3" w14:textId="77777777" w:rsidR="003D0D8D" w:rsidRDefault="003D0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F43F2" w14:textId="77777777" w:rsidR="003D0D8D" w:rsidRDefault="003D0D8D">
      <w:pPr>
        <w:spacing w:after="0" w:line="240" w:lineRule="auto"/>
      </w:pPr>
      <w:r>
        <w:rPr>
          <w:color w:val="000000"/>
        </w:rPr>
        <w:separator/>
      </w:r>
    </w:p>
  </w:footnote>
  <w:footnote w:type="continuationSeparator" w:id="0">
    <w:p w14:paraId="11A070FA" w14:textId="77777777" w:rsidR="003D0D8D" w:rsidRDefault="003D0D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1" w:type="dxa"/>
      <w:tblInd w:w="-431" w:type="dxa"/>
      <w:tblCellMar>
        <w:left w:w="10" w:type="dxa"/>
        <w:right w:w="10" w:type="dxa"/>
      </w:tblCellMar>
      <w:tblLook w:val="0000" w:firstRow="0" w:lastRow="0" w:firstColumn="0" w:lastColumn="0" w:noHBand="0" w:noVBand="0"/>
    </w:tblPr>
    <w:tblGrid>
      <w:gridCol w:w="3497"/>
      <w:gridCol w:w="3497"/>
      <w:gridCol w:w="3497"/>
    </w:tblGrid>
    <w:tr w:rsidR="00770940" w14:paraId="190FACC1" w14:textId="77777777">
      <w:tblPrEx>
        <w:tblCellMar>
          <w:top w:w="0" w:type="dxa"/>
          <w:bottom w:w="0" w:type="dxa"/>
        </w:tblCellMar>
      </w:tblPrEx>
      <w:tc>
        <w:tcPr>
          <w:tcW w:w="3497" w:type="dxa"/>
          <w:tcMar>
            <w:top w:w="0" w:type="dxa"/>
            <w:left w:w="108" w:type="dxa"/>
            <w:bottom w:w="0" w:type="dxa"/>
            <w:right w:w="108" w:type="dxa"/>
          </w:tcMar>
          <w:vAlign w:val="center"/>
        </w:tcPr>
        <w:p w14:paraId="4C919D4D" w14:textId="77777777" w:rsidR="00000000" w:rsidRDefault="00000000">
          <w:pPr>
            <w:pStyle w:val="Header"/>
            <w:jc w:val="center"/>
          </w:pPr>
          <w:r>
            <w:rPr>
              <w:noProof/>
            </w:rPr>
            <w:drawing>
              <wp:inline distT="0" distB="0" distL="0" distR="0" wp14:anchorId="2645B310" wp14:editId="5AF3393D">
                <wp:extent cx="1114425" cy="923928"/>
                <wp:effectExtent l="0" t="0" r="9525" b="9522"/>
                <wp:docPr id="65651772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114425" cy="923928"/>
                        </a:xfrm>
                        <a:prstGeom prst="rect">
                          <a:avLst/>
                        </a:prstGeom>
                        <a:noFill/>
                        <a:ln>
                          <a:noFill/>
                          <a:prstDash/>
                        </a:ln>
                      </pic:spPr>
                    </pic:pic>
                  </a:graphicData>
                </a:graphic>
              </wp:inline>
            </w:drawing>
          </w:r>
        </w:p>
      </w:tc>
      <w:tc>
        <w:tcPr>
          <w:tcW w:w="3497" w:type="dxa"/>
          <w:tcMar>
            <w:top w:w="0" w:type="dxa"/>
            <w:left w:w="108" w:type="dxa"/>
            <w:bottom w:w="0" w:type="dxa"/>
            <w:right w:w="108" w:type="dxa"/>
          </w:tcMar>
          <w:vAlign w:val="center"/>
        </w:tcPr>
        <w:p w14:paraId="094C71E9" w14:textId="77777777" w:rsidR="00000000" w:rsidRDefault="00000000">
          <w:pPr>
            <w:pStyle w:val="Header"/>
            <w:jc w:val="center"/>
          </w:pPr>
          <w:r>
            <w:rPr>
              <w:noProof/>
            </w:rPr>
            <w:drawing>
              <wp:inline distT="0" distB="0" distL="0" distR="0" wp14:anchorId="3FE7BD7D" wp14:editId="385D4691">
                <wp:extent cx="1704971" cy="923928"/>
                <wp:effectExtent l="0" t="0" r="0" b="9522"/>
                <wp:docPr id="2086423060"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04971" cy="923928"/>
                        </a:xfrm>
                        <a:prstGeom prst="rect">
                          <a:avLst/>
                        </a:prstGeom>
                        <a:noFill/>
                        <a:ln>
                          <a:noFill/>
                          <a:prstDash/>
                        </a:ln>
                      </pic:spPr>
                    </pic:pic>
                  </a:graphicData>
                </a:graphic>
              </wp:inline>
            </w:drawing>
          </w:r>
        </w:p>
      </w:tc>
      <w:tc>
        <w:tcPr>
          <w:tcW w:w="3497" w:type="dxa"/>
          <w:tcMar>
            <w:top w:w="0" w:type="dxa"/>
            <w:left w:w="108" w:type="dxa"/>
            <w:bottom w:w="0" w:type="dxa"/>
            <w:right w:w="108" w:type="dxa"/>
          </w:tcMar>
          <w:vAlign w:val="center"/>
        </w:tcPr>
        <w:p w14:paraId="54BAB070" w14:textId="77777777" w:rsidR="00000000" w:rsidRDefault="00000000">
          <w:pPr>
            <w:pStyle w:val="Header"/>
            <w:jc w:val="center"/>
          </w:pPr>
          <w:r>
            <w:rPr>
              <w:noProof/>
            </w:rPr>
            <w:drawing>
              <wp:inline distT="0" distB="0" distL="0" distR="0" wp14:anchorId="6D690090" wp14:editId="704796FC">
                <wp:extent cx="1780528" cy="469864"/>
                <wp:effectExtent l="0" t="0" r="0" b="6386"/>
                <wp:docPr id="1754792771"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tretch>
                          <a:fillRect/>
                        </a:stretch>
                      </pic:blipFill>
                      <pic:spPr>
                        <a:xfrm>
                          <a:off x="0" y="0"/>
                          <a:ext cx="1780528" cy="469864"/>
                        </a:xfrm>
                        <a:prstGeom prst="rect">
                          <a:avLst/>
                        </a:prstGeom>
                        <a:noFill/>
                        <a:ln>
                          <a:noFill/>
                          <a:prstDash/>
                        </a:ln>
                      </pic:spPr>
                    </pic:pic>
                  </a:graphicData>
                </a:graphic>
              </wp:inline>
            </w:drawing>
          </w:r>
        </w:p>
      </w:tc>
    </w:tr>
  </w:tbl>
  <w:p w14:paraId="09632974"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639AD"/>
    <w:rsid w:val="003D0D8D"/>
    <w:rsid w:val="006D5B6A"/>
    <w:rsid w:val="00910406"/>
    <w:rsid w:val="00963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D42FB"/>
  <w15:docId w15:val="{6CC9DCCF-A793-4D55-AAEE-B4C326C72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line="360" w:lineRule="auto"/>
      <w:jc w:val="both"/>
    </w:pPr>
    <w:rPr>
      <w:rFonts w:ascii="Calibri" w:hAnsi="Calibri"/>
      <w:sz w:val="22"/>
    </w:r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320"/>
        <w:tab w:val="right" w:pos="864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320"/>
        <w:tab w:val="right" w:pos="8640"/>
      </w:tabs>
      <w:spacing w:after="0" w:line="240" w:lineRule="auto"/>
    </w:pPr>
  </w:style>
  <w:style w:type="character" w:customStyle="1" w:styleId="FooterChar">
    <w:name w:val="Footer Char"/>
    <w:basedOn w:val="DefaultParagraphFont"/>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rFonts w:ascii="Calibri" w:hAnsi="Calibri"/>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Calibri" w:hAnsi="Calibri"/>
      <w:b/>
      <w:bCs/>
      <w:sz w:val="20"/>
      <w:szCs w:val="20"/>
    </w:rPr>
  </w:style>
  <w:style w:type="character" w:styleId="Strong">
    <w:name w:val="Strong"/>
    <w:basedOn w:val="DefaultParagraphFont"/>
    <w:rPr>
      <w:b/>
      <w:bCs/>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character" w:styleId="FollowedHyperlink">
    <w:name w:val="FollowedHyperlink"/>
    <w:basedOn w:val="DefaultParagraphFont"/>
    <w:rPr>
      <w:color w:val="96607D"/>
      <w:u w:val="single"/>
    </w:rPr>
  </w:style>
  <w:style w:type="paragraph" w:styleId="Revision">
    <w:name w:val="Revision"/>
    <w:pPr>
      <w:suppressAutoHyphens/>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forms.gle/Nz7TP2rviNwt8k437" TargetMode="External"/><Relationship Id="rId4" Type="http://schemas.openxmlformats.org/officeDocument/2006/relationships/footnotes" Target="footnotes.xml"/><Relationship Id="rId9" Type="http://schemas.microsoft.com/office/2016/09/relationships/commentsIds" Target="commentsIds.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526</Words>
  <Characters>3001</Characters>
  <Application>Microsoft Office Word</Application>
  <DocSecurity>0</DocSecurity>
  <Lines>25</Lines>
  <Paragraphs>7</Paragraphs>
  <ScaleCrop>false</ScaleCrop>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Karkani</dc:creator>
  <dc:description/>
  <cp:lastModifiedBy>Alexandros Liaskos</cp:lastModifiedBy>
  <cp:revision>2</cp:revision>
  <dcterms:created xsi:type="dcterms:W3CDTF">2026-02-19T12:17:00Z</dcterms:created>
  <dcterms:modified xsi:type="dcterms:W3CDTF">2026-02-19T12:17:00Z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1fff7022-3290-40b6-be4f-0a86fb5ef2de</vt:lpwstr>
  </property>
</Properties>
</file>