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Findings on Canadian AI Policy Proposals</w:t>
      </w:r>
    </w:p>
    <w:p>
      <w:pPr/>
      <w:r>
        <w:rPr>
          <w:rFonts w:ascii="Times New Roman" w:hAnsi="Times New Roman"/>
          <w:i w:val="0"/>
        </w:rPr>
        <w:t>The findings draw on 3,200 simulated persona responses to each of 20 Canadian AI policy proposals (64,000 policy–persona responses) and 1,533 subsequent two-agent conversations. Each single-agent response included a support rating, an assessment of whether the proposal would improve AI literacy among Canadian adults, an assessment of whether it would directly benefit the persona, and written explanations and suggestions. The conversations were generated for pairs whose three single-agent ratings fell on opposite sides of the six-point scale. We use the histogram data and the existing rating analyses descriptively, and draw on the exploratory LLooM concepts to guide close reading. All quotations below were checked against the single-agent workbook or the conversation transcripts. The speakers are simulated agents based on PIAAC-derived personas; their words are not statements from PIAAC respondents or evidence of public opinion.</w:t>
      </w:r>
    </w:p>
    <w:p>
      <w:pPr>
        <w:pStyle w:val="Heading1"/>
      </w:pPr>
      <w:r>
        <w:rPr>
          <w:rFonts w:ascii="Times New Roman" w:hAnsi="Times New Roman"/>
          <w:i w:val="0"/>
        </w:rPr>
        <w:t>Quantitative analysis</w:t>
      </w:r>
    </w:p>
    <w:p>
      <w:pPr>
        <w:pStyle w:val="Heading2"/>
      </w:pPr>
      <w:r>
        <w:rPr>
          <w:rFonts w:ascii="Times New Roman" w:hAnsi="Times New Roman"/>
          <w:i w:val="0"/>
        </w:rPr>
        <w:t>Broad support coexisted with narrower judgments of effectiveness and personal benefit</w:t>
      </w:r>
    </w:p>
    <w:p>
      <w:pPr/>
      <w:r>
        <w:rPr>
          <w:rFonts w:ascii="Times New Roman" w:hAnsi="Times New Roman"/>
          <w:i w:val="0"/>
        </w:rPr>
        <w:t>The three histograms show rating distributions for the 20 proposals. The different shapes of these distributions are the first result. Of the valid ratings in the workbook, 99.5% of support ratings fell in the upper half of the scale (4–6), compared with 56.4% of direct-benefit ratings and 35.9% of effectiveness ratings. The respective valid denominators were 63,885, 63,889, and 63,889. Every policy had more than 95% of its valid support ratings at 4–6. Within the 63,875 responses with all three ratings present, 40,644 (63.6%) combined upper-half support with a lower-half effectiveness rating, and 27,556 (43.1%) combined upper-half support with a lower-half direct-benefit rating. These differences appear within the same generated persona's responses to the same proposal.</w:t>
      </w:r>
    </w:p>
    <w:p>
      <w:pPr/>
      <w:r>
        <w:rPr>
          <w:rFonts w:ascii="Times New Roman" w:hAnsi="Times New Roman"/>
          <w:i w:val="0"/>
        </w:rPr>
        <w:t xml:space="preserve">The distinction between rating prompts matters. “Effectiveness” asked specifically whether a policy would improve </w:t>
      </w:r>
      <w:r>
        <w:rPr>
          <w:rFonts w:ascii="Times New Roman" w:hAnsi="Times New Roman"/>
          <w:i/>
        </w:rPr>
        <w:t>AI literacy among Canadian adults</w:t>
      </w:r>
      <w:r>
        <w:rPr>
          <w:rFonts w:ascii="Times New Roman" w:hAnsi="Times New Roman"/>
          <w:i w:val="0"/>
        </w:rPr>
        <w:t xml:space="preserve">, rather than whether it would achieve all of its stated objectives. “Benefit” asked about </w:t>
      </w:r>
      <w:r>
        <w:rPr>
          <w:rFonts w:ascii="Times New Roman" w:hAnsi="Times New Roman"/>
          <w:i/>
        </w:rPr>
        <w:t>direct benefit to the persona</w:t>
      </w:r>
      <w:r>
        <w:rPr>
          <w:rFonts w:ascii="Times New Roman" w:hAnsi="Times New Roman"/>
          <w:i w:val="0"/>
        </w:rPr>
        <w:t>, rather than collective or long-term benefit. This makes some of the largest differences in the histograms intelligible. Consumer privacy reform received upper-half support from virtually every valid response and upper-half direct-benefit ratings from 98.5%, yet only 10.7% rated it in the upper half for improving adult AI literacy. The proposal could be valued as a privacy protection while being seen as a weak literacy intervention. Similarly, upper-half support for an AI mission in health care exceeded 99%, but only 0.6% rated its literacy effectiveness at 4–6. The corresponding figures for health-data research platforms were 99.7% and 0.3%. Reading these effectiveness ratings as a verdict on health or research outcomes would misstate what respondents were asked.</w:t>
      </w:r>
    </w:p>
    <w:p>
      <w:pPr/>
      <w:r>
        <w:rPr>
          <w:rFonts w:ascii="Times New Roman" w:hAnsi="Times New Roman"/>
          <w:i w:val="0"/>
        </w:rPr>
        <w:t>Direct benefit separated public endorsement from personal proximity. For Indigenous leadership in AI, 99.7% of valid support ratings were 4–6, whereas only 0.4% of direct-benefit ratings were 4–6. For AI tools for postsecondary students, upper-half support was 99.9%, compared with 6.7% upper-half direct benefit. The agents often described these policies as worthwhile while explaining that they were neither Indigenous community members nor current students. The low direct-benefit scores therefore reflect the individual framing of that item as well as the proposal's target population. They should not be interpreted as evidence that agents considered Indigenous leadership or student access unimportant.</w:t>
      </w:r>
    </w:p>
    <w:p>
      <w:pPr/>
      <w:r>
        <w:rPr>
          <w:rFonts w:ascii="Times New Roman" w:hAnsi="Times New Roman"/>
          <w:i w:val="0"/>
        </w:rPr>
        <w:t>There was still meaningful variation within the generally high support. Consumer privacy reform was concentrated at 5 and 6 (approximately 55% and 45% of valid ratings), whereas support for AI adoption in federal public services was concentrated at 4 and 5 (approximately 61% and 38%). On benefit, AI-related employment and training had responses spread across 2–5, while AI tools for postsecondary students clustered at 2–3 despite their much higher support ratings. The effectiveness histograms also separated proposals with an explicit educational component from those whose contribution to literacy would be indirect. All valid ratings for free introductory AI education were 4 or 5 on effectiveness; for financing and commercialization, roughly 92% were at 1 or 2. Together, the histograms suggest an evaluative pattern: agents frequently endorsed the public purpose of a proposal while reserving judgment about whether it would teach adults about AI or reach them personally.</w:t>
      </w:r>
    </w:p>
    <w:p>
      <w:pPr>
        <w:pStyle w:val="Heading2"/>
      </w:pPr>
      <w:r>
        <w:rPr>
          <w:rFonts w:ascii="Times New Roman" w:hAnsi="Times New Roman"/>
          <w:i w:val="0"/>
        </w:rPr>
        <w:t>The dyad corpus offered many interactions, but little observed stance opposition</w:t>
      </w:r>
    </w:p>
    <w:p>
      <w:pPr/>
      <w:r>
        <w:rPr>
          <w:rFonts w:ascii="Times New Roman" w:hAnsi="Times New Roman"/>
          <w:i w:val="0"/>
        </w:rPr>
        <w:t xml:space="preserve">The 1,533 conversations covered nine of the 20 policies, each with five turns per speaker (15,330 agent turns in total). Dyads were selected because one member had rated </w:t>
      </w:r>
      <w:r>
        <w:rPr>
          <w:rFonts w:ascii="Times New Roman" w:hAnsi="Times New Roman"/>
          <w:i/>
        </w:rPr>
        <w:t>all three dimensions</w:t>
      </w:r>
      <w:r>
        <w:rPr>
          <w:rFonts w:ascii="Times New Roman" w:hAnsi="Times New Roman"/>
          <w:i w:val="0"/>
        </w:rPr>
        <w:t xml:space="preserve"> 1–3 and the other had rated all three 4–6 in the single-agent workbook; we verified this condition against the workbook for every conversation. The corpus is uneven: 933 conversations concerned support for Canadian creators, 384 concerned small-business AI adoption, and 131 concerned postsecondary AI tools. These three topics account for 1,448 conversations (94.5%). Eleven files are additional runs of the same policy–persona pairing, leaving 1,522 distinct pairings. Thus, counts of conversational themes cannot be treated as equally sampled across policy domains, and a few low-rating personas recur in many pairings.</w:t>
      </w:r>
    </w:p>
    <w:p>
      <w:pPr/>
      <w:r>
        <w:rPr>
          <w:rFonts w:ascii="Times New Roman" w:hAnsi="Times New Roman"/>
          <w:i w:val="0"/>
        </w:rPr>
        <w:t>The preconversation rating contrast rarely took the form of an overtly adversarial opening. A simple text check found that the second speaker began their first turn with an explicit agreement phrase in 1,404 of 1,533 conversations (91.6%; e.g., “I agree,” “You're right,” or their French equivalents). This is a narrow measure of opening language, not a judgment that the speakers agreed on every policy detail. It nevertheless matches the close reading: the lower-rating speaker usually raised a practical concern while acknowledging a policy's appeal, and the higher-rating partner typically accepted the concern before adding an implementation condition. In one small-business dyad, the first agent's prior ratings were 3 for support, 2 for literacy effectiveness, and 1 for direct benefit, whereas the partner's were 5, 4, and 5. Their first turns began, respectively, “I welcome the money” and “I agree — money and generic tools won’t be enough” (PIAAC-11278 and PIAAC-10216-5). The selection contrast was real in the workbook; the ensuing dialogue began with common ground.</w:t>
      </w:r>
    </w:p>
    <w:p>
      <w:pPr/>
      <w:r>
        <w:rPr>
          <w:rFonts w:ascii="Times New Roman" w:hAnsi="Times New Roman"/>
          <w:i w:val="0"/>
        </w:rPr>
        <w:t xml:space="preserve">The existing opinion-change analyses further caution against a single persuasion estimate. None of the conversations asked agents to report a new numerical rating. All reported “changes” were inferred from the first and last spoken turns. On the full 1,533-conversation corpus (3,066 speaker trajectories), a classifier trained on the single-agent text and ratings classified support as unchanged for 3,018 trajectories (98.4%), higher for 29, and lower for 19. A multilingual transformer trained on the same single-agent task classified support as unchanged for 2,644 (86.2%), higher for 397, and lower for 25. An LLM annotation of a smaller, 415-conversation subset (830 trajectories) instead marked 235 unchanged, 576 higher, and 19 lower. The two full-corpus models inferred more upward than downward movement on the other dimensions as well: respectively, 282 versus 39 and 938 versus 147 for literacy effectiveness; 1,494 versus 367 and 1,110 versus 253 for direct benefit. Yet the sizes of these inferred changes vary considerably by model, and the models were evaluated on held-out </w:t>
      </w:r>
      <w:r>
        <w:rPr>
          <w:rFonts w:ascii="Times New Roman" w:hAnsi="Times New Roman"/>
          <w:i/>
        </w:rPr>
        <w:t>single-agent responses</w:t>
      </w:r>
      <w:r>
        <w:rPr>
          <w:rFonts w:ascii="Times New Roman" w:hAnsi="Times New Roman"/>
          <w:i w:val="0"/>
        </w:rPr>
        <w:t xml:space="preserve">, not on manually rated dialogue turns. The two full-corpus models assigned </w:t>
      </w:r>
      <w:r>
        <w:rPr>
          <w:rFonts w:ascii="Times New Roman" w:hAnsi="Times New Roman"/>
          <w:i/>
        </w:rPr>
        <w:t>every first conversational turn</w:t>
      </w:r>
      <w:r>
        <w:rPr>
          <w:rFonts w:ascii="Times New Roman" w:hAnsi="Times New Roman"/>
          <w:i w:val="0"/>
        </w:rPr>
        <w:t xml:space="preserve"> an upper-half support rating, including turns from agents selected for lower-half support in the workbook. They did not recover the designed contrast at the start of conversation. We therefore cannot infer a defensible rate of attitude change from these annotations. The observed result is the conversational process itself: repeated acknowledgment of concerns followed by increasingly detailed proposals about how to implement the policy.</w:t>
      </w:r>
    </w:p>
    <w:p>
      <w:pPr>
        <w:pStyle w:val="Heading1"/>
      </w:pPr>
      <w:r>
        <w:rPr>
          <w:rFonts w:ascii="Times New Roman" w:hAnsi="Times New Roman"/>
          <w:i w:val="0"/>
        </w:rPr>
        <w:t>Qualitative analysis</w:t>
      </w:r>
    </w:p>
    <w:p>
      <w:pPr/>
      <w:r>
        <w:rPr>
          <w:rFonts w:ascii="Times New Roman" w:hAnsi="Times New Roman"/>
          <w:i w:val="0"/>
        </w:rPr>
        <w:t>Across the workbook's explanations and suggestions, agents evaluated policies in relation to everyday access, institutional responsibility, and the distribution of risks and gains. The exploratory LLooM analyses surfaced related concepts across policies, including paid training time, community-led learning, privacy safeguards, consent, and accountability. We use these concepts as prompts for interpretation rather than prevalence estimates. The dyads show how an initial concern could be taken up, amended, and turned into a more specific requirement. The themes below are organized around concern–recommendation pairs; each draws on both single-agent responses and conversations.</w:t>
      </w:r>
    </w:p>
    <w:p>
      <w:pPr>
        <w:pStyle w:val="Heading2"/>
      </w:pPr>
      <w:r>
        <w:rPr>
          <w:rFonts w:ascii="Times New Roman" w:hAnsi="Times New Roman"/>
          <w:i w:val="0"/>
        </w:rPr>
        <w:t>A policy can be worth supporting without benefiting the speaker directly</w:t>
      </w:r>
    </w:p>
    <w:p>
      <w:pPr/>
      <w:r>
        <w:rPr>
          <w:rFonts w:ascii="Times New Roman" w:hAnsi="Times New Roman"/>
          <w:i w:val="0"/>
        </w:rPr>
        <w:t>Agents often separated the value of a public initiative from their own eligibility for it. A response about postsecondary AI tools stated, “I’m not a student or an educator now, so I’m unlikely to get direct personal benefit from this program” (PIAAC-11312-3, single-agent response). An agent evaluating Indigenous leadership similarly wrote, “I’m not Indigenous and I’m out of the labour force, so this would probably not change my day-to-day life even if I appreciate its goals” (PIAAC-5597, single-agent response). These explanations clarify the striking support–benefit gap in the histograms. The responses valued the target communities while locating direct benefit elsewhere. A third response made the parallel distinction for AI literacy: research and talent recruitment “boosts research capacity and migration channels but doesn't directly create public training or literacy programs” (PIAAC-9786, single-agent response). As a result, the three rating dimensions express different relationships to a proposal: policy endorsement, its likely reach as an adult literacy intervention, and its immediate relevance to the persona.</w:t>
      </w:r>
    </w:p>
    <w:p>
      <w:pPr/>
      <w:r>
        <w:rPr>
          <w:rFonts w:ascii="Times New Roman" w:hAnsi="Times New Roman"/>
          <w:i w:val="0"/>
        </w:rPr>
        <w:t>Suggestions often tried to bridge this distance without making direct benefit to every persona a precondition of public value. For employment and training, a self-employed agent proposed “flexible, low-cost micro-credentials and remote short courses” because employer-led training might not cover people outside conventional workplaces (PIAAC-10001, single-agent response). For Indigenous leadership, another asked for “multi-year funding” and safeguards for “Indigenous data sovereignty and IP,” alongside training and partnerships that communities could control (PIAAC-3349, single-agent response). In a postsecondary-tools dyad, an agent who had given the policy low ratings challenged the assumption that an AI tool could serve as its own entry point: “for people like me who’ve never used a device those digital onboarding bots come too late” (PIAAC-1799-2, turn 1, paired with PIAAC-10138-3). The partner agreed that in-person supports must precede digital onboarding, then suggested trained student ambassadors, device lending, and printed consent aids. Here, widening access meant identifying what had to exist before the proposed tool could be useful; it did not erase the policy's original student focus.</w:t>
      </w:r>
    </w:p>
    <w:p>
      <w:pPr>
        <w:pStyle w:val="Heading2"/>
      </w:pPr>
      <w:r>
        <w:rPr>
          <w:rFonts w:ascii="Times New Roman" w:hAnsi="Times New Roman"/>
          <w:i w:val="0"/>
        </w:rPr>
        <w:t>Participation required time, devices, and people who could help</w:t>
      </w:r>
    </w:p>
    <w:p>
      <w:pPr/>
      <w:r>
        <w:rPr>
          <w:rFonts w:ascii="Times New Roman" w:hAnsi="Times New Roman"/>
          <w:i w:val="0"/>
        </w:rPr>
        <w:t xml:space="preserve">Many single-agent responses treated access as more than the formal availability of funding or a tool. In the small-business policy, one agent wrote that “money alone won't fix” lack of expertise, fragmented data, vendor lock-in, and weak worker training (PIAAC-1258, single-agent response). Another worried that the funds might reach better-connected firms while frontline workers experienced job changes without training (PIAAC-1409, single-agent response). In employment policy, an out-of-work agent appreciated the jobs and training ambition but doubted a placement target would benefit them personally or address displacement in sectors and communities outside the program's reach (PIAAC-1505-2, single-agent response). The LLooM concepts of </w:t>
      </w:r>
      <w:r>
        <w:rPr>
          <w:rFonts w:ascii="Times New Roman" w:hAnsi="Times New Roman"/>
          <w:i/>
        </w:rPr>
        <w:t>Paid Training Time</w:t>
      </w:r>
      <w:r>
        <w:rPr>
          <w:rFonts w:ascii="Times New Roman" w:hAnsi="Times New Roman"/>
          <w:i w:val="0"/>
        </w:rPr>
        <w:t xml:space="preserve">, </w:t>
      </w:r>
      <w:r>
        <w:rPr>
          <w:rFonts w:ascii="Times New Roman" w:hAnsi="Times New Roman"/>
          <w:i/>
        </w:rPr>
        <w:t>Partnerships with Colleges</w:t>
      </w:r>
      <w:r>
        <w:rPr>
          <w:rFonts w:ascii="Times New Roman" w:hAnsi="Times New Roman"/>
          <w:i w:val="0"/>
        </w:rPr>
        <w:t xml:space="preserve">, and </w:t>
      </w:r>
      <w:r>
        <w:rPr>
          <w:rFonts w:ascii="Times New Roman" w:hAnsi="Times New Roman"/>
          <w:i/>
        </w:rPr>
        <w:t>Childcare and Support Services</w:t>
      </w:r>
      <w:r>
        <w:rPr>
          <w:rFonts w:ascii="Times New Roman" w:hAnsi="Times New Roman"/>
          <w:i w:val="0"/>
        </w:rPr>
        <w:t xml:space="preserve"> reflect the same practical constraints. A place in a course, a loan, or an AI account was not sufficient if attendance cost wages, childcare, travel, or device access.</w:t>
      </w:r>
    </w:p>
    <w:p>
      <w:pPr/>
      <w:r>
        <w:rPr>
          <w:rFonts w:ascii="Times New Roman" w:hAnsi="Times New Roman"/>
          <w:i w:val="0"/>
        </w:rPr>
        <w:t>Recommendations made these participation costs part of the program design. One employment response proposed “short accredited, hands-on modules delivered by local colleges or unions,” paid time off, and “portable credentials” useful across employers (PIAAC-11035-5, single-agent response). The employment dyad developed a related chain of supports: the lower-rating agent asked for basic in-person skills, paid training blocks, and childcare or travel help; the partner proposed community “on-ramp” programs with device loans and modules that build toward recognized credentials (PIAAC-3906-3 and PIAAC-10008-4, turn 0). By the final turn, the discussion had reached an issue absent from a simple enrolment target: training stipends might interfere with social assistance. The partner proposed a written assessment of benefit eligibility, so participants would not be “forced to choose between retraining and basic needs” (PIAAC-10008-4, turn 4). This progression matters because it locates exclusion in the interaction among programs, not only in individual willingness to learn.</w:t>
      </w:r>
    </w:p>
    <w:p>
      <w:pPr/>
      <w:r>
        <w:rPr>
          <w:rFonts w:ascii="Times New Roman" w:hAnsi="Times New Roman"/>
          <w:i w:val="0"/>
        </w:rPr>
        <w:t>Small-business dyads similarly translated adoption funding into service obligations. One lower-rating speaker said “loans and tools alone won’t get small businesses to adopt AI” and asked for patient, in-person help (PIAAC-11278, turn 0, paired with PIAAC-10216-5). The partner proposed on-site coaches, local workshops, and support for the time a business spends learning. Their later exchange added vendor setup visits, a human helpline, low-risk pilot tasks, a backup person trained to solve first-line problems, and a simple route to assistance if the pilot disrupted business. These details go beyond the recurring suggestion to “provide training”: they specify who delivers help, when support continues, and what happens when a trial fails. They also show a limitation of the dyad format. The conversation's additive rhythm generated many plausible program features, but it did not evaluate cost or choose among them.</w:t>
      </w:r>
    </w:p>
    <w:p>
      <w:pPr>
        <w:pStyle w:val="Heading2"/>
      </w:pPr>
      <w:r>
        <w:rPr>
          <w:rFonts w:ascii="Times New Roman" w:hAnsi="Times New Roman"/>
          <w:i w:val="0"/>
        </w:rPr>
        <w:t>Rights had to be exercisable through ordinary service channels</w:t>
      </w:r>
    </w:p>
    <w:p>
      <w:pPr/>
      <w:r>
        <w:rPr>
          <w:rFonts w:ascii="Times New Roman" w:hAnsi="Times New Roman"/>
          <w:i w:val="0"/>
        </w:rPr>
        <w:t>Privacy and oversight commitments drew support, yet agents questioned whether those commitments would be usable. A privacy-reform response supported stronger rights “provided there are clear rules, strong enforcement, and help for small businesses to comply” (PIAAC-10001, single-agent response). Its effectiveness explanation pointed out that rights and control might raise awareness but “won't do much to teach people how AI works or how to evaluate it” (same response). In health-data policy, another agent worried about “who can access the data and whether privacy promises will really hold,” adding that they would need simple explanations rather than technical reports (PIAAC-4809-2, single-agent response). Public-service automation raised a related concern: an agent welcomed faster processing but feared that “real people could lose control over important decisions without clear ways to appeal” (PIAAC-9305, single-agent response). The issue across these policies was less a generalized distrust of AI than uncertainty about who could understand, contest, or enforce the promised protections.</w:t>
      </w:r>
    </w:p>
    <w:p>
      <w:pPr/>
      <w:r>
        <w:rPr>
          <w:rFonts w:ascii="Times New Roman" w:hAnsi="Times New Roman"/>
          <w:i w:val="0"/>
        </w:rPr>
        <w:t>Agents proposed rights that could be used without digital fluency or constant monitoring. A health-data response called for plain-language, multilingual outreach and ways to “opt out or control their data” (PIAAC-9478, single-agent response). In a health-data dyad, one agent made the non-digital route concrete: “paper forms at clinics, a staffed phone line, and community-centre assistance in multiple languages” (PIAAC-5595, turn 0, paired with PIAAC-1799-2). Subsequent turns added independent patient representation, record correction, revocable consent, mailed or telephone confirmation, and published complaint-resolution measures. These suggestions locate privacy in a service relationship. Consent was not treated as a one-time notice; it had to remain understandable, reversible, and supported by someone accountable when the process went wrong.</w:t>
      </w:r>
    </w:p>
    <w:p>
      <w:pPr/>
      <w:r>
        <w:rPr>
          <w:rFonts w:ascii="Times New Roman" w:hAnsi="Times New Roman"/>
          <w:i w:val="0"/>
        </w:rPr>
        <w:t xml:space="preserve">The public-service dyad followed a comparable path from vague oversight to a contestable decision. The lower-rating speaker asked who decides which automated decisions are “meaningful,” warning that people who do not use digital devices might lose access or appeal rights (PIAAC-1799-2, turn 0, paired with PIAAC-1532). The partner proposed a threshold based on consequences for legal status, benefits, essential services, penalties, or irreversible outcomes, along with documented human review and paper or in-person options (PIAAC-1532, turn 0). Later turns called for pilots with published error and exclusion rates, an oversight body able to halt harmful systems, and procedures for confirming that mailed notices were received. The notable move was from a promise of </w:t>
      </w:r>
      <w:r>
        <w:rPr>
          <w:rFonts w:ascii="Times New Roman" w:hAnsi="Times New Roman"/>
          <w:i/>
        </w:rPr>
        <w:t>human oversight</w:t>
      </w:r>
      <w:r>
        <w:rPr>
          <w:rFonts w:ascii="Times New Roman" w:hAnsi="Times New Roman"/>
          <w:i w:val="0"/>
        </w:rPr>
        <w:t xml:space="preserve"> to a sequence of enforceable decisions about who qualifies for review, how a person learns what happened, and what remedy follows an error. That is the work the broad policy statement left unspecified.</w:t>
      </w:r>
    </w:p>
    <w:p>
      <w:pPr>
        <w:pStyle w:val="Heading2"/>
      </w:pPr>
      <w:r>
        <w:rPr>
          <w:rFonts w:ascii="Times New Roman" w:hAnsi="Times New Roman"/>
          <w:i w:val="0"/>
        </w:rPr>
        <w:t>Community leadership depended on control over resources and knowledge</w:t>
      </w:r>
    </w:p>
    <w:p>
      <w:pPr/>
      <w:r>
        <w:rPr>
          <w:rFonts w:ascii="Times New Roman" w:hAnsi="Times New Roman"/>
          <w:i w:val="0"/>
        </w:rPr>
        <w:t>Agents also asked who would receive funds and who could determine acceptable uses of cultural material. In the creator-policy responses, one agent welcomed support for Canadian voices but worried that the program could miss Indigenous and racialized creators, neglect consent, or fail to provide training and compute access (PIAAC-3067-2, single-agent response). Another proposed reserving funds for community-led projects and reporting “who receives funding and how datasets are used” (PIAAC-3127, single-agent response). The Indigenous leadership responses paired long-term funding with community decision-making and data sovereignty. One agent recommended that funding be “multi-year and controlled by communities” and accompanied by local training in accessible formats (PIAAC-1562-2, single-agent response). These are related but distinct claims: some concern equitable entry into a program; others concern authority to govern knowledge, data, and the terms of participation.</w:t>
      </w:r>
    </w:p>
    <w:p>
      <w:pPr/>
      <w:r>
        <w:rPr>
          <w:rFonts w:ascii="Times New Roman" w:hAnsi="Times New Roman"/>
          <w:i w:val="0"/>
        </w:rPr>
        <w:t>The creator dyad sharpened what “on their own terms” would entail for a person with little digital experience. The lower-rating agent worried that a creator fund would “just benefit already‑connected, tech‑savvy creators” unless it included in-person help and rules about control and payment for cultural material (PIAAC-1799-3, turn 0, paired with PIAAC-5205). The partner added hardware, multilingual support, a nontechnical application route, template contracts, and community representation in governance. As the conversation continued, the agents moved from initial access to the ability to withdraw: they discussed deletion confirmations by mail or phone, a trusted proxy, and consent that could expire rather than persist indefinitely. The partner's final formulation described “mailed, plain‑language certificates and the option to name a trusted proxy” as part of making consent accessible (PIAAC-5205, turn 4). The dyad thus expanded a funding proposal into questions of application, ownership, withdrawal, and redress. It did not establish that those mechanisms are feasible or sufficient, but it exposed the decisions on which the promise of creator control depends.</w:t>
      </w:r>
    </w:p>
    <w:p>
      <w:pPr>
        <w:pStyle w:val="Heading2"/>
      </w:pPr>
      <w:r>
        <w:rPr>
          <w:rFonts w:ascii="Times New Roman" w:hAnsi="Times New Roman"/>
          <w:i w:val="0"/>
        </w:rPr>
        <w:t>Public safeguards also had to constrain powerful institutions</w:t>
      </w:r>
    </w:p>
    <w:p>
      <w:pPr/>
      <w:r>
        <w:rPr>
          <w:rFonts w:ascii="Times New Roman" w:hAnsi="Times New Roman"/>
          <w:i w:val="0"/>
        </w:rPr>
        <w:t>Some concerns were about the actors responsible for a policy, rather than access to a service. An online-safety respondent welcomed measures addressing deepfakes and unsafe chatbots but worried that a law “could be applied too broadly” and limit everyday people and small creators (PIAAC-8328, single-agent response). Another wanted enforcement to focus on deepfakes, scams, and election interference “rather than policing everyday speech” (PIAAC-7550-2, single-agent response). These concerns identify a governance tension in the agents' own terms: broad rules may address harms while leaving people uncertain about who interprets a violation or how an error can be challenged. For international technology cooperation, a lower-rating agent described the proposal as “a deal between governments and big tech people” that might never reach someone who did not use computers (PIAAC-1799-2, single-agent response). The issue was not merely whether governments would collaborate, but whether a collaboration could change the concentration of resources and decision-making power.</w:t>
      </w:r>
    </w:p>
    <w:p>
      <w:pPr/>
      <w:r>
        <w:rPr>
          <w:rFonts w:ascii="Times New Roman" w:hAnsi="Times New Roman"/>
          <w:i w:val="0"/>
        </w:rPr>
        <w:t>The suggested safeguards assigned duties to those institutions. The online-safety agent asked for “transparency and appeal mechanisms so enforcement doesn’t unintentionally silence legitimate speech” (PIAAC-8328, single-agent response). In an international-cooperation dyad, the lower-rating speaker argued that dominant firms already had “the money and contracts to shape standards and win procurement,” and called for rules favoring smaller vendors and open standards (PIAAC-1799-2, turn 0, paired with PIAAC-6187-3). The partner translated this into procurement criteria for interoperability and modular systems, independent testing, and public progress reporting. Their subsequent exchange asked for an independent watchdog and enforceable benchmarks. These proposals have a different target from individual AI literacy: they would change the obligations of governments, vendors, and platforms. The dyad later wandered into detailed procedures for home visits, illustrating how the prompt to keep adding something new could move a conversation away from the alliance's core policy mechanism. We therefore read the early procurement exchange as evidence of a governance concern, not the later details as an evaluated design for international cooperation.</w:t>
      </w:r>
    </w:p>
    <w:p>
      <w:pPr>
        <w:pStyle w:val="Heading2"/>
      </w:pPr>
      <w:r>
        <w:rPr>
          <w:rFonts w:ascii="Times New Roman" w:hAnsi="Times New Roman"/>
          <w:i w:val="0"/>
        </w:rPr>
        <w:t>The conversations elaborated concerns more readily than they resolved disagreements</w:t>
      </w:r>
    </w:p>
    <w:p>
      <w:pPr/>
      <w:r>
        <w:rPr>
          <w:rFonts w:ascii="Times New Roman" w:hAnsi="Times New Roman"/>
          <w:i w:val="0"/>
        </w:rPr>
        <w:t>Across topics, the recurring conversational move was acknowledgment followed by specification. In the small-business exchange, “money and generic tools won’t be enough” became a request for on-site coaches, vendor follow-up, and a person who could troubleshoot. In health data, a broad privacy concern became paper forms, staffed lines, independent patient representatives, and revocation confirmation. In public services, a question about “meaningful” oversight became criteria for human review, measurable pilots, appeals, and remediation. This pattern is also visible in the dyad LLooM concepts, which include agreement, skepticism, recommendations, oversight, and community involvement. The concepts helped locate examples of the pattern; they do not establish that every conversation developed it to the same degree.</w:t>
      </w:r>
    </w:p>
    <w:p>
      <w:pPr/>
      <w:r>
        <w:rPr>
          <w:rFonts w:ascii="Times New Roman" w:hAnsi="Times New Roman"/>
          <w:i w:val="0"/>
        </w:rPr>
        <w:t>The agents' cooperative style sets a boundary on the interpretation. Several ostensibly contrasting pairs arrived at their first turns with a shared concern; the system instructed speakers to address the other speaker and add a new perspective, and no conversation required them to defend their earlier numerical rating. What the corpus documents most clearly is an iterative way of turning a policy's abstract promise into candidate delivery conditions. It offers less evidence about persuasion or the settlement of genuine conflict. Read together with the single-agent ratings, the conversations show why endorsement alone is an incomplete measure of policy acceptance: agents could support a public aim while asking who would reach the service, who could govern its use, and what recourse would exist when its safeguards failed.</w:t>
      </w:r>
    </w:p>
    <w:sectPr w:rsidR="00FC693F" w:rsidRPr="0006063C" w:rsidSect="00034616">
      <w:pgSz w:w="12240" w:h="15840"/>
      <w:pgMar w:top="1152" w:right="1368" w:bottom="1152"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200" w:line="240" w:lineRule="auto" w:before="0"/>
      <w:contextualSpacing/>
    </w:pPr>
    <w:rPr>
      <w:rFonts w:asciiTheme="majorHAnsi" w:eastAsiaTheme="majorEastAsia" w:hAnsiTheme="majorHAnsi" w:cstheme="majorBidi"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Findings on Canadian AI Policy Proposals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