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rFonts w:ascii="Inter" w:cs="Inter" w:eastAsia="Inter" w:hAnsi="Inter"/>
        </w:rPr>
      </w:pPr>
      <w:bookmarkStart w:colFirst="0" w:colLast="0" w:name="_heading=h.2tgjqr7mpm2d" w:id="0"/>
      <w:bookmarkEnd w:id="0"/>
      <w:r w:rsidDel="00000000" w:rsidR="00000000" w:rsidRPr="00000000">
        <w:rPr>
          <w:rFonts w:ascii="Inter" w:cs="Inter" w:eastAsia="Inter" w:hAnsi="Inter"/>
          <w:rtl w:val="0"/>
        </w:rPr>
        <w:t xml:space="preserve">Module 4: </w:t>
      </w:r>
      <w:r w:rsidDel="00000000" w:rsidR="00000000" w:rsidRPr="00000000">
        <w:rPr>
          <w:rFonts w:ascii="Inter" w:cs="Inter" w:eastAsia="Inter" w:hAnsi="Inter"/>
          <w:color w:val="1f1f1f"/>
          <w:highlight w:val="white"/>
          <w:rtl w:val="0"/>
        </w:rPr>
        <w:t xml:space="preserve">Problem Framing and Scoping</w:t>
      </w:r>
      <w:r w:rsidDel="00000000" w:rsidR="00000000" w:rsidRPr="00000000">
        <w:rPr>
          <w:rtl w:val="0"/>
        </w:rPr>
      </w:r>
    </w:p>
    <w:p w:rsidR="00000000" w:rsidDel="00000000" w:rsidP="00000000" w:rsidRDefault="00000000" w:rsidRPr="00000000" w14:paraId="00000002">
      <w:pPr>
        <w:pStyle w:val="Subtitle"/>
        <w:rPr>
          <w:rFonts w:ascii="Inter" w:cs="Inter" w:eastAsia="Inter" w:hAnsi="Inter"/>
        </w:rPr>
      </w:pPr>
      <w:bookmarkStart w:colFirst="0" w:colLast="0" w:name="_heading=h.t2jnftjtrkqe" w:id="1"/>
      <w:bookmarkEnd w:id="1"/>
      <w:r w:rsidDel="00000000" w:rsidR="00000000" w:rsidRPr="00000000">
        <w:rPr>
          <w:rFonts w:ascii="Inter" w:cs="Inter" w:eastAsia="Inter" w:hAnsi="Inter"/>
          <w:rtl w:val="0"/>
        </w:rPr>
        <w:t xml:space="preserve">Instructor Guide</w:t>
      </w:r>
    </w:p>
    <w:p w:rsidR="00000000" w:rsidDel="00000000" w:rsidP="00000000" w:rsidRDefault="00000000" w:rsidRPr="00000000" w14:paraId="00000003">
      <w:pPr>
        <w:rPr>
          <w:rFonts w:ascii="Inter" w:cs="Inter" w:eastAsia="Inter" w:hAnsi="Inter"/>
          <w:sz w:val="30"/>
          <w:szCs w:val="30"/>
        </w:rPr>
      </w:pPr>
      <w:r w:rsidDel="00000000" w:rsidR="00000000" w:rsidRPr="00000000">
        <w:rPr>
          <w:rFonts w:ascii="Inter" w:cs="Inter" w:eastAsia="Inter" w:hAnsi="Inter"/>
          <w:sz w:val="30"/>
          <w:szCs w:val="30"/>
          <w:rtl w:val="0"/>
        </w:rPr>
        <w:t xml:space="preserve">Module Objective</w:t>
      </w:r>
      <w:r w:rsidDel="00000000" w:rsidR="00000000" w:rsidRPr="00000000">
        <w:rPr>
          <w:rtl w:val="0"/>
        </w:rPr>
      </w:r>
    </w:p>
    <w:p w:rsidR="00000000" w:rsidDel="00000000" w:rsidP="00000000" w:rsidRDefault="00000000" w:rsidRPr="00000000" w14:paraId="00000004">
      <w:pPr>
        <w:rPr>
          <w:rFonts w:ascii="Inter" w:cs="Inter" w:eastAsia="Inter" w:hAnsi="Inter"/>
          <w:sz w:val="24"/>
          <w:szCs w:val="24"/>
        </w:rPr>
      </w:pPr>
      <w:r w:rsidDel="00000000" w:rsidR="00000000" w:rsidRPr="00000000">
        <w:rPr>
          <w:rFonts w:ascii="Inter" w:cs="Inter" w:eastAsia="Inter" w:hAnsi="Inter"/>
          <w:sz w:val="24"/>
          <w:szCs w:val="24"/>
          <w:rtl w:val="0"/>
        </w:rPr>
        <w:t xml:space="preserve">Upon completion of this module, students will be able to:</w:t>
      </w:r>
    </w:p>
    <w:p w:rsidR="00000000" w:rsidDel="00000000" w:rsidP="00000000" w:rsidRDefault="00000000" w:rsidRPr="00000000" w14:paraId="00000005">
      <w:pPr>
        <w:widowControl w:val="0"/>
        <w:numPr>
          <w:ilvl w:val="0"/>
          <w:numId w:val="1"/>
        </w:numPr>
        <w:spacing w:after="240" w:before="240"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Reframe optimization prompts with human goals</w:t>
      </w:r>
    </w:p>
    <w:p w:rsidR="00000000" w:rsidDel="00000000" w:rsidP="00000000" w:rsidRDefault="00000000" w:rsidRPr="00000000" w14:paraId="00000006">
      <w:pPr>
        <w:widowControl w:val="0"/>
        <w:numPr>
          <w:ilvl w:val="0"/>
          <w:numId w:val="1"/>
        </w:numPr>
        <w:spacing w:after="240" w:before="240"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Define “success” beyond evaluation metrics</w:t>
      </w:r>
    </w:p>
    <w:p w:rsidR="00000000" w:rsidDel="00000000" w:rsidP="00000000" w:rsidRDefault="00000000" w:rsidRPr="00000000" w14:paraId="00000007">
      <w:pPr>
        <w:widowControl w:val="0"/>
        <w:numPr>
          <w:ilvl w:val="0"/>
          <w:numId w:val="1"/>
        </w:numPr>
        <w:spacing w:after="240" w:before="240" w:line="24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Anticipate human-centered trade-offs</w:t>
      </w:r>
    </w:p>
    <w:p w:rsidR="00000000" w:rsidDel="00000000" w:rsidP="00000000" w:rsidRDefault="00000000" w:rsidRPr="00000000" w14:paraId="00000008">
      <w:pPr>
        <w:widowControl w:val="0"/>
        <w:numPr>
          <w:ilvl w:val="0"/>
          <w:numId w:val="1"/>
        </w:numPr>
        <w:spacing w:after="240" w:before="240" w:line="240" w:lineRule="auto"/>
        <w:ind w:left="72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Follow real-world case studies to examine human-centered problem framing, ethical scoping, reproduction, and communication</w:t>
      </w:r>
    </w:p>
    <w:p w:rsidR="00000000" w:rsidDel="00000000" w:rsidP="00000000" w:rsidRDefault="00000000" w:rsidRPr="00000000" w14:paraId="00000009">
      <w:pPr>
        <w:rPr>
          <w:rFonts w:ascii="Inter" w:cs="Inter" w:eastAsia="Inter" w:hAnsi="Inter"/>
          <w:sz w:val="24"/>
          <w:szCs w:val="24"/>
        </w:rPr>
      </w:pPr>
      <w:r w:rsidDel="00000000" w:rsidR="00000000" w:rsidRPr="00000000">
        <w:rPr>
          <w:rFonts w:ascii="Inter" w:cs="Inter" w:eastAsia="Inter" w:hAnsi="Inter"/>
          <w:sz w:val="24"/>
          <w:szCs w:val="24"/>
          <w:rtl w:val="0"/>
        </w:rPr>
        <w:t xml:space="preserve">This guide serves to assist instructors with applying Module 4 to their own course settings. We have provided the following materials for this module: slide deck, group activities, individual activity, recommended complementary readings, and a code notebook example. All materials are ready to be applied directly in course settings (shared through a Learning Management System); however, we provide details in this guide as to how to adapt the materials to fit your course setting.</w:t>
      </w:r>
    </w:p>
    <w:p w:rsidR="00000000" w:rsidDel="00000000" w:rsidP="00000000" w:rsidRDefault="00000000" w:rsidRPr="00000000" w14:paraId="0000000A">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B">
      <w:pPr>
        <w:rPr>
          <w:rFonts w:ascii="Inter" w:cs="Inter" w:eastAsia="Inter" w:hAnsi="Inter"/>
          <w:sz w:val="24"/>
          <w:szCs w:val="24"/>
        </w:rPr>
      </w:pPr>
      <w:r w:rsidDel="00000000" w:rsidR="00000000" w:rsidRPr="00000000">
        <w:rPr>
          <w:rFonts w:ascii="Inter" w:cs="Inter" w:eastAsia="Inter" w:hAnsi="Inter"/>
          <w:sz w:val="24"/>
          <w:szCs w:val="24"/>
          <w:rtl w:val="0"/>
        </w:rPr>
        <w:t xml:space="preserve">This module builds student knowledge in research question development and ethical scoping, while also being a transfer exercise between the COMPAS recidivism work and Gender-Shades/FairFace studies. Students will learn how to apply decision making skills regarding study framing to both case studies in detail.</w:t>
      </w:r>
    </w:p>
    <w:p w:rsidR="00000000" w:rsidDel="00000000" w:rsidP="00000000" w:rsidRDefault="00000000" w:rsidRPr="00000000" w14:paraId="0000000C">
      <w:pPr>
        <w:rPr>
          <w:rFonts w:ascii="Inter" w:cs="Inter" w:eastAsia="Inter" w:hAnsi="Inter"/>
          <w:sz w:val="30"/>
          <w:szCs w:val="30"/>
        </w:rPr>
      </w:pPr>
      <w:r w:rsidDel="00000000" w:rsidR="00000000" w:rsidRPr="00000000">
        <w:rPr>
          <w:rtl w:val="0"/>
        </w:rPr>
      </w:r>
    </w:p>
    <w:p w:rsidR="00000000" w:rsidDel="00000000" w:rsidP="00000000" w:rsidRDefault="00000000" w:rsidRPr="00000000" w14:paraId="0000000D">
      <w:pPr>
        <w:rPr>
          <w:rFonts w:ascii="Inter" w:cs="Inter" w:eastAsia="Inter" w:hAnsi="Inter"/>
        </w:rPr>
      </w:pPr>
      <w:r w:rsidDel="00000000" w:rsidR="00000000" w:rsidRPr="00000000">
        <w:rPr>
          <w:rFonts w:ascii="Inter" w:cs="Inter" w:eastAsia="Inter" w:hAnsi="Inter"/>
          <w:sz w:val="30"/>
          <w:szCs w:val="30"/>
          <w:rtl w:val="0"/>
        </w:rPr>
        <w:t xml:space="preserve">Slide Deck</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2520"/>
        <w:gridCol w:w="5355"/>
        <w:tblGridChange w:id="0">
          <w:tblGrid>
            <w:gridCol w:w="1485"/>
            <w:gridCol w:w="2520"/>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Slide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Timing/Notes (Total: ~ 3 hours in-class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2 min: Adapt to class needs/learning objectives.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Developing Research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15 min: Introduction to research questions, problem framing.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10-12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Activity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10-15 min: Group activity to examine a dataset and develop a preliminary question based on the COMPAS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13-19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Ethical Scoping and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20 min: Ethical implications for research and preliminary resources for further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Activity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15 min: Group activity to iterate on activity 1, curating a more specific question in a different context, through speculative data collection.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21-28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highlight w:val="white"/>
                <w:rtl w:val="0"/>
              </w:rPr>
              <w:t xml:space="preserve">R</w:t>
            </w:r>
            <w:r w:rsidDel="00000000" w:rsidR="00000000" w:rsidRPr="00000000">
              <w:rPr>
                <w:rFonts w:ascii="Inter" w:cs="Inter" w:eastAsia="Inter" w:hAnsi="Inter"/>
                <w:sz w:val="24"/>
                <w:szCs w:val="24"/>
                <w:highlight w:val="white"/>
                <w:rtl w:val="0"/>
              </w:rPr>
              <w:t xml:space="preserve">esponsible Reuse and Reproducibility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15 min: Research replication, generalizability, and reproducibility.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Activity 3/Group Exit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20+ min: Group activity for students to develop a scoping memo based on the Gender Shades project and FairFace dataset, considering their own version of the study.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30-31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Resources for ethical guidance and protocols. Literature cited/referenced in this slide deck.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Module 4 Notebook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sz w:val="24"/>
                <w:szCs w:val="24"/>
              </w:rPr>
            </w:pPr>
            <w:r w:rsidDel="00000000" w:rsidR="00000000" w:rsidRPr="00000000">
              <w:rPr>
                <w:rFonts w:ascii="Inter" w:cs="Inter" w:eastAsia="Inter" w:hAnsi="Inter"/>
                <w:sz w:val="24"/>
                <w:szCs w:val="24"/>
                <w:rtl w:val="0"/>
              </w:rPr>
              <w:t xml:space="preserve">Up to 60 min: Break + Code notebook example and discussion.</w:t>
            </w:r>
          </w:p>
        </w:tc>
      </w:tr>
    </w:tbl>
    <w:p w:rsidR="00000000" w:rsidDel="00000000" w:rsidP="00000000" w:rsidRDefault="00000000" w:rsidRPr="00000000" w14:paraId="0000002C">
      <w:pPr>
        <w:rPr>
          <w:rFonts w:ascii="Inter" w:cs="Inter" w:eastAsia="Inter" w:hAnsi="Inter"/>
        </w:rPr>
      </w:pPr>
      <w:r w:rsidDel="00000000" w:rsidR="00000000" w:rsidRPr="00000000">
        <w:rPr>
          <w:rtl w:val="0"/>
        </w:rPr>
      </w:r>
    </w:p>
    <w:p w:rsidR="00000000" w:rsidDel="00000000" w:rsidP="00000000" w:rsidRDefault="00000000" w:rsidRPr="00000000" w14:paraId="0000002D">
      <w:pPr>
        <w:rPr>
          <w:rFonts w:ascii="Inter" w:cs="Inter" w:eastAsia="Inter" w:hAnsi="Inter"/>
          <w:sz w:val="24"/>
          <w:szCs w:val="24"/>
          <w:u w:val="single"/>
        </w:rPr>
      </w:pPr>
      <w:r w:rsidDel="00000000" w:rsidR="00000000" w:rsidRPr="00000000">
        <w:rPr>
          <w:rFonts w:ascii="Inter" w:cs="Inter" w:eastAsia="Inter" w:hAnsi="Inter"/>
          <w:sz w:val="24"/>
          <w:szCs w:val="24"/>
          <w:u w:val="single"/>
          <w:rtl w:val="0"/>
        </w:rPr>
        <w:t xml:space="preserve">Slide Deck Variations</w:t>
      </w:r>
      <w:r w:rsidDel="00000000" w:rsidR="00000000" w:rsidRPr="00000000">
        <w:rPr>
          <w:rtl w:val="0"/>
        </w:rPr>
      </w:r>
    </w:p>
    <w:p w:rsidR="00000000" w:rsidDel="00000000" w:rsidP="00000000" w:rsidRDefault="00000000" w:rsidRPr="00000000" w14:paraId="0000002E">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2F">
      <w:pPr>
        <w:numPr>
          <w:ilvl w:val="0"/>
          <w:numId w:val="5"/>
        </w:numPr>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To shorten the lecture: decrease the amount of time spent on each slide and/or shorten the activities. Activities 1 and 2 can instead be completed by the class as a whole in a group discussion setting.</w:t>
      </w:r>
    </w:p>
    <w:p w:rsidR="00000000" w:rsidDel="00000000" w:rsidP="00000000" w:rsidRDefault="00000000" w:rsidRPr="00000000" w14:paraId="00000030">
      <w:pPr>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1">
      <w:pPr>
        <w:numPr>
          <w:ilvl w:val="0"/>
          <w:numId w:val="5"/>
        </w:numPr>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To lengthen the lecture: add case study examples to the slides and engage students in discussion of real-world examples. Increase the complexity of the activities and/or ask students to submit their answers for evaluation.</w:t>
      </w:r>
    </w:p>
    <w:p w:rsidR="00000000" w:rsidDel="00000000" w:rsidP="00000000" w:rsidRDefault="00000000" w:rsidRPr="00000000" w14:paraId="00000032">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3">
      <w:pPr>
        <w:numPr>
          <w:ilvl w:val="0"/>
          <w:numId w:val="3"/>
        </w:numPr>
        <w:ind w:left="720" w:hanging="360"/>
        <w:rPr>
          <w:rFonts w:ascii="Inter" w:cs="Inter" w:eastAsia="Inter" w:hAnsi="Inter"/>
          <w:sz w:val="24"/>
          <w:szCs w:val="24"/>
        </w:rPr>
      </w:pPr>
      <w:r w:rsidDel="00000000" w:rsidR="00000000" w:rsidRPr="00000000">
        <w:rPr>
          <w:rFonts w:ascii="Inter" w:cs="Inter" w:eastAsia="Inter" w:hAnsi="Inter"/>
          <w:sz w:val="24"/>
          <w:szCs w:val="24"/>
          <w:highlight w:val="white"/>
          <w:rtl w:val="0"/>
        </w:rPr>
        <w:t xml:space="preserve">50-min version: Slides 3-7, 10-17 + Activity 1/2 (combined) + short debrief. Key learning priorities: initial framing, research questions, ethical scoping, and iterative developments to promote reproducibility.</w:t>
      </w:r>
      <w:r w:rsidDel="00000000" w:rsidR="00000000" w:rsidRPr="00000000">
        <w:rPr>
          <w:rtl w:val="0"/>
        </w:rPr>
      </w:r>
    </w:p>
    <w:p w:rsidR="00000000" w:rsidDel="00000000" w:rsidP="00000000" w:rsidRDefault="00000000" w:rsidRPr="00000000" w14:paraId="00000034">
      <w:pPr>
        <w:ind w:left="72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5">
      <w:pPr>
        <w:numPr>
          <w:ilvl w:val="0"/>
          <w:numId w:val="3"/>
        </w:numPr>
        <w:ind w:left="720" w:hanging="360"/>
        <w:rPr>
          <w:rFonts w:ascii="Inter" w:cs="Inter" w:eastAsia="Inter" w:hAnsi="Inter"/>
          <w:sz w:val="24"/>
          <w:szCs w:val="24"/>
        </w:rPr>
      </w:pPr>
      <w:r w:rsidDel="00000000" w:rsidR="00000000" w:rsidRPr="00000000">
        <w:rPr>
          <w:rFonts w:ascii="Inter" w:cs="Inter" w:eastAsia="Inter" w:hAnsi="Inter"/>
          <w:sz w:val="24"/>
          <w:szCs w:val="24"/>
          <w:highlight w:val="white"/>
          <w:rtl w:val="0"/>
        </w:rPr>
        <w:t xml:space="preserve">80-min version: Full slide deck (minus code notebook and Activity 2). Reduces the hands-on context of the module but prioritizes knowledge dissemination.</w:t>
      </w:r>
      <w:r w:rsidDel="00000000" w:rsidR="00000000" w:rsidRPr="00000000">
        <w:rPr>
          <w:rtl w:val="0"/>
        </w:rPr>
      </w:r>
    </w:p>
    <w:p w:rsidR="00000000" w:rsidDel="00000000" w:rsidP="00000000" w:rsidRDefault="00000000" w:rsidRPr="00000000" w14:paraId="00000036">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037">
      <w:pPr>
        <w:ind w:left="0" w:firstLine="0"/>
        <w:rPr>
          <w:rFonts w:ascii="Inter" w:cs="Inter" w:eastAsia="Inter" w:hAnsi="Inter"/>
          <w:sz w:val="30"/>
          <w:szCs w:val="30"/>
        </w:rPr>
      </w:pPr>
      <w:r w:rsidDel="00000000" w:rsidR="00000000" w:rsidRPr="00000000">
        <w:rPr>
          <w:rFonts w:ascii="Inter" w:cs="Inter" w:eastAsia="Inter" w:hAnsi="Inter"/>
          <w:sz w:val="30"/>
          <w:szCs w:val="30"/>
          <w:rtl w:val="0"/>
        </w:rPr>
        <w:t xml:space="preserve">Exit Tickets</w:t>
      </w:r>
    </w:p>
    <w:p w:rsidR="00000000" w:rsidDel="00000000" w:rsidP="00000000" w:rsidRDefault="00000000" w:rsidRPr="00000000" w14:paraId="00000038">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“Exit tickets” are optional assignments that students can complete at the end of a course session, to cement their understanding of that lecture’s key takeaways and engage in thought-provoking activities before heading out the door.</w:t>
      </w:r>
    </w:p>
    <w:p w:rsidR="00000000" w:rsidDel="00000000" w:rsidP="00000000" w:rsidRDefault="00000000" w:rsidRPr="00000000" w14:paraId="00000039">
      <w:pPr>
        <w:ind w:left="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A">
      <w:pPr>
        <w:ind w:left="0" w:firstLine="0"/>
        <w:rPr>
          <w:rFonts w:ascii="Inter" w:cs="Inter" w:eastAsia="Inter" w:hAnsi="Inter"/>
          <w:sz w:val="24"/>
          <w:szCs w:val="24"/>
          <w:u w:val="single"/>
        </w:rPr>
      </w:pPr>
      <w:r w:rsidDel="00000000" w:rsidR="00000000" w:rsidRPr="00000000">
        <w:rPr>
          <w:rFonts w:ascii="Inter" w:cs="Inter" w:eastAsia="Inter" w:hAnsi="Inter"/>
          <w:sz w:val="24"/>
          <w:szCs w:val="24"/>
          <w:u w:val="single"/>
          <w:rtl w:val="0"/>
        </w:rPr>
        <w:t xml:space="preserve">Group Exit Ticket</w:t>
      </w:r>
      <w:r w:rsidDel="00000000" w:rsidR="00000000" w:rsidRPr="00000000">
        <w:rPr>
          <w:rtl w:val="0"/>
        </w:rPr>
      </w:r>
    </w:p>
    <w:p w:rsidR="00000000" w:rsidDel="00000000" w:rsidP="00000000" w:rsidRDefault="00000000" w:rsidRPr="00000000" w14:paraId="0000003B">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The group exit ticket for this module engages students in small groups (2-5 people, depending on class size) to examine the Gender Shades study and consider its implications. A description of the activity is provided on Slide 29 of the provided deck. A strong response from students synthesizes the content of the slide deck and considers potential real-world consequences of Gender Shades-like work.</w:t>
      </w:r>
    </w:p>
    <w:p w:rsidR="00000000" w:rsidDel="00000000" w:rsidP="00000000" w:rsidRDefault="00000000" w:rsidRPr="00000000" w14:paraId="0000003C">
      <w:pPr>
        <w:ind w:left="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3D">
      <w:pPr>
        <w:ind w:left="0" w:firstLine="0"/>
        <w:rPr>
          <w:rFonts w:ascii="Inter" w:cs="Inter" w:eastAsia="Inter" w:hAnsi="Inter"/>
          <w:sz w:val="24"/>
          <w:szCs w:val="24"/>
          <w:u w:val="single"/>
        </w:rPr>
      </w:pPr>
      <w:r w:rsidDel="00000000" w:rsidR="00000000" w:rsidRPr="00000000">
        <w:rPr>
          <w:rFonts w:ascii="Inter" w:cs="Inter" w:eastAsia="Inter" w:hAnsi="Inter"/>
          <w:sz w:val="24"/>
          <w:szCs w:val="24"/>
          <w:rtl w:val="0"/>
        </w:rPr>
        <w:t xml:space="preserve">We recommend that student groups submit their created slides/deliverables (whether or not they are graded/recorded for participation), so that instructors can assemble all slides/deliverables and give them back to students as a way to revise from the work their peers have completed. Instructors can collect group exit tickets from throughout the semester to assemble a student-generated understanding of human-centered data science.</w:t>
      </w:r>
      <w:r w:rsidDel="00000000" w:rsidR="00000000" w:rsidRPr="00000000">
        <w:rPr>
          <w:rtl w:val="0"/>
        </w:rPr>
      </w:r>
    </w:p>
    <w:p w:rsidR="00000000" w:rsidDel="00000000" w:rsidP="00000000" w:rsidRDefault="00000000" w:rsidRPr="00000000" w14:paraId="0000003E">
      <w:pPr>
        <w:ind w:left="0" w:firstLine="0"/>
        <w:rPr>
          <w:rFonts w:ascii="Inter" w:cs="Inter" w:eastAsia="Inter" w:hAnsi="Inter"/>
          <w:sz w:val="24"/>
          <w:szCs w:val="24"/>
          <w:u w:val="single"/>
        </w:rPr>
      </w:pPr>
      <w:r w:rsidDel="00000000" w:rsidR="00000000" w:rsidRPr="00000000">
        <w:rPr>
          <w:rtl w:val="0"/>
        </w:rPr>
      </w:r>
    </w:p>
    <w:p w:rsidR="00000000" w:rsidDel="00000000" w:rsidP="00000000" w:rsidRDefault="00000000" w:rsidRPr="00000000" w14:paraId="0000003F">
      <w:pPr>
        <w:ind w:left="0" w:firstLine="0"/>
        <w:rPr>
          <w:rFonts w:ascii="Inter" w:cs="Inter" w:eastAsia="Inter" w:hAnsi="Inter"/>
          <w:sz w:val="24"/>
          <w:szCs w:val="24"/>
          <w:u w:val="single"/>
        </w:rPr>
      </w:pPr>
      <w:r w:rsidDel="00000000" w:rsidR="00000000" w:rsidRPr="00000000">
        <w:rPr>
          <w:rFonts w:ascii="Inter" w:cs="Inter" w:eastAsia="Inter" w:hAnsi="Inter"/>
          <w:sz w:val="24"/>
          <w:szCs w:val="24"/>
          <w:u w:val="single"/>
          <w:rtl w:val="0"/>
        </w:rPr>
        <w:t xml:space="preserve">Individual Exit Ticket</w:t>
      </w:r>
      <w:r w:rsidDel="00000000" w:rsidR="00000000" w:rsidRPr="00000000">
        <w:rPr>
          <w:rtl w:val="0"/>
        </w:rPr>
      </w:r>
    </w:p>
    <w:p w:rsidR="00000000" w:rsidDel="00000000" w:rsidP="00000000" w:rsidRDefault="00000000" w:rsidRPr="00000000" w14:paraId="00000040">
      <w:pPr>
        <w:ind w:left="0" w:firstLine="0"/>
        <w:rPr>
          <w:rFonts w:ascii="Inter" w:cs="Inter" w:eastAsia="Inter" w:hAnsi="Inter"/>
          <w:strike w:val="1"/>
          <w:sz w:val="20"/>
          <w:szCs w:val="20"/>
        </w:rPr>
      </w:pPr>
      <w:r w:rsidDel="00000000" w:rsidR="00000000" w:rsidRPr="00000000">
        <w:rPr>
          <w:rFonts w:ascii="Inter" w:cs="Inter" w:eastAsia="Inter" w:hAnsi="Inter"/>
          <w:sz w:val="24"/>
          <w:szCs w:val="24"/>
          <w:rtl w:val="0"/>
        </w:rPr>
        <w:t xml:space="preserve">We provide an individual exit ticket should instructors like to assess students individually and/or perform a knowledge check from the textbook/readings.</w:t>
      </w:r>
      <w:r w:rsidDel="00000000" w:rsidR="00000000" w:rsidRPr="00000000">
        <w:rPr>
          <w:rtl w:val="0"/>
        </w:rPr>
      </w:r>
    </w:p>
    <w:p w:rsidR="00000000" w:rsidDel="00000000" w:rsidP="00000000" w:rsidRDefault="00000000" w:rsidRPr="00000000" w14:paraId="00000041">
      <w:pPr>
        <w:numPr>
          <w:ilvl w:val="0"/>
          <w:numId w:val="4"/>
        </w:numPr>
        <w:spacing w:after="0" w:afterAutospacing="0" w:before="240" w:line="276"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A good data science question should strike a balance between:</w:t>
      </w:r>
    </w:p>
    <w:p w:rsidR="00000000" w:rsidDel="00000000" w:rsidP="00000000" w:rsidRDefault="00000000" w:rsidRPr="00000000" w14:paraId="00000042">
      <w:pPr>
        <w:numPr>
          <w:ilvl w:val="1"/>
          <w:numId w:val="4"/>
        </w:numPr>
        <w:spacing w:after="0" w:afterAutospacing="0" w:before="0" w:beforeAutospacing="0" w:line="276" w:lineRule="auto"/>
        <w:ind w:left="144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Being simple and being vague</w:t>
      </w:r>
    </w:p>
    <w:p w:rsidR="00000000" w:rsidDel="00000000" w:rsidP="00000000" w:rsidRDefault="00000000" w:rsidRPr="00000000" w14:paraId="00000043">
      <w:pPr>
        <w:numPr>
          <w:ilvl w:val="1"/>
          <w:numId w:val="4"/>
        </w:numPr>
        <w:spacing w:after="0" w:afterAutospacing="0" w:before="0" w:beforeAutospacing="0" w:line="276" w:lineRule="auto"/>
        <w:ind w:left="144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Being specific enough to answer and broad enough to be meaningful</w:t>
      </w:r>
      <w:r w:rsidDel="00000000" w:rsidR="00000000" w:rsidRPr="00000000">
        <w:rPr>
          <w:rtl w:val="0"/>
        </w:rPr>
      </w:r>
    </w:p>
    <w:p w:rsidR="00000000" w:rsidDel="00000000" w:rsidP="00000000" w:rsidRDefault="00000000" w:rsidRPr="00000000" w14:paraId="00000044">
      <w:pPr>
        <w:numPr>
          <w:ilvl w:val="1"/>
          <w:numId w:val="4"/>
        </w:numPr>
        <w:spacing w:after="0" w:afterAutospacing="0" w:before="0" w:beforeAutospacing="0" w:line="276" w:lineRule="auto"/>
        <w:ind w:left="144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Being data-driven and being subjective</w:t>
      </w:r>
    </w:p>
    <w:p w:rsidR="00000000" w:rsidDel="00000000" w:rsidP="00000000" w:rsidRDefault="00000000" w:rsidRPr="00000000" w14:paraId="00000045">
      <w:pPr>
        <w:numPr>
          <w:ilvl w:val="1"/>
          <w:numId w:val="4"/>
        </w:numPr>
        <w:spacing w:after="0" w:afterAutospacing="0" w:before="0" w:beforeAutospacing="0" w:line="276" w:lineRule="auto"/>
        <w:ind w:left="144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Being fast to complete and being complex</w:t>
      </w:r>
    </w:p>
    <w:p w:rsidR="00000000" w:rsidDel="00000000" w:rsidP="00000000" w:rsidRDefault="00000000" w:rsidRPr="00000000" w14:paraId="00000046">
      <w:pPr>
        <w:numPr>
          <w:ilvl w:val="0"/>
          <w:numId w:val="4"/>
        </w:numPr>
        <w:spacing w:after="0" w:afterAutospacing="0" w:before="0" w:beforeAutospacing="0" w:line="276"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What is the main goal of reproducibility in a data science project?</w:t>
      </w:r>
    </w:p>
    <w:p w:rsidR="00000000" w:rsidDel="00000000" w:rsidP="00000000" w:rsidRDefault="00000000" w:rsidRPr="00000000" w14:paraId="00000047">
      <w:pPr>
        <w:numPr>
          <w:ilvl w:val="1"/>
          <w:numId w:val="4"/>
        </w:numPr>
        <w:spacing w:after="0" w:afterAutospacing="0" w:before="0" w:beforeAutospacing="0" w:line="276" w:lineRule="auto"/>
        <w:ind w:left="144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To reduce the amount of data others have to collect</w:t>
      </w:r>
    </w:p>
    <w:p w:rsidR="00000000" w:rsidDel="00000000" w:rsidP="00000000" w:rsidRDefault="00000000" w:rsidRPr="00000000" w14:paraId="00000048">
      <w:pPr>
        <w:numPr>
          <w:ilvl w:val="1"/>
          <w:numId w:val="4"/>
        </w:numPr>
        <w:spacing w:after="0" w:afterAutospacing="0" w:before="0" w:beforeAutospacing="0" w:line="276" w:lineRule="auto"/>
        <w:ind w:left="144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To ensure subject experts can understand the work</w:t>
      </w:r>
    </w:p>
    <w:p w:rsidR="00000000" w:rsidDel="00000000" w:rsidP="00000000" w:rsidRDefault="00000000" w:rsidRPr="00000000" w14:paraId="00000049">
      <w:pPr>
        <w:numPr>
          <w:ilvl w:val="1"/>
          <w:numId w:val="4"/>
        </w:numPr>
        <w:spacing w:after="0" w:afterAutospacing="0" w:before="0" w:beforeAutospacing="0" w:line="276" w:lineRule="auto"/>
        <w:ind w:left="144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To make the project more visually appealing and communicable</w:t>
      </w:r>
    </w:p>
    <w:p w:rsidR="00000000" w:rsidDel="00000000" w:rsidP="00000000" w:rsidRDefault="00000000" w:rsidRPr="00000000" w14:paraId="0000004A">
      <w:pPr>
        <w:numPr>
          <w:ilvl w:val="1"/>
          <w:numId w:val="4"/>
        </w:numPr>
        <w:spacing w:after="0" w:afterAutospacing="0" w:before="0" w:beforeAutospacing="0" w:line="276" w:lineRule="auto"/>
        <w:ind w:left="144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To allow others to verify results using the same methods</w:t>
      </w:r>
    </w:p>
    <w:p w:rsidR="00000000" w:rsidDel="00000000" w:rsidP="00000000" w:rsidRDefault="00000000" w:rsidRPr="00000000" w14:paraId="0000004B">
      <w:pPr>
        <w:numPr>
          <w:ilvl w:val="0"/>
          <w:numId w:val="4"/>
        </w:numPr>
        <w:spacing w:after="0" w:afterAutospacing="0" w:before="0" w:beforeAutospacing="0" w:line="276" w:lineRule="auto"/>
        <w:ind w:left="72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How can a well-defined data science question help limit the scope of data collected?</w:t>
      </w:r>
    </w:p>
    <w:p w:rsidR="00000000" w:rsidDel="00000000" w:rsidP="00000000" w:rsidRDefault="00000000" w:rsidRPr="00000000" w14:paraId="0000004C">
      <w:pPr>
        <w:numPr>
          <w:ilvl w:val="1"/>
          <w:numId w:val="4"/>
        </w:numPr>
        <w:spacing w:after="0" w:afterAutospacing="0" w:before="0" w:beforeAutospacing="0" w:line="276" w:lineRule="auto"/>
        <w:ind w:left="144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By eliminating the need for any data collection</w:t>
      </w:r>
    </w:p>
    <w:p w:rsidR="00000000" w:rsidDel="00000000" w:rsidP="00000000" w:rsidRDefault="00000000" w:rsidRPr="00000000" w14:paraId="0000004D">
      <w:pPr>
        <w:numPr>
          <w:ilvl w:val="1"/>
          <w:numId w:val="4"/>
        </w:numPr>
        <w:spacing w:after="0" w:afterAutospacing="0" w:before="0" w:beforeAutospacing="0" w:line="276" w:lineRule="auto"/>
        <w:ind w:left="144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By prioritizing faster data collection over ethical considerations</w:t>
      </w:r>
    </w:p>
    <w:p w:rsidR="00000000" w:rsidDel="00000000" w:rsidP="00000000" w:rsidRDefault="00000000" w:rsidRPr="00000000" w14:paraId="0000004E">
      <w:pPr>
        <w:numPr>
          <w:ilvl w:val="1"/>
          <w:numId w:val="4"/>
        </w:numPr>
        <w:spacing w:after="0" w:afterAutospacing="0" w:before="0" w:beforeAutospacing="0" w:line="276" w:lineRule="auto"/>
        <w:ind w:left="1440" w:hanging="360"/>
        <w:rPr>
          <w:rFonts w:ascii="Inter" w:cs="Inter" w:eastAsia="Inter" w:hAnsi="Inter"/>
          <w:sz w:val="20"/>
          <w:szCs w:val="20"/>
        </w:rPr>
      </w:pPr>
      <w:r w:rsidDel="00000000" w:rsidR="00000000" w:rsidRPr="00000000">
        <w:rPr>
          <w:rFonts w:ascii="Inter" w:cs="Inter" w:eastAsia="Inter" w:hAnsi="Inter"/>
          <w:sz w:val="20"/>
          <w:szCs w:val="20"/>
          <w:rtl w:val="0"/>
        </w:rPr>
        <w:t xml:space="preserve">By encouraging researchers to collect as much data as possible just in case</w:t>
      </w:r>
    </w:p>
    <w:p w:rsidR="00000000" w:rsidDel="00000000" w:rsidP="00000000" w:rsidRDefault="00000000" w:rsidRPr="00000000" w14:paraId="0000004F">
      <w:pPr>
        <w:numPr>
          <w:ilvl w:val="1"/>
          <w:numId w:val="4"/>
        </w:numPr>
        <w:spacing w:after="0" w:afterAutospacing="0" w:before="0" w:beforeAutospacing="0" w:line="276" w:lineRule="auto"/>
        <w:ind w:left="1440" w:hanging="36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By focusing only on data that is directly relevant to answering the question</w:t>
      </w:r>
    </w:p>
    <w:p w:rsidR="00000000" w:rsidDel="00000000" w:rsidP="00000000" w:rsidRDefault="00000000" w:rsidRPr="00000000" w14:paraId="00000050">
      <w:pPr>
        <w:numPr>
          <w:ilvl w:val="0"/>
          <w:numId w:val="4"/>
        </w:numPr>
        <w:spacing w:after="0" w:afterAutospacing="0" w:before="0" w:beforeAutospacing="0" w:line="276" w:lineRule="auto"/>
        <w:ind w:left="720" w:hanging="360"/>
        <w:rPr>
          <w:rFonts w:ascii="Inter" w:cs="Inter" w:eastAsia="Inter" w:hAnsi="Inter"/>
          <w:sz w:val="20"/>
          <w:szCs w:val="20"/>
        </w:rPr>
      </w:pPr>
      <w:r w:rsidDel="00000000" w:rsidR="00000000" w:rsidRPr="00000000">
        <w:rPr>
          <w:rFonts w:ascii="Roboto" w:cs="Roboto" w:eastAsia="Roboto" w:hAnsi="Roboto"/>
          <w:color w:val="444746"/>
          <w:sz w:val="21"/>
          <w:szCs w:val="21"/>
          <w:rtl w:val="0"/>
        </w:rPr>
        <w:t xml:space="preserve">Which question best reflects a human-centered reframing of a technical classification task?</w:t>
      </w:r>
    </w:p>
    <w:p w:rsidR="00000000" w:rsidDel="00000000" w:rsidP="00000000" w:rsidRDefault="00000000" w:rsidRPr="00000000" w14:paraId="00000051">
      <w:pPr>
        <w:numPr>
          <w:ilvl w:val="1"/>
          <w:numId w:val="4"/>
        </w:numPr>
        <w:spacing w:after="0" w:afterAutospacing="0" w:before="0" w:beforeAutospacing="0" w:line="276" w:lineRule="auto"/>
        <w:ind w:left="1440" w:hanging="360"/>
        <w:rPr>
          <w:rFonts w:ascii="Inter" w:cs="Inter" w:eastAsia="Inter" w:hAnsi="Inter"/>
          <w:sz w:val="20"/>
          <w:szCs w:val="20"/>
        </w:rPr>
      </w:pPr>
      <w:r w:rsidDel="00000000" w:rsidR="00000000" w:rsidRPr="00000000">
        <w:rPr>
          <w:rFonts w:ascii="Roboto" w:cs="Roboto" w:eastAsia="Roboto" w:hAnsi="Roboto"/>
          <w:color w:val="444746"/>
          <w:sz w:val="21"/>
          <w:szCs w:val="21"/>
          <w:rtl w:val="0"/>
        </w:rPr>
        <w:t xml:space="preserve">How can we maximize model accuracy?</w:t>
      </w:r>
    </w:p>
    <w:p w:rsidR="00000000" w:rsidDel="00000000" w:rsidP="00000000" w:rsidRDefault="00000000" w:rsidRPr="00000000" w14:paraId="00000052">
      <w:pPr>
        <w:numPr>
          <w:ilvl w:val="1"/>
          <w:numId w:val="4"/>
        </w:numPr>
        <w:spacing w:after="0" w:afterAutospacing="0" w:before="0" w:beforeAutospacing="0" w:line="276" w:lineRule="auto"/>
        <w:ind w:left="1440" w:hanging="360"/>
        <w:rPr>
          <w:rFonts w:ascii="Inter" w:cs="Inter" w:eastAsia="Inter" w:hAnsi="Inter"/>
          <w:sz w:val="20"/>
          <w:szCs w:val="20"/>
        </w:rPr>
      </w:pPr>
      <w:r w:rsidDel="00000000" w:rsidR="00000000" w:rsidRPr="00000000">
        <w:rPr>
          <w:rFonts w:ascii="Roboto" w:cs="Roboto" w:eastAsia="Roboto" w:hAnsi="Roboto"/>
          <w:color w:val="444746"/>
          <w:sz w:val="21"/>
          <w:szCs w:val="21"/>
          <w:rtl w:val="0"/>
        </w:rPr>
        <w:t xml:space="preserve">Which model is fastest to train?</w:t>
      </w:r>
    </w:p>
    <w:p w:rsidR="00000000" w:rsidDel="00000000" w:rsidP="00000000" w:rsidRDefault="00000000" w:rsidRPr="00000000" w14:paraId="00000053">
      <w:pPr>
        <w:numPr>
          <w:ilvl w:val="1"/>
          <w:numId w:val="4"/>
        </w:numPr>
        <w:spacing w:after="0" w:afterAutospacing="0" w:before="0" w:beforeAutospacing="0" w:line="276" w:lineRule="auto"/>
        <w:ind w:left="1440" w:hanging="360"/>
        <w:rPr>
          <w:rFonts w:ascii="Inter" w:cs="Inter" w:eastAsia="Inter" w:hAnsi="Inter"/>
          <w:b w:val="1"/>
          <w:bCs w:val="1"/>
          <w:sz w:val="20"/>
          <w:szCs w:val="20"/>
        </w:rPr>
      </w:pPr>
      <w:r w:rsidDel="00000000" w:rsidR="00000000" w:rsidRPr="00000000">
        <w:rPr>
          <w:rFonts w:ascii="Roboto" w:cs="Roboto" w:eastAsia="Roboto" w:hAnsi="Roboto"/>
          <w:b w:val="1"/>
          <w:bCs w:val="1"/>
          <w:color w:val="444746"/>
          <w:sz w:val="21"/>
          <w:szCs w:val="21"/>
          <w:rtl w:val="0"/>
        </w:rPr>
        <w:t xml:space="preserve">Who is affected by classification errors, and how are those errors distributed across groups?</w:t>
      </w:r>
    </w:p>
    <w:p w:rsidR="00000000" w:rsidDel="00000000" w:rsidP="00000000" w:rsidRDefault="00000000" w:rsidRPr="00000000" w14:paraId="00000054">
      <w:pPr>
        <w:numPr>
          <w:ilvl w:val="1"/>
          <w:numId w:val="4"/>
        </w:numPr>
        <w:spacing w:after="0" w:afterAutospacing="0" w:before="0" w:beforeAutospacing="0" w:line="276" w:lineRule="auto"/>
        <w:ind w:left="1440" w:hanging="360"/>
        <w:rPr>
          <w:rFonts w:ascii="Inter" w:cs="Inter" w:eastAsia="Inter" w:hAnsi="Inter"/>
          <w:sz w:val="20"/>
          <w:szCs w:val="20"/>
        </w:rPr>
      </w:pPr>
      <w:r w:rsidDel="00000000" w:rsidR="00000000" w:rsidRPr="00000000">
        <w:rPr>
          <w:rFonts w:ascii="Roboto" w:cs="Roboto" w:eastAsia="Roboto" w:hAnsi="Roboto"/>
          <w:color w:val="444746"/>
          <w:sz w:val="21"/>
          <w:szCs w:val="21"/>
          <w:rtl w:val="0"/>
        </w:rPr>
        <w:t xml:space="preserve">How can we reduce the number of variables in the dataset?</w:t>
      </w:r>
    </w:p>
    <w:p w:rsidR="00000000" w:rsidDel="00000000" w:rsidP="00000000" w:rsidRDefault="00000000" w:rsidRPr="00000000" w14:paraId="00000055">
      <w:pPr>
        <w:numPr>
          <w:ilvl w:val="0"/>
          <w:numId w:val="4"/>
        </w:numPr>
        <w:spacing w:after="0" w:afterAutospacing="0" w:before="0" w:beforeAutospacing="0" w:line="276" w:lineRule="auto"/>
        <w:ind w:left="72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highlight w:val="white"/>
          <w:rtl w:val="0"/>
        </w:rPr>
        <w:t xml:space="preserve">Why might overall accuracy be insufficient for evaluating a system like those studied in Gender Shades?</w:t>
      </w:r>
    </w:p>
    <w:p w:rsidR="00000000" w:rsidDel="00000000" w:rsidP="00000000" w:rsidRDefault="00000000" w:rsidRPr="00000000" w14:paraId="00000056">
      <w:pPr>
        <w:numPr>
          <w:ilvl w:val="1"/>
          <w:numId w:val="4"/>
        </w:numPr>
        <w:spacing w:after="0" w:afterAutospacing="0" w:before="0" w:beforeAutospacing="0" w:line="276" w:lineRule="auto"/>
        <w:ind w:left="1440" w:hanging="360"/>
        <w:rPr>
          <w:rFonts w:ascii="Roboto" w:cs="Roboto" w:eastAsia="Roboto" w:hAnsi="Roboto"/>
          <w:b w:val="1"/>
          <w:bCs w:val="1"/>
          <w:color w:val="444746"/>
          <w:sz w:val="21"/>
          <w:szCs w:val="21"/>
        </w:rPr>
      </w:pPr>
      <w:r w:rsidDel="00000000" w:rsidR="00000000" w:rsidRPr="00000000">
        <w:rPr>
          <w:rFonts w:ascii="Roboto" w:cs="Roboto" w:eastAsia="Roboto" w:hAnsi="Roboto"/>
          <w:b w:val="1"/>
          <w:bCs w:val="1"/>
          <w:color w:val="444746"/>
          <w:sz w:val="21"/>
          <w:szCs w:val="21"/>
          <w:highlight w:val="white"/>
          <w:rtl w:val="0"/>
        </w:rPr>
        <w:t xml:space="preserve">Overall accuracy may hide uneven performance across groups</w:t>
      </w:r>
    </w:p>
    <w:p w:rsidR="00000000" w:rsidDel="00000000" w:rsidP="00000000" w:rsidRDefault="00000000" w:rsidRPr="00000000" w14:paraId="00000057">
      <w:pPr>
        <w:numPr>
          <w:ilvl w:val="1"/>
          <w:numId w:val="4"/>
        </w:numPr>
        <w:spacing w:after="0" w:afterAutospacing="0" w:before="0" w:beforeAutospacing="0" w:line="276" w:lineRule="auto"/>
        <w:ind w:left="144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highlight w:val="white"/>
          <w:rtl w:val="0"/>
        </w:rPr>
        <w:t xml:space="preserve">Overall accuracy is never useful</w:t>
      </w:r>
    </w:p>
    <w:p w:rsidR="00000000" w:rsidDel="00000000" w:rsidP="00000000" w:rsidRDefault="00000000" w:rsidRPr="00000000" w14:paraId="00000058">
      <w:pPr>
        <w:numPr>
          <w:ilvl w:val="1"/>
          <w:numId w:val="4"/>
        </w:numPr>
        <w:spacing w:after="0" w:afterAutospacing="0" w:before="0" w:beforeAutospacing="0" w:line="276" w:lineRule="auto"/>
        <w:ind w:left="1440" w:hanging="360"/>
        <w:rPr>
          <w:rFonts w:ascii="Roboto" w:cs="Roboto" w:eastAsia="Roboto" w:hAnsi="Roboto"/>
          <w:color w:val="444746"/>
          <w:sz w:val="21"/>
          <w:szCs w:val="21"/>
        </w:rPr>
      </w:pPr>
      <w:r w:rsidDel="00000000" w:rsidR="00000000" w:rsidRPr="00000000">
        <w:rPr>
          <w:rFonts w:ascii="Roboto" w:cs="Roboto" w:eastAsia="Roboto" w:hAnsi="Roboto"/>
          <w:color w:val="444746"/>
          <w:sz w:val="21"/>
          <w:szCs w:val="21"/>
          <w:highlight w:val="white"/>
          <w:rtl w:val="0"/>
        </w:rPr>
        <w:t xml:space="preserve">Overall accuracy only applies to regression problems</w:t>
      </w:r>
    </w:p>
    <w:p w:rsidR="00000000" w:rsidDel="00000000" w:rsidP="00000000" w:rsidRDefault="00000000" w:rsidRPr="00000000" w14:paraId="00000059">
      <w:pPr>
        <w:numPr>
          <w:ilvl w:val="1"/>
          <w:numId w:val="4"/>
        </w:numPr>
        <w:spacing w:after="240" w:before="0" w:beforeAutospacing="0" w:line="276" w:lineRule="auto"/>
        <w:ind w:left="1440" w:hanging="360"/>
        <w:rPr>
          <w:rFonts w:ascii="Roboto" w:cs="Roboto" w:eastAsia="Roboto" w:hAnsi="Roboto"/>
          <w:color w:val="444746"/>
          <w:sz w:val="21"/>
          <w:szCs w:val="21"/>
          <w:u w:val="none"/>
        </w:rPr>
      </w:pPr>
      <w:r w:rsidDel="00000000" w:rsidR="00000000" w:rsidRPr="00000000">
        <w:rPr>
          <w:rFonts w:ascii="Roboto" w:cs="Roboto" w:eastAsia="Roboto" w:hAnsi="Roboto"/>
          <w:color w:val="444746"/>
          <w:sz w:val="21"/>
          <w:szCs w:val="21"/>
          <w:highlight w:val="white"/>
          <w:rtl w:val="0"/>
        </w:rPr>
        <w:t xml:space="preserve">Overall accuracy eliminates the need for qualitative analysis</w:t>
      </w:r>
      <w:r w:rsidDel="00000000" w:rsidR="00000000" w:rsidRPr="00000000">
        <w:rPr>
          <w:rtl w:val="0"/>
        </w:rPr>
      </w:r>
    </w:p>
    <w:p w:rsidR="00000000" w:rsidDel="00000000" w:rsidP="00000000" w:rsidRDefault="00000000" w:rsidRPr="00000000" w14:paraId="0000005A">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05B">
      <w:pPr>
        <w:ind w:left="0" w:firstLine="0"/>
        <w:rPr>
          <w:rFonts w:ascii="Inter" w:cs="Inter" w:eastAsia="Inter" w:hAnsi="Inter"/>
          <w:sz w:val="30"/>
          <w:szCs w:val="30"/>
        </w:rPr>
      </w:pPr>
      <w:r w:rsidDel="00000000" w:rsidR="00000000" w:rsidRPr="00000000">
        <w:rPr>
          <w:rFonts w:ascii="Inter" w:cs="Inter" w:eastAsia="Inter" w:hAnsi="Inter"/>
          <w:sz w:val="30"/>
          <w:szCs w:val="30"/>
          <w:rtl w:val="0"/>
        </w:rPr>
        <w:t xml:space="preserve">Readings</w:t>
      </w:r>
    </w:p>
    <w:p w:rsidR="00000000" w:rsidDel="00000000" w:rsidP="00000000" w:rsidRDefault="00000000" w:rsidRPr="00000000" w14:paraId="0000005C">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We recommend the following readings to complement this module:</w:t>
      </w:r>
    </w:p>
    <w:p w:rsidR="00000000" w:rsidDel="00000000" w:rsidP="00000000" w:rsidRDefault="00000000" w:rsidRPr="00000000" w14:paraId="0000005D">
      <w:pPr>
        <w:numPr>
          <w:ilvl w:val="0"/>
          <w:numId w:val="2"/>
        </w:numPr>
        <w:pBdr>
          <w:top w:color="000000" w:space="0" w:sz="0" w:val="none"/>
          <w:bottom w:color="000000" w:space="0" w:sz="0" w:val="none"/>
          <w:right w:color="000000" w:space="0" w:sz="0" w:val="none"/>
          <w:between w:color="000000" w:space="0" w:sz="0" w:val="none"/>
        </w:pBdr>
        <w:shd w:fill="fefefe" w:val="clear"/>
        <w:spacing w:after="0" w:line="276" w:lineRule="auto"/>
        <w:ind w:left="720" w:hanging="360"/>
        <w:rPr>
          <w:rFonts w:ascii="Inter" w:cs="Inter" w:eastAsia="Inter" w:hAnsi="Inter"/>
          <w:sz w:val="24"/>
          <w:szCs w:val="24"/>
        </w:rPr>
      </w:pPr>
      <w:r w:rsidDel="00000000" w:rsidR="00000000" w:rsidRPr="00000000">
        <w:rPr>
          <w:rFonts w:ascii="Inter" w:cs="Inter" w:eastAsia="Inter" w:hAnsi="Inter"/>
          <w:color w:val="0a0a0a"/>
          <w:sz w:val="24"/>
          <w:szCs w:val="24"/>
          <w:rtl w:val="0"/>
        </w:rPr>
        <w:t xml:space="preserve">C. Aragon, S. Guha, M. Kogan, M. Muller, and G. Neff. 2022. Human-Centered Data Science: An Introduction. MIT Press. ISBN: 9780262543217 </w:t>
      </w:r>
      <w:r w:rsidDel="00000000" w:rsidR="00000000" w:rsidRPr="00000000">
        <w:rPr>
          <w:rFonts w:ascii="Inter" w:cs="Inter" w:eastAsia="Inter" w:hAnsi="Inter"/>
          <w:b w:val="1"/>
          <w:bCs w:val="1"/>
          <w:color w:val="0a0a0a"/>
          <w:sz w:val="24"/>
          <w:szCs w:val="24"/>
          <w:rtl w:val="0"/>
        </w:rPr>
        <w:t xml:space="preserve">Chapter 5.</w:t>
      </w:r>
      <w:r w:rsidDel="00000000" w:rsidR="00000000" w:rsidRPr="00000000">
        <w:rPr>
          <w:rtl w:val="0"/>
        </w:rPr>
      </w:r>
    </w:p>
    <w:p w:rsidR="00000000" w:rsidDel="00000000" w:rsidP="00000000" w:rsidRDefault="00000000" w:rsidRPr="00000000" w14:paraId="0000005E">
      <w:pPr>
        <w:numPr>
          <w:ilvl w:val="0"/>
          <w:numId w:val="2"/>
        </w:numPr>
        <w:pBdr>
          <w:top w:color="000000" w:space="0" w:sz="0" w:val="none"/>
          <w:bottom w:color="000000" w:space="0" w:sz="0" w:val="none"/>
          <w:right w:color="000000" w:space="0" w:sz="0" w:val="none"/>
          <w:between w:color="000000" w:space="0" w:sz="0" w:val="none"/>
        </w:pBdr>
        <w:shd w:fill="fefefe" w:val="clear"/>
        <w:spacing w:after="0" w:afterAutospacing="0" w:line="276"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Larson, K., Mattu, S., Kirchner, L., and Angwin, J. 2016. How We Analyzed the COMPAS Recidivism Algorithm. Retrieved from: </w:t>
      </w:r>
      <w:hyperlink r:id="rId7">
        <w:r w:rsidDel="00000000" w:rsidR="00000000" w:rsidRPr="00000000">
          <w:rPr>
            <w:rFonts w:ascii="Inter" w:cs="Inter" w:eastAsia="Inter" w:hAnsi="Inter"/>
            <w:color w:val="1155cc"/>
            <w:sz w:val="24"/>
            <w:szCs w:val="24"/>
            <w:u w:val="single"/>
            <w:rtl w:val="0"/>
          </w:rPr>
          <w:t xml:space="preserve">https://www.propublica.org/article/how-we-analyzed-the-compas-recidivism-algorithm</w:t>
        </w:r>
      </w:hyperlink>
      <w:r w:rsidDel="00000000" w:rsidR="00000000" w:rsidRPr="00000000">
        <w:rPr>
          <w:rtl w:val="0"/>
        </w:rPr>
      </w:r>
    </w:p>
    <w:p w:rsidR="00000000" w:rsidDel="00000000" w:rsidP="00000000" w:rsidRDefault="00000000" w:rsidRPr="00000000" w14:paraId="0000005F">
      <w:pPr>
        <w:widowControl w:val="0"/>
        <w:numPr>
          <w:ilvl w:val="0"/>
          <w:numId w:val="2"/>
        </w:numPr>
        <w:spacing w:before="0" w:beforeAutospacing="0" w:line="276" w:lineRule="auto"/>
        <w:ind w:left="720" w:hanging="360"/>
        <w:rPr>
          <w:rFonts w:ascii="Inter" w:cs="Inter" w:eastAsia="Inter" w:hAnsi="Inter"/>
          <w:sz w:val="24"/>
          <w:szCs w:val="24"/>
          <w:highlight w:val="white"/>
        </w:rPr>
      </w:pPr>
      <w:r w:rsidDel="00000000" w:rsidR="00000000" w:rsidRPr="00000000">
        <w:rPr>
          <w:rFonts w:ascii="Inter" w:cs="Inter" w:eastAsia="Inter" w:hAnsi="Inter"/>
          <w:sz w:val="24"/>
          <w:szCs w:val="24"/>
          <w:highlight w:val="white"/>
          <w:rtl w:val="0"/>
        </w:rPr>
        <w:t xml:space="preserve">Buolamwini, J. &amp; Gebru, T. (2018). Gender Shades: Intersectional Accuracy Disparities in Commercial Gender Classification. </w:t>
      </w:r>
      <w:r w:rsidDel="00000000" w:rsidR="00000000" w:rsidRPr="00000000">
        <w:rPr>
          <w:rFonts w:ascii="Inter" w:cs="Inter" w:eastAsia="Inter" w:hAnsi="Inter"/>
          <w:i w:val="1"/>
          <w:iCs w:val="1"/>
          <w:sz w:val="24"/>
          <w:szCs w:val="24"/>
          <w:highlight w:val="white"/>
          <w:rtl w:val="0"/>
        </w:rPr>
        <w:t xml:space="preserve">Proceedings of the 1st Conference on Fairness, Accountability and Transparency</w:t>
      </w:r>
      <w:r w:rsidDel="00000000" w:rsidR="00000000" w:rsidRPr="00000000">
        <w:rPr>
          <w:rFonts w:ascii="Inter" w:cs="Inter" w:eastAsia="Inter" w:hAnsi="Inter"/>
          <w:sz w:val="24"/>
          <w:szCs w:val="24"/>
          <w:highlight w:val="white"/>
          <w:rtl w:val="0"/>
        </w:rPr>
        <w:t xml:space="preserve">, in Proceedings of Machine Learning Research 81:77-91 Available from </w:t>
      </w:r>
      <w:hyperlink r:id="rId8">
        <w:r w:rsidDel="00000000" w:rsidR="00000000" w:rsidRPr="00000000">
          <w:rPr>
            <w:rFonts w:ascii="Inter" w:cs="Inter" w:eastAsia="Inter" w:hAnsi="Inter"/>
            <w:color w:val="1155cc"/>
            <w:sz w:val="24"/>
            <w:szCs w:val="24"/>
            <w:highlight w:val="white"/>
            <w:u w:val="single"/>
            <w:rtl w:val="0"/>
          </w:rPr>
          <w:t xml:space="preserve">https://proceedings.mlr.press/v81/buolamwini18a.html</w:t>
        </w:r>
      </w:hyperlink>
      <w:r w:rsidDel="00000000" w:rsidR="00000000" w:rsidRPr="00000000">
        <w:rPr>
          <w:rFonts w:ascii="Inter" w:cs="Inter" w:eastAsia="Inter" w:hAnsi="Inter"/>
          <w:sz w:val="24"/>
          <w:szCs w:val="24"/>
          <w:highlight w:val="white"/>
          <w:rtl w:val="0"/>
        </w:rPr>
        <w:t xml:space="preserve"> </w:t>
      </w:r>
      <w:r w:rsidDel="00000000" w:rsidR="00000000" w:rsidRPr="00000000">
        <w:rPr>
          <w:rFonts w:ascii="Inter" w:cs="Inter" w:eastAsia="Inter" w:hAnsi="Inter"/>
          <w:sz w:val="24"/>
          <w:szCs w:val="24"/>
          <w:highlight w:val="white"/>
          <w:rtl w:val="0"/>
        </w:rPr>
        <w:t xml:space="preserve"> </w:t>
      </w:r>
    </w:p>
    <w:p w:rsidR="00000000" w:rsidDel="00000000" w:rsidP="00000000" w:rsidRDefault="00000000" w:rsidRPr="00000000" w14:paraId="00000060">
      <w:pPr>
        <w:pBdr>
          <w:top w:color="000000" w:space="0" w:sz="0" w:val="none"/>
          <w:bottom w:color="000000" w:space="0" w:sz="0" w:val="none"/>
          <w:right w:color="000000" w:space="0" w:sz="0" w:val="none"/>
          <w:between w:color="000000" w:space="0" w:sz="0" w:val="none"/>
        </w:pBdr>
        <w:shd w:fill="fefefe" w:val="clear"/>
        <w:spacing w:after="0" w:line="276" w:lineRule="auto"/>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Readings 2 and 3 constitute the use cases presented in the slide deck, getting students acquainted with examples of human-centered critique on real-world research.</w:t>
      </w:r>
    </w:p>
    <w:p w:rsidR="00000000" w:rsidDel="00000000" w:rsidP="00000000" w:rsidRDefault="00000000" w:rsidRPr="00000000" w14:paraId="00000061">
      <w:pPr>
        <w:widowControl w:val="0"/>
        <w:numPr>
          <w:ilvl w:val="0"/>
          <w:numId w:val="2"/>
        </w:numPr>
        <w:spacing w:after="0" w:afterAutospacing="0" w:before="240" w:line="276"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Karkkainen, K., &amp; Joo, J. (2021). FairFace: Face Attribute Dataset for Balanced Race, Gender, and Age for Bias Measurement and Mitigation. </w:t>
      </w:r>
      <w:r w:rsidDel="00000000" w:rsidR="00000000" w:rsidRPr="00000000">
        <w:rPr>
          <w:rFonts w:ascii="Inter" w:cs="Inter" w:eastAsia="Inter" w:hAnsi="Inter"/>
          <w:i w:val="1"/>
          <w:iCs w:val="1"/>
          <w:sz w:val="24"/>
          <w:szCs w:val="24"/>
          <w:rtl w:val="0"/>
        </w:rPr>
        <w:t xml:space="preserve">Hugging Face Datasets / IEEE Winter Conference on Applications of Computer Vision (WACV)</w:t>
      </w:r>
      <w:r w:rsidDel="00000000" w:rsidR="00000000" w:rsidRPr="00000000">
        <w:rPr>
          <w:rFonts w:ascii="Inter" w:cs="Inter" w:eastAsia="Inter" w:hAnsi="Inter"/>
          <w:sz w:val="24"/>
          <w:szCs w:val="24"/>
          <w:rtl w:val="0"/>
        </w:rPr>
        <w:t xml:space="preserve">. </w:t>
      </w:r>
      <w:hyperlink r:id="rId9">
        <w:r w:rsidDel="00000000" w:rsidR="00000000" w:rsidRPr="00000000">
          <w:rPr>
            <w:rFonts w:ascii="Inter" w:cs="Inter" w:eastAsia="Inter" w:hAnsi="Inter"/>
            <w:color w:val="1155cc"/>
            <w:sz w:val="24"/>
            <w:szCs w:val="24"/>
            <w:u w:val="single"/>
            <w:rtl w:val="0"/>
          </w:rPr>
          <w:t xml:space="preserve">https://huggingface.co/datasets/HuggingFaceM4/FairFace</w:t>
        </w:r>
      </w:hyperlink>
      <w:r w:rsidDel="00000000" w:rsidR="00000000" w:rsidRPr="00000000">
        <w:rPr>
          <w:rFonts w:ascii="Inter" w:cs="Inter" w:eastAsia="Inter" w:hAnsi="Inter"/>
          <w:sz w:val="24"/>
          <w:szCs w:val="24"/>
          <w:rtl w:val="0"/>
        </w:rPr>
        <w:t xml:space="preserve"> </w:t>
      </w:r>
    </w:p>
    <w:p w:rsidR="00000000" w:rsidDel="00000000" w:rsidP="00000000" w:rsidRDefault="00000000" w:rsidRPr="00000000" w14:paraId="00000062">
      <w:pPr>
        <w:widowControl w:val="0"/>
        <w:numPr>
          <w:ilvl w:val="1"/>
          <w:numId w:val="2"/>
        </w:numPr>
        <w:spacing w:before="0" w:beforeAutospacing="0" w:line="276" w:lineRule="auto"/>
        <w:ind w:left="1440" w:hanging="360"/>
        <w:rPr>
          <w:rFonts w:ascii="Inter" w:cs="Inter" w:eastAsia="Inter" w:hAnsi="Inter"/>
          <w:sz w:val="24"/>
          <w:szCs w:val="24"/>
          <w:u w:val="none"/>
        </w:rPr>
      </w:pPr>
      <w:r w:rsidDel="00000000" w:rsidR="00000000" w:rsidRPr="00000000">
        <w:rPr>
          <w:rFonts w:ascii="Inter" w:cs="Inter" w:eastAsia="Inter" w:hAnsi="Inter"/>
          <w:sz w:val="24"/>
          <w:szCs w:val="24"/>
          <w:rtl w:val="0"/>
        </w:rPr>
        <w:t xml:space="preserve">A dataset/benchmark for bias measurement to provide students with another example handling sensitive attributes and biased measurements.</w:t>
      </w:r>
    </w:p>
    <w:p w:rsidR="00000000" w:rsidDel="00000000" w:rsidP="00000000" w:rsidRDefault="00000000" w:rsidRPr="00000000" w14:paraId="00000063">
      <w:pPr>
        <w:widowControl w:val="0"/>
        <w:spacing w:before="240" w:line="276" w:lineRule="auto"/>
        <w:ind w:left="144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64">
      <w:pPr>
        <w:pBdr>
          <w:top w:color="000000" w:space="0" w:sz="0" w:val="none"/>
          <w:bottom w:color="000000" w:space="0" w:sz="0" w:val="none"/>
          <w:right w:color="000000" w:space="0" w:sz="0" w:val="none"/>
          <w:between w:color="000000" w:space="0" w:sz="0" w:val="none"/>
        </w:pBdr>
        <w:shd w:fill="fefefe" w:val="clear"/>
        <w:spacing w:after="240" w:line="276" w:lineRule="auto"/>
        <w:rPr>
          <w:rFonts w:ascii="Inter" w:cs="Inter" w:eastAsia="Inter" w:hAnsi="Inter"/>
          <w:color w:val="0a0a0a"/>
          <w:sz w:val="24"/>
          <w:szCs w:val="24"/>
        </w:rPr>
      </w:pPr>
      <w:r w:rsidDel="00000000" w:rsidR="00000000" w:rsidRPr="00000000">
        <w:rPr>
          <w:rFonts w:ascii="Inter" w:cs="Inter" w:eastAsia="Inter" w:hAnsi="Inter"/>
          <w:color w:val="0a0a0a"/>
          <w:sz w:val="24"/>
          <w:szCs w:val="24"/>
          <w:rtl w:val="0"/>
        </w:rPr>
        <w:t xml:space="preserve">Instructors are encouraged to add, replace, remove readings as they see fit.</w:t>
      </w:r>
    </w:p>
    <w:p w:rsidR="00000000" w:rsidDel="00000000" w:rsidP="00000000" w:rsidRDefault="00000000" w:rsidRPr="00000000" w14:paraId="00000065">
      <w:pPr>
        <w:ind w:left="0" w:firstLine="0"/>
        <w:rPr>
          <w:rFonts w:ascii="Inter" w:cs="Inter" w:eastAsia="Inter" w:hAnsi="Inter"/>
          <w:sz w:val="30"/>
          <w:szCs w:val="30"/>
        </w:rPr>
      </w:pPr>
      <w:r w:rsidDel="00000000" w:rsidR="00000000" w:rsidRPr="00000000">
        <w:rPr>
          <w:rFonts w:ascii="Inter" w:cs="Inter" w:eastAsia="Inter" w:hAnsi="Inter"/>
          <w:sz w:val="30"/>
          <w:szCs w:val="30"/>
          <w:rtl w:val="0"/>
        </w:rPr>
        <w:t xml:space="preserve">Code Notebook</w:t>
      </w:r>
    </w:p>
    <w:p w:rsidR="00000000" w:rsidDel="00000000" w:rsidP="00000000" w:rsidRDefault="00000000" w:rsidRPr="00000000" w14:paraId="00000066">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The provided code notebook (tested in Google Colab/Jupyter and requiring numpy, pandas, matplotlib, seaborn, and statsmodels) presents an example of examining a dataset through exploratory analysis and the iteration of an increasingly comprehensive research question. We provide 1) code to import the dataset, 2) prompts to guide exploratory data analysis, and 3) reflection questions.</w:t>
      </w:r>
    </w:p>
    <w:p w:rsidR="00000000" w:rsidDel="00000000" w:rsidP="00000000" w:rsidRDefault="00000000" w:rsidRPr="00000000" w14:paraId="00000067">
      <w:pPr>
        <w:ind w:left="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68">
      <w:pPr>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The purpose of the code notebook is to provide students with a </w:t>
      </w:r>
      <w:r w:rsidDel="00000000" w:rsidR="00000000" w:rsidRPr="00000000">
        <w:rPr>
          <w:rFonts w:ascii="Inter" w:cs="Inter" w:eastAsia="Inter" w:hAnsi="Inter"/>
          <w:b w:val="1"/>
          <w:bCs w:val="1"/>
          <w:sz w:val="24"/>
          <w:szCs w:val="24"/>
          <w:rtl w:val="0"/>
        </w:rPr>
        <w:t xml:space="preserve">simplified, preliminary </w:t>
      </w:r>
      <w:r w:rsidDel="00000000" w:rsidR="00000000" w:rsidRPr="00000000">
        <w:rPr>
          <w:rFonts w:ascii="Inter" w:cs="Inter" w:eastAsia="Inter" w:hAnsi="Inter"/>
          <w:sz w:val="24"/>
          <w:szCs w:val="24"/>
          <w:rtl w:val="0"/>
        </w:rPr>
        <w:t xml:space="preserve">hands-on example of how to scope a data science project. This activity is best suited for students with basic Python knowledge.</w:t>
      </w:r>
    </w:p>
    <w:p w:rsidR="00000000" w:rsidDel="00000000" w:rsidP="00000000" w:rsidRDefault="00000000" w:rsidRPr="00000000" w14:paraId="00000069">
      <w:pPr>
        <w:ind w:left="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6A">
      <w:pPr>
        <w:ind w:left="0" w:firstLine="0"/>
        <w:rPr>
          <w:rFonts w:ascii="Inter" w:cs="Inter" w:eastAsia="Inter" w:hAnsi="Inter"/>
        </w:rPr>
      </w:pPr>
      <w:r w:rsidDel="00000000" w:rsidR="00000000" w:rsidRPr="00000000">
        <w:rPr>
          <w:rFonts w:ascii="Inter" w:cs="Inter" w:eastAsia="Inter" w:hAnsi="Inter"/>
          <w:sz w:val="24"/>
          <w:szCs w:val="24"/>
          <w:rtl w:val="0"/>
        </w:rPr>
        <w:t xml:space="preserve">The code can be adapted as instructors see fit, including lengthening the example and/or using different dataset(s).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ggingface.co/datasets/HuggingFaceM4/FairFac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propublica.org/article/how-we-analyzed-the-compas-recidivism-algorithm" TargetMode="External"/><Relationship Id="rId8" Type="http://schemas.openxmlformats.org/officeDocument/2006/relationships/hyperlink" Target="https://proceedings.mlr.press/v81/buolamwini18a.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f3cDxHdN6aiefZMINmCIICdYrA==">CgMxLjAyDmguMnRnanFyN21wbTJkMg5oLnQyam5mdGp0cmtxZTgAciExNENQU1ZlR0M4N0p0Q2s5SUp1eTM2cXVGZVRmbHhra1g=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