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rFonts w:ascii="Inter" w:cs="Inter" w:eastAsia="Inter" w:hAnsi="Inter"/>
        </w:rPr>
      </w:pPr>
      <w:bookmarkStart w:colFirst="0" w:colLast="0" w:name="_s0gngjvda8j3" w:id="0"/>
      <w:bookmarkEnd w:id="0"/>
      <w:r w:rsidDel="00000000" w:rsidR="00000000" w:rsidRPr="00000000">
        <w:rPr>
          <w:rFonts w:ascii="Inter" w:cs="Inter" w:eastAsia="Inter" w:hAnsi="Inter"/>
          <w:rtl w:val="0"/>
        </w:rPr>
        <w:t xml:space="preserve">Module 2: </w:t>
      </w:r>
      <w:r w:rsidDel="00000000" w:rsidR="00000000" w:rsidRPr="00000000">
        <w:rPr>
          <w:rFonts w:ascii="Inter" w:cs="Inter" w:eastAsia="Inter" w:hAnsi="Inter"/>
          <w:rtl w:val="0"/>
        </w:rPr>
        <w:t xml:space="preserve">Foundations + Critical Lens on the Data Science Lifecycle</w:t>
      </w:r>
      <w:r w:rsidDel="00000000" w:rsidR="00000000" w:rsidRPr="00000000">
        <w:rPr>
          <w:rtl w:val="0"/>
        </w:rPr>
      </w:r>
    </w:p>
    <w:p w:rsidR="00000000" w:rsidDel="00000000" w:rsidP="00000000" w:rsidRDefault="00000000" w:rsidRPr="00000000" w14:paraId="00000002">
      <w:pPr>
        <w:pStyle w:val="Subtitle"/>
        <w:rPr>
          <w:rFonts w:ascii="Inter" w:cs="Inter" w:eastAsia="Inter" w:hAnsi="Inter"/>
        </w:rPr>
      </w:pPr>
      <w:bookmarkStart w:colFirst="0" w:colLast="0" w:name="_r4xnqcbmy7pq" w:id="1"/>
      <w:bookmarkEnd w:id="1"/>
      <w:r w:rsidDel="00000000" w:rsidR="00000000" w:rsidRPr="00000000">
        <w:rPr>
          <w:rFonts w:ascii="Inter" w:cs="Inter" w:eastAsia="Inter" w:hAnsi="Inter"/>
          <w:rtl w:val="0"/>
        </w:rPr>
        <w:t xml:space="preserve">Instructor Guide</w:t>
      </w:r>
    </w:p>
    <w:p w:rsidR="00000000" w:rsidDel="00000000" w:rsidP="00000000" w:rsidRDefault="00000000" w:rsidRPr="00000000" w14:paraId="00000003">
      <w:pPr>
        <w:rPr>
          <w:rFonts w:ascii="Inter" w:cs="Inter" w:eastAsia="Inter" w:hAnsi="Inter"/>
        </w:rPr>
      </w:pPr>
      <w:r w:rsidDel="00000000" w:rsidR="00000000" w:rsidRPr="00000000">
        <w:rPr>
          <w:rtl w:val="0"/>
        </w:rPr>
      </w:r>
    </w:p>
    <w:p w:rsidR="00000000" w:rsidDel="00000000" w:rsidP="00000000" w:rsidRDefault="00000000" w:rsidRPr="00000000" w14:paraId="00000004">
      <w:pPr>
        <w:rPr>
          <w:rFonts w:ascii="Inter" w:cs="Inter" w:eastAsia="Inter" w:hAnsi="Inter"/>
          <w:sz w:val="30"/>
          <w:szCs w:val="30"/>
        </w:rPr>
      </w:pPr>
      <w:r w:rsidDel="00000000" w:rsidR="00000000" w:rsidRPr="00000000">
        <w:rPr>
          <w:rFonts w:ascii="Inter" w:cs="Inter" w:eastAsia="Inter" w:hAnsi="Inter"/>
          <w:sz w:val="30"/>
          <w:szCs w:val="30"/>
          <w:rtl w:val="0"/>
        </w:rPr>
        <w:t xml:space="preserve">Module Objective</w:t>
      </w:r>
      <w:r w:rsidDel="00000000" w:rsidR="00000000" w:rsidRPr="00000000">
        <w:rPr>
          <w:rtl w:val="0"/>
        </w:rPr>
      </w:r>
    </w:p>
    <w:p w:rsidR="00000000" w:rsidDel="00000000" w:rsidP="00000000" w:rsidRDefault="00000000" w:rsidRPr="00000000" w14:paraId="00000005">
      <w:pPr>
        <w:rPr>
          <w:rFonts w:ascii="Inter" w:cs="Inter" w:eastAsia="Inter" w:hAnsi="Inter"/>
          <w:sz w:val="24"/>
          <w:szCs w:val="24"/>
        </w:rPr>
      </w:pPr>
      <w:r w:rsidDel="00000000" w:rsidR="00000000" w:rsidRPr="00000000">
        <w:rPr>
          <w:rFonts w:ascii="Inter" w:cs="Inter" w:eastAsia="Inter" w:hAnsi="Inter"/>
          <w:sz w:val="24"/>
          <w:szCs w:val="24"/>
          <w:rtl w:val="0"/>
        </w:rPr>
        <w:t xml:space="preserve">Upon completion of this</w:t>
      </w:r>
      <w:r w:rsidDel="00000000" w:rsidR="00000000" w:rsidRPr="00000000">
        <w:rPr>
          <w:rFonts w:ascii="Inter" w:cs="Inter" w:eastAsia="Inter" w:hAnsi="Inter"/>
          <w:sz w:val="24"/>
          <w:szCs w:val="24"/>
          <w:rtl w:val="0"/>
        </w:rPr>
        <w:t xml:space="preserve"> module, students will be able to:</w:t>
      </w:r>
    </w:p>
    <w:p w:rsidR="00000000" w:rsidDel="00000000" w:rsidP="00000000" w:rsidRDefault="00000000" w:rsidRPr="00000000" w14:paraId="00000006">
      <w:pPr>
        <w:numPr>
          <w:ilvl w:val="0"/>
          <w:numId w:val="1"/>
        </w:numPr>
        <w:spacing w:after="0" w:afterAutospacing="0" w:befor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Describe the data science lifecycle and locate human touchpoints</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Explain abstraction traps</w:t>
      </w:r>
    </w:p>
    <w:p w:rsidR="00000000" w:rsidDel="00000000" w:rsidP="00000000" w:rsidRDefault="00000000" w:rsidRPr="00000000" w14:paraId="00000008">
      <w:pPr>
        <w:numPr>
          <w:ilvl w:val="0"/>
          <w:numId w:val="1"/>
        </w:numPr>
        <w:spacing w:after="240" w:before="0" w:beforeAutospacing="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Discuss harm beyond accuracy</w:t>
      </w:r>
    </w:p>
    <w:p w:rsidR="00000000" w:rsidDel="00000000" w:rsidP="00000000" w:rsidRDefault="00000000" w:rsidRPr="00000000" w14:paraId="00000009">
      <w:pPr>
        <w:rPr>
          <w:rFonts w:ascii="Inter" w:cs="Inter" w:eastAsia="Inter" w:hAnsi="Inter"/>
          <w:sz w:val="30"/>
          <w:szCs w:val="30"/>
        </w:rPr>
      </w:pPr>
      <w:r w:rsidDel="00000000" w:rsidR="00000000" w:rsidRPr="00000000">
        <w:rPr>
          <w:rFonts w:ascii="Inter" w:cs="Inter" w:eastAsia="Inter" w:hAnsi="Inter"/>
          <w:sz w:val="24"/>
          <w:szCs w:val="24"/>
          <w:rtl w:val="0"/>
        </w:rPr>
        <w:t xml:space="preserve">This guide serves to assist instructors with applying Module 2 to their own course settings. We have provided the following materials for this module: slide deck, group activities, individual activity, recommended complementary readings, and a code notebook example. All materials are ready to be applied directly in course settings (shared through a Learning Management System); however, we provide details in this guide as to how to adapt the materials to fit your course setting.</w:t>
      </w:r>
      <w:r w:rsidDel="00000000" w:rsidR="00000000" w:rsidRPr="00000000">
        <w:rPr>
          <w:rtl w:val="0"/>
        </w:rPr>
      </w:r>
    </w:p>
    <w:p w:rsidR="00000000" w:rsidDel="00000000" w:rsidP="00000000" w:rsidRDefault="00000000" w:rsidRPr="00000000" w14:paraId="0000000A">
      <w:pPr>
        <w:rPr>
          <w:rFonts w:ascii="Inter" w:cs="Inter" w:eastAsia="Inter" w:hAnsi="Inter"/>
          <w:sz w:val="30"/>
          <w:szCs w:val="30"/>
        </w:rPr>
      </w:pPr>
      <w:r w:rsidDel="00000000" w:rsidR="00000000" w:rsidRPr="00000000">
        <w:rPr>
          <w:rtl w:val="0"/>
        </w:rPr>
      </w:r>
    </w:p>
    <w:p w:rsidR="00000000" w:rsidDel="00000000" w:rsidP="00000000" w:rsidRDefault="00000000" w:rsidRPr="00000000" w14:paraId="0000000B">
      <w:pPr>
        <w:rPr>
          <w:rFonts w:ascii="Inter" w:cs="Inter" w:eastAsia="Inter" w:hAnsi="Inter"/>
        </w:rPr>
      </w:pPr>
      <w:r w:rsidDel="00000000" w:rsidR="00000000" w:rsidRPr="00000000">
        <w:rPr>
          <w:rFonts w:ascii="Inter" w:cs="Inter" w:eastAsia="Inter" w:hAnsi="Inter"/>
          <w:sz w:val="30"/>
          <w:szCs w:val="30"/>
          <w:rtl w:val="0"/>
        </w:rPr>
        <w:t xml:space="preserve">Slide Deck</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520"/>
        <w:gridCol w:w="5355"/>
        <w:tblGridChange w:id="0">
          <w:tblGrid>
            <w:gridCol w:w="1485"/>
            <w:gridCol w:w="2520"/>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Slide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Timing/Notes (Total: ~ 3 hours in-class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2 min: Adapt to class needs/learning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Data Science Life Cycle Steps Part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20 min: Introduction to the data science life cycle and initial steps. Each step has an input, goal, and output, alongside human-centered risks.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Activity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20 min: Peer-peer activity to discuss data cleaning strategies.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Data Science Life Cycle Steps Part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15 min: The second portion of the data science life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16-17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Activity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15 min: Peer-peer activity to discuss data cleaning risks and next steps, students can report their answer back to the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18-2</w:t>
            </w:r>
            <w:r w:rsidDel="00000000" w:rsidR="00000000" w:rsidRPr="00000000">
              <w:rPr>
                <w:rFonts w:ascii="Inter" w:cs="Inter" w:eastAsia="Inter" w:hAnsi="Inte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Human-Centered Data Science as a Critical Lens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20 min: Stages of the human-centered workflow, mapped from the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26-27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Activity 3/Group Exit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20+ min: Group activity for students to reflect on risk and potential unethical decisions embedded in each stage of the data science life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Literature cited/referenced in this slide deck.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Module 2 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Up to 60 min: Break + Code notebook example (model training and evaluation) and discussion.</w:t>
            </w:r>
          </w:p>
        </w:tc>
      </w:tr>
    </w:tbl>
    <w:p w:rsidR="00000000" w:rsidDel="00000000" w:rsidP="00000000" w:rsidRDefault="00000000" w:rsidRPr="00000000" w14:paraId="0000002A">
      <w:pPr>
        <w:rPr>
          <w:rFonts w:ascii="Inter" w:cs="Inter" w:eastAsia="Inter" w:hAnsi="Inter"/>
        </w:rPr>
      </w:pPr>
      <w:r w:rsidDel="00000000" w:rsidR="00000000" w:rsidRPr="00000000">
        <w:rPr>
          <w:rtl w:val="0"/>
        </w:rPr>
      </w:r>
    </w:p>
    <w:p w:rsidR="00000000" w:rsidDel="00000000" w:rsidP="00000000" w:rsidRDefault="00000000" w:rsidRPr="00000000" w14:paraId="0000002B">
      <w:pPr>
        <w:rPr>
          <w:rFonts w:ascii="Inter" w:cs="Inter" w:eastAsia="Inter" w:hAnsi="Inter"/>
          <w:sz w:val="24"/>
          <w:szCs w:val="24"/>
          <w:u w:val="single"/>
        </w:rPr>
      </w:pPr>
      <w:r w:rsidDel="00000000" w:rsidR="00000000" w:rsidRPr="00000000">
        <w:rPr>
          <w:rFonts w:ascii="Inter" w:cs="Inter" w:eastAsia="Inter" w:hAnsi="Inter"/>
          <w:sz w:val="24"/>
          <w:szCs w:val="24"/>
          <w:u w:val="single"/>
          <w:rtl w:val="0"/>
        </w:rPr>
        <w:t xml:space="preserve">Slide Deck Variations</w:t>
      </w:r>
    </w:p>
    <w:p w:rsidR="00000000" w:rsidDel="00000000" w:rsidP="00000000" w:rsidRDefault="00000000" w:rsidRPr="00000000" w14:paraId="0000002C">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D">
      <w:pPr>
        <w:numPr>
          <w:ilvl w:val="0"/>
          <w:numId w:val="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To shorten the lecture: decrease the amount of time spent on each slide and/or shorten the activities. Activities 1 and 2 can instead be completed by the class as a whole in a group discussion setting.</w:t>
      </w:r>
    </w:p>
    <w:p w:rsidR="00000000" w:rsidDel="00000000" w:rsidP="00000000" w:rsidRDefault="00000000" w:rsidRPr="00000000" w14:paraId="0000002E">
      <w:pPr>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F">
      <w:pPr>
        <w:numPr>
          <w:ilvl w:val="0"/>
          <w:numId w:val="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To lengthen the lecture: add case study examples to the slides and engage students in discussion of real-world examples. Increase the complexity of the activities and/or ask students to submit their answers for evaluation.</w:t>
      </w:r>
    </w:p>
    <w:p w:rsidR="00000000" w:rsidDel="00000000" w:rsidP="00000000" w:rsidRDefault="00000000" w:rsidRPr="00000000" w14:paraId="00000030">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1">
      <w:pPr>
        <w:numPr>
          <w:ilvl w:val="0"/>
          <w:numId w:val="3"/>
        </w:numPr>
        <w:ind w:left="720" w:hanging="360"/>
        <w:rPr>
          <w:rFonts w:ascii="Inter" w:cs="Inter" w:eastAsia="Inter" w:hAnsi="Inter"/>
          <w:sz w:val="24"/>
          <w:szCs w:val="24"/>
        </w:rPr>
      </w:pPr>
      <w:r w:rsidDel="00000000" w:rsidR="00000000" w:rsidRPr="00000000">
        <w:rPr>
          <w:rFonts w:ascii="Inter" w:cs="Inter" w:eastAsia="Inter" w:hAnsi="Inter"/>
          <w:sz w:val="24"/>
          <w:szCs w:val="24"/>
          <w:highlight w:val="white"/>
          <w:rtl w:val="0"/>
        </w:rPr>
        <w:t xml:space="preserve">50-min version: Slides 3-9, 12-15, 18-24 + Activity 1 + short debrief. Key learning priorities: lifecycle steps, application to critical workflows, how human-centered choices inform data science methods and evaluation.</w:t>
      </w:r>
    </w:p>
    <w:p w:rsidR="00000000" w:rsidDel="00000000" w:rsidP="00000000" w:rsidRDefault="00000000" w:rsidRPr="00000000" w14:paraId="00000032">
      <w:pPr>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3">
      <w:pPr>
        <w:numPr>
          <w:ilvl w:val="0"/>
          <w:numId w:val="3"/>
        </w:numPr>
        <w:ind w:left="720" w:hanging="360"/>
        <w:rPr>
          <w:rFonts w:ascii="Inter" w:cs="Inter" w:eastAsia="Inter" w:hAnsi="Inter"/>
          <w:sz w:val="24"/>
          <w:szCs w:val="24"/>
        </w:rPr>
      </w:pPr>
      <w:r w:rsidDel="00000000" w:rsidR="00000000" w:rsidRPr="00000000">
        <w:rPr>
          <w:rFonts w:ascii="Inter" w:cs="Inter" w:eastAsia="Inter" w:hAnsi="Inter"/>
          <w:sz w:val="24"/>
          <w:szCs w:val="24"/>
          <w:highlight w:val="white"/>
          <w:rtl w:val="0"/>
        </w:rPr>
        <w:t xml:space="preserve">80-min version: Full slide deck (minus code notebook and Activity 2).</w:t>
      </w:r>
      <w:r w:rsidDel="00000000" w:rsidR="00000000" w:rsidRPr="00000000">
        <w:rPr>
          <w:rtl w:val="0"/>
        </w:rPr>
      </w:r>
    </w:p>
    <w:p w:rsidR="00000000" w:rsidDel="00000000" w:rsidP="00000000" w:rsidRDefault="00000000" w:rsidRPr="00000000" w14:paraId="00000034">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35">
      <w:pPr>
        <w:ind w:left="0" w:firstLine="0"/>
        <w:rPr>
          <w:rFonts w:ascii="Inter" w:cs="Inter" w:eastAsia="Inter" w:hAnsi="Inter"/>
          <w:sz w:val="30"/>
          <w:szCs w:val="30"/>
        </w:rPr>
      </w:pPr>
      <w:r w:rsidDel="00000000" w:rsidR="00000000" w:rsidRPr="00000000">
        <w:rPr>
          <w:rFonts w:ascii="Inter" w:cs="Inter" w:eastAsia="Inter" w:hAnsi="Inter"/>
          <w:sz w:val="30"/>
          <w:szCs w:val="30"/>
          <w:rtl w:val="0"/>
        </w:rPr>
        <w:t xml:space="preserve">Exit Tickets</w:t>
      </w:r>
    </w:p>
    <w:p w:rsidR="00000000" w:rsidDel="00000000" w:rsidP="00000000" w:rsidRDefault="00000000" w:rsidRPr="00000000" w14:paraId="00000036">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“Exit tickets” are optional assignments that students can complete at the end of a course session, to cement their understanding of that lecture’s key takeaways and engage in thought-provoking activities before heading out the door.</w:t>
      </w:r>
    </w:p>
    <w:p w:rsidR="00000000" w:rsidDel="00000000" w:rsidP="00000000" w:rsidRDefault="00000000" w:rsidRPr="00000000" w14:paraId="00000037">
      <w:pPr>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8">
      <w:pPr>
        <w:ind w:left="0" w:firstLine="0"/>
        <w:rPr>
          <w:rFonts w:ascii="Inter" w:cs="Inter" w:eastAsia="Inter" w:hAnsi="Inter"/>
          <w:sz w:val="24"/>
          <w:szCs w:val="24"/>
          <w:u w:val="single"/>
        </w:rPr>
      </w:pPr>
      <w:r w:rsidDel="00000000" w:rsidR="00000000" w:rsidRPr="00000000">
        <w:rPr>
          <w:rFonts w:ascii="Inter" w:cs="Inter" w:eastAsia="Inter" w:hAnsi="Inter"/>
          <w:sz w:val="24"/>
          <w:szCs w:val="24"/>
          <w:u w:val="single"/>
          <w:rtl w:val="0"/>
        </w:rPr>
        <w:t xml:space="preserve">Group Exit Ticket</w:t>
      </w:r>
      <w:r w:rsidDel="00000000" w:rsidR="00000000" w:rsidRPr="00000000">
        <w:rPr>
          <w:rtl w:val="0"/>
        </w:rPr>
      </w:r>
    </w:p>
    <w:p w:rsidR="00000000" w:rsidDel="00000000" w:rsidP="00000000" w:rsidRDefault="00000000" w:rsidRPr="00000000" w14:paraId="00000039">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The group exit ticket for this module engages students in small groups (2-5 people, depending on class size) to explore the role of humans in data science. A description of the activity is provided </w:t>
      </w:r>
      <w:r w:rsidDel="00000000" w:rsidR="00000000" w:rsidRPr="00000000">
        <w:rPr>
          <w:rFonts w:ascii="Inter" w:cs="Inter" w:eastAsia="Inter" w:hAnsi="Inter"/>
          <w:sz w:val="24"/>
          <w:szCs w:val="24"/>
          <w:rtl w:val="0"/>
        </w:rPr>
        <w:t xml:space="preserve">on Slide 26, with a template on Slide 27, </w:t>
      </w:r>
      <w:r w:rsidDel="00000000" w:rsidR="00000000" w:rsidRPr="00000000">
        <w:rPr>
          <w:rFonts w:ascii="Inter" w:cs="Inter" w:eastAsia="Inter" w:hAnsi="Inter"/>
          <w:sz w:val="24"/>
          <w:szCs w:val="24"/>
          <w:rtl w:val="0"/>
        </w:rPr>
        <w:t xml:space="preserve">of the provided deck.</w:t>
      </w:r>
    </w:p>
    <w:p w:rsidR="00000000" w:rsidDel="00000000" w:rsidP="00000000" w:rsidRDefault="00000000" w:rsidRPr="00000000" w14:paraId="0000003A">
      <w:pPr>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B">
      <w:pPr>
        <w:ind w:left="0" w:firstLine="0"/>
        <w:rPr>
          <w:rFonts w:ascii="Inter" w:cs="Inter" w:eastAsia="Inter" w:hAnsi="Inter"/>
          <w:sz w:val="24"/>
          <w:szCs w:val="24"/>
          <w:u w:val="single"/>
        </w:rPr>
      </w:pPr>
      <w:r w:rsidDel="00000000" w:rsidR="00000000" w:rsidRPr="00000000">
        <w:rPr>
          <w:rFonts w:ascii="Inter" w:cs="Inter" w:eastAsia="Inter" w:hAnsi="Inter"/>
          <w:sz w:val="24"/>
          <w:szCs w:val="24"/>
          <w:rtl w:val="0"/>
        </w:rPr>
        <w:t xml:space="preserve">We recommend that student groups submit their created slides/deliverables (whether or not they are graded/recorded for participation), so that instructors can assemble all slides/deliverables and give them back to students as a way to revise from the work their peers have completed. Instructors can collect group exit tickets from throughout the semester to assemble a student-generated understanding of human-centered data science.</w:t>
      </w:r>
      <w:r w:rsidDel="00000000" w:rsidR="00000000" w:rsidRPr="00000000">
        <w:rPr>
          <w:rtl w:val="0"/>
        </w:rPr>
      </w:r>
    </w:p>
    <w:p w:rsidR="00000000" w:rsidDel="00000000" w:rsidP="00000000" w:rsidRDefault="00000000" w:rsidRPr="00000000" w14:paraId="0000003C">
      <w:pPr>
        <w:ind w:left="0" w:firstLine="0"/>
        <w:rPr>
          <w:rFonts w:ascii="Inter" w:cs="Inter" w:eastAsia="Inter" w:hAnsi="Inter"/>
          <w:sz w:val="24"/>
          <w:szCs w:val="24"/>
          <w:u w:val="single"/>
        </w:rPr>
      </w:pPr>
      <w:r w:rsidDel="00000000" w:rsidR="00000000" w:rsidRPr="00000000">
        <w:rPr>
          <w:rtl w:val="0"/>
        </w:rPr>
      </w:r>
    </w:p>
    <w:p w:rsidR="00000000" w:rsidDel="00000000" w:rsidP="00000000" w:rsidRDefault="00000000" w:rsidRPr="00000000" w14:paraId="0000003D">
      <w:pPr>
        <w:ind w:left="0" w:firstLine="0"/>
        <w:rPr>
          <w:rFonts w:ascii="Inter" w:cs="Inter" w:eastAsia="Inter" w:hAnsi="Inter"/>
          <w:sz w:val="24"/>
          <w:szCs w:val="24"/>
          <w:u w:val="single"/>
        </w:rPr>
      </w:pPr>
      <w:r w:rsidDel="00000000" w:rsidR="00000000" w:rsidRPr="00000000">
        <w:rPr>
          <w:rFonts w:ascii="Inter" w:cs="Inter" w:eastAsia="Inter" w:hAnsi="Inter"/>
          <w:sz w:val="24"/>
          <w:szCs w:val="24"/>
          <w:u w:val="single"/>
          <w:rtl w:val="0"/>
        </w:rPr>
        <w:t xml:space="preserve">Individual Exit Ticket</w:t>
      </w:r>
      <w:r w:rsidDel="00000000" w:rsidR="00000000" w:rsidRPr="00000000">
        <w:rPr>
          <w:rtl w:val="0"/>
        </w:rPr>
      </w:r>
    </w:p>
    <w:p w:rsidR="00000000" w:rsidDel="00000000" w:rsidP="00000000" w:rsidRDefault="00000000" w:rsidRPr="00000000" w14:paraId="0000003E">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We provide an individual exit ticket should instructors like to assess students individually and/or perform a knowledge check from the textbook/readings.</w:t>
      </w:r>
    </w:p>
    <w:p w:rsidR="00000000" w:rsidDel="00000000" w:rsidP="00000000" w:rsidRDefault="00000000" w:rsidRPr="00000000" w14:paraId="0000003F">
      <w:pPr>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0">
      <w:pPr>
        <w:numPr>
          <w:ilvl w:val="0"/>
          <w:numId w:val="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1. What distinguishes the Human-Centered Data Science lifecycle from a traditional data science lifecycle?</w:t>
      </w:r>
    </w:p>
    <w:p w:rsidR="00000000" w:rsidDel="00000000" w:rsidP="00000000" w:rsidRDefault="00000000" w:rsidRPr="00000000" w14:paraId="00000041">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It focuses on technical model accuracy</w:t>
      </w:r>
    </w:p>
    <w:p w:rsidR="00000000" w:rsidDel="00000000" w:rsidP="00000000" w:rsidRDefault="00000000" w:rsidRPr="00000000" w14:paraId="00000042">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It prioritizes automation</w:t>
      </w:r>
    </w:p>
    <w:p w:rsidR="00000000" w:rsidDel="00000000" w:rsidP="00000000" w:rsidRDefault="00000000" w:rsidRPr="00000000" w14:paraId="00000043">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b w:val="1"/>
          <w:bCs w:val="1"/>
          <w:rtl w:val="0"/>
        </w:rPr>
        <w:t xml:space="preserve">It centers stakeholders and societal impact throughout</w:t>
      </w:r>
    </w:p>
    <w:p w:rsidR="00000000" w:rsidDel="00000000" w:rsidP="00000000" w:rsidRDefault="00000000" w:rsidRPr="00000000" w14:paraId="00000044">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It forgoes data cleaning</w:t>
      </w:r>
      <w:r w:rsidDel="00000000" w:rsidR="00000000" w:rsidRPr="00000000">
        <w:rPr>
          <w:rtl w:val="0"/>
        </w:rPr>
      </w:r>
    </w:p>
    <w:p w:rsidR="00000000" w:rsidDel="00000000" w:rsidP="00000000" w:rsidRDefault="00000000" w:rsidRPr="00000000" w14:paraId="00000045">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In a human-centered</w:t>
      </w:r>
      <w:r w:rsidDel="00000000" w:rsidR="00000000" w:rsidRPr="00000000">
        <w:rPr>
          <w:rFonts w:ascii="Inter" w:cs="Inter" w:eastAsia="Inter" w:hAnsi="Inter"/>
          <w:rtl w:val="0"/>
        </w:rPr>
        <w:t xml:space="preserve"> approach, why is problem formulation especially important?</w:t>
      </w:r>
    </w:p>
    <w:p w:rsidR="00000000" w:rsidDel="00000000" w:rsidP="00000000" w:rsidRDefault="00000000" w:rsidRPr="00000000" w14:paraId="00000046">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It determines the model used</w:t>
      </w:r>
    </w:p>
    <w:p w:rsidR="00000000" w:rsidDel="00000000" w:rsidP="00000000" w:rsidRDefault="00000000" w:rsidRPr="00000000" w14:paraId="00000047">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b w:val="1"/>
          <w:bCs w:val="1"/>
          <w:rtl w:val="0"/>
        </w:rPr>
        <w:t xml:space="preserve">It ensures the problem reflects stakeholder needs and avoids harmful framing</w:t>
      </w:r>
    </w:p>
    <w:p w:rsidR="00000000" w:rsidDel="00000000" w:rsidP="00000000" w:rsidRDefault="00000000" w:rsidRPr="00000000" w14:paraId="00000048">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It reduces computational costs</w:t>
      </w:r>
    </w:p>
    <w:p w:rsidR="00000000" w:rsidDel="00000000" w:rsidP="00000000" w:rsidRDefault="00000000" w:rsidRPr="00000000" w14:paraId="00000049">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It guarantees high model accuracy</w:t>
      </w:r>
    </w:p>
    <w:p w:rsidR="00000000" w:rsidDel="00000000" w:rsidP="00000000" w:rsidRDefault="00000000" w:rsidRPr="00000000" w14:paraId="0000004A">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During the data collection stage, a human-centered approach emphasizes:</w:t>
      </w:r>
    </w:p>
    <w:p w:rsidR="00000000" w:rsidDel="00000000" w:rsidP="00000000" w:rsidRDefault="00000000" w:rsidRPr="00000000" w14:paraId="0000004B">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Gathering as much data as possible regardless of source</w:t>
      </w:r>
    </w:p>
    <w:p w:rsidR="00000000" w:rsidDel="00000000" w:rsidP="00000000" w:rsidRDefault="00000000" w:rsidRPr="00000000" w14:paraId="0000004C">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Collecting only numerical data</w:t>
      </w:r>
    </w:p>
    <w:p w:rsidR="00000000" w:rsidDel="00000000" w:rsidP="00000000" w:rsidRDefault="00000000" w:rsidRPr="00000000" w14:paraId="0000004D">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b w:val="1"/>
          <w:bCs w:val="1"/>
          <w:rtl w:val="0"/>
        </w:rPr>
        <w:t xml:space="preserve">Considering consent, privacy, and representation</w:t>
      </w:r>
    </w:p>
    <w:p w:rsidR="00000000" w:rsidDel="00000000" w:rsidP="00000000" w:rsidRDefault="00000000" w:rsidRPr="00000000" w14:paraId="0000004E">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Ease of data collection</w:t>
      </w:r>
    </w:p>
    <w:p w:rsidR="00000000" w:rsidDel="00000000" w:rsidP="00000000" w:rsidRDefault="00000000" w:rsidRPr="00000000" w14:paraId="0000004F">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Which of the following best illustrates an abstraction trap?</w:t>
      </w:r>
    </w:p>
    <w:p w:rsidR="00000000" w:rsidDel="00000000" w:rsidP="00000000" w:rsidRDefault="00000000" w:rsidRPr="00000000" w14:paraId="00000050">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A data scientist uses cross-validation to evaluate multiple models and selects the one with the best average performance.</w:t>
      </w:r>
    </w:p>
    <w:p w:rsidR="00000000" w:rsidDel="00000000" w:rsidP="00000000" w:rsidRDefault="00000000" w:rsidRPr="00000000" w14:paraId="00000051">
      <w:pPr>
        <w:numPr>
          <w:ilvl w:val="1"/>
          <w:numId w:val="4"/>
        </w:numPr>
        <w:spacing w:after="0" w:afterAutospacing="0" w:before="0" w:beforeAutospacing="0" w:lineRule="auto"/>
        <w:ind w:left="1440" w:hanging="360"/>
        <w:rPr>
          <w:rFonts w:ascii="Inter" w:cs="Inter" w:eastAsia="Inter" w:hAnsi="Inter"/>
          <w:b w:val="1"/>
          <w:bCs w:val="1"/>
        </w:rPr>
      </w:pPr>
      <w:r w:rsidDel="00000000" w:rsidR="00000000" w:rsidRPr="00000000">
        <w:rPr>
          <w:rFonts w:ascii="Inter" w:cs="Inter" w:eastAsia="Inter" w:hAnsi="Inter"/>
          <w:b w:val="1"/>
          <w:bCs w:val="1"/>
          <w:rtl w:val="0"/>
        </w:rPr>
        <w:t xml:space="preserve">A team deploys a machine learning model but </w:t>
      </w:r>
      <w:r w:rsidDel="00000000" w:rsidR="00000000" w:rsidRPr="00000000">
        <w:rPr>
          <w:rFonts w:ascii="Inter" w:cs="Inter" w:eastAsia="Inter" w:hAnsi="Inter"/>
          <w:b w:val="1"/>
          <w:bCs w:val="1"/>
          <w:rtl w:val="0"/>
        </w:rPr>
        <w:t xml:space="preserve">fail</w:t>
      </w:r>
      <w:r w:rsidDel="00000000" w:rsidR="00000000" w:rsidRPr="00000000">
        <w:rPr>
          <w:rFonts w:ascii="Inter" w:cs="Inter" w:eastAsia="Inter" w:hAnsi="Inter"/>
          <w:b w:val="1"/>
          <w:bCs w:val="1"/>
          <w:rtl w:val="0"/>
        </w:rPr>
        <w:t xml:space="preserve">s to examine how data preprocessing decisions may encode bias from earlier stages.</w:t>
      </w:r>
    </w:p>
    <w:p w:rsidR="00000000" w:rsidDel="00000000" w:rsidP="00000000" w:rsidRDefault="00000000" w:rsidRPr="00000000" w14:paraId="00000052">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A researcher documents each step of their workflow but fails to publish a replicable outline of their process.</w:t>
      </w:r>
    </w:p>
    <w:p w:rsidR="00000000" w:rsidDel="00000000" w:rsidP="00000000" w:rsidRDefault="00000000" w:rsidRPr="00000000" w14:paraId="00000053">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An analyst visualizes raw data distributions before choosing a modeling approach.</w:t>
      </w:r>
    </w:p>
    <w:p w:rsidR="00000000" w:rsidDel="00000000" w:rsidP="00000000" w:rsidRDefault="00000000" w:rsidRPr="00000000" w14:paraId="00000054">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Two predictive models have the same overall accuracy on a test set. However, Model A produces most of its errors on a marginalized subgroup, while Model B’s errors are evenly distributed. What is the key issue illustrated here?</w:t>
      </w:r>
    </w:p>
    <w:p w:rsidR="00000000" w:rsidDel="00000000" w:rsidP="00000000" w:rsidRDefault="00000000" w:rsidRPr="00000000" w14:paraId="00000055">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The difference is irrelevant unless overall accuracy drops below a threshold.</w:t>
      </w:r>
    </w:p>
    <w:p w:rsidR="00000000" w:rsidDel="00000000" w:rsidP="00000000" w:rsidRDefault="00000000" w:rsidRPr="00000000" w14:paraId="00000056">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Model A may be stronger because it concentrates errors in one group.</w:t>
      </w:r>
    </w:p>
    <w:p w:rsidR="00000000" w:rsidDel="00000000" w:rsidP="00000000" w:rsidRDefault="00000000" w:rsidRPr="00000000" w14:paraId="00000057">
      <w:pPr>
        <w:numPr>
          <w:ilvl w:val="1"/>
          <w:numId w:val="4"/>
        </w:numPr>
        <w:spacing w:after="0" w:afterAutospacing="0" w:before="0" w:beforeAutospacing="0" w:lineRule="auto"/>
        <w:ind w:left="1440" w:hanging="360"/>
        <w:rPr>
          <w:rFonts w:ascii="Inter" w:cs="Inter" w:eastAsia="Inter" w:hAnsi="Inter"/>
          <w:b w:val="1"/>
          <w:bCs w:val="1"/>
        </w:rPr>
      </w:pPr>
      <w:r w:rsidDel="00000000" w:rsidR="00000000" w:rsidRPr="00000000">
        <w:rPr>
          <w:rFonts w:ascii="Inter" w:cs="Inter" w:eastAsia="Inter" w:hAnsi="Inter"/>
          <w:b w:val="1"/>
          <w:bCs w:val="1"/>
          <w:rtl w:val="0"/>
        </w:rPr>
        <w:t xml:space="preserve">Equal accuracy can mask unequal harms across groups.</w:t>
      </w:r>
    </w:p>
    <w:p w:rsidR="00000000" w:rsidDel="00000000" w:rsidP="00000000" w:rsidRDefault="00000000" w:rsidRPr="00000000" w14:paraId="00000058">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Model B may be weaker because it spreads errors more widely.</w:t>
      </w:r>
    </w:p>
    <w:p w:rsidR="00000000" w:rsidDel="00000000" w:rsidP="00000000" w:rsidRDefault="00000000" w:rsidRPr="00000000" w14:paraId="00000059">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What is a risk to look out for at the Feature Engineering stage of the data science life cycle?</w:t>
      </w:r>
    </w:p>
    <w:p w:rsidR="00000000" w:rsidDel="00000000" w:rsidP="00000000" w:rsidRDefault="00000000" w:rsidRPr="00000000" w14:paraId="0000005A">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Collecting unrepresentative data</w:t>
      </w:r>
    </w:p>
    <w:p w:rsidR="00000000" w:rsidDel="00000000" w:rsidP="00000000" w:rsidRDefault="00000000" w:rsidRPr="00000000" w14:paraId="0000005B">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b w:val="1"/>
          <w:bCs w:val="1"/>
          <w:rtl w:val="0"/>
        </w:rPr>
        <w:t xml:space="preserve">Not all information is easily represented numerically</w:t>
      </w:r>
    </w:p>
    <w:p w:rsidR="00000000" w:rsidDel="00000000" w:rsidP="00000000" w:rsidRDefault="00000000" w:rsidRPr="00000000" w14:paraId="0000005C">
      <w:pPr>
        <w:numPr>
          <w:ilvl w:val="1"/>
          <w:numId w:val="4"/>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Choosing an inappropriate model for data evaluation</w:t>
      </w:r>
    </w:p>
    <w:p w:rsidR="00000000" w:rsidDel="00000000" w:rsidP="00000000" w:rsidRDefault="00000000" w:rsidRPr="00000000" w14:paraId="0000005D">
      <w:pPr>
        <w:numPr>
          <w:ilvl w:val="1"/>
          <w:numId w:val="4"/>
        </w:numPr>
        <w:spacing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Failing to formulate a meaningful and specific question</w:t>
      </w:r>
      <w:r w:rsidDel="00000000" w:rsidR="00000000" w:rsidRPr="00000000">
        <w:rPr>
          <w:rtl w:val="0"/>
        </w:rPr>
      </w:r>
    </w:p>
    <w:p w:rsidR="00000000" w:rsidDel="00000000" w:rsidP="00000000" w:rsidRDefault="00000000" w:rsidRPr="00000000" w14:paraId="0000005E">
      <w:pPr>
        <w:ind w:left="0" w:firstLine="0"/>
        <w:rPr>
          <w:rFonts w:ascii="Inter" w:cs="Inter" w:eastAsia="Inter" w:hAnsi="Inter"/>
          <w:sz w:val="30"/>
          <w:szCs w:val="30"/>
        </w:rPr>
      </w:pPr>
      <w:r w:rsidDel="00000000" w:rsidR="00000000" w:rsidRPr="00000000">
        <w:rPr>
          <w:rtl w:val="0"/>
        </w:rPr>
      </w:r>
    </w:p>
    <w:p w:rsidR="00000000" w:rsidDel="00000000" w:rsidP="00000000" w:rsidRDefault="00000000" w:rsidRPr="00000000" w14:paraId="0000005F">
      <w:pPr>
        <w:ind w:left="0" w:firstLine="0"/>
        <w:rPr>
          <w:rFonts w:ascii="Inter" w:cs="Inter" w:eastAsia="Inter" w:hAnsi="Inter"/>
          <w:sz w:val="30"/>
          <w:szCs w:val="30"/>
        </w:rPr>
      </w:pPr>
      <w:r w:rsidDel="00000000" w:rsidR="00000000" w:rsidRPr="00000000">
        <w:rPr>
          <w:rFonts w:ascii="Inter" w:cs="Inter" w:eastAsia="Inter" w:hAnsi="Inter"/>
          <w:sz w:val="30"/>
          <w:szCs w:val="30"/>
          <w:rtl w:val="0"/>
        </w:rPr>
        <w:t xml:space="preserve">Readings</w:t>
      </w:r>
      <w:r w:rsidDel="00000000" w:rsidR="00000000" w:rsidRPr="00000000">
        <w:rPr>
          <w:rtl w:val="0"/>
        </w:rPr>
      </w:r>
    </w:p>
    <w:p w:rsidR="00000000" w:rsidDel="00000000" w:rsidP="00000000" w:rsidRDefault="00000000" w:rsidRPr="00000000" w14:paraId="00000060">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We recommend the following readings to complement this module:</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hd w:fill="fefefe" w:val="clear"/>
        <w:spacing w:after="0" w:afterAutospacing="0" w:line="276" w:lineRule="auto"/>
        <w:ind w:left="720" w:hanging="360"/>
        <w:rPr>
          <w:rFonts w:ascii="Inter" w:cs="Inter" w:eastAsia="Inter" w:hAnsi="Inter"/>
          <w:sz w:val="24"/>
          <w:szCs w:val="24"/>
        </w:rPr>
      </w:pPr>
      <w:r w:rsidDel="00000000" w:rsidR="00000000" w:rsidRPr="00000000">
        <w:rPr>
          <w:rFonts w:ascii="Inter" w:cs="Inter" w:eastAsia="Inter" w:hAnsi="Inter"/>
          <w:color w:val="0a0a0a"/>
          <w:sz w:val="24"/>
          <w:szCs w:val="24"/>
          <w:rtl w:val="0"/>
        </w:rPr>
        <w:t xml:space="preserve">C. Aragon, S. Guha, M. Kogan, M. Muller, and G. Neff. 2022. Human-Centered Data Science: An Introduction. MIT Press. ISBN: 9780262543217 </w:t>
      </w:r>
      <w:r w:rsidDel="00000000" w:rsidR="00000000" w:rsidRPr="00000000">
        <w:rPr>
          <w:rFonts w:ascii="Inter" w:cs="Inter" w:eastAsia="Inter" w:hAnsi="Inter"/>
          <w:b w:val="1"/>
          <w:bCs w:val="1"/>
          <w:color w:val="0a0a0a"/>
          <w:sz w:val="24"/>
          <w:szCs w:val="24"/>
          <w:rtl w:val="0"/>
        </w:rPr>
        <w:t xml:space="preserve">Chapters 2 and 3.</w:t>
      </w:r>
      <w:r w:rsidDel="00000000" w:rsidR="00000000" w:rsidRPr="00000000">
        <w:rPr>
          <w:rtl w:val="0"/>
        </w:rPr>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hd w:fill="fefefe" w:val="clear"/>
        <w:spacing w:after="0" w:afterAutospacing="0" w:lineRule="auto"/>
        <w:ind w:left="720" w:hanging="360"/>
        <w:rPr>
          <w:rFonts w:ascii="Inter" w:cs="Inter" w:eastAsia="Inter" w:hAnsi="Inter"/>
          <w:color w:val="0a0a0a"/>
          <w:sz w:val="24"/>
          <w:szCs w:val="24"/>
        </w:rPr>
      </w:pPr>
      <w:r w:rsidDel="00000000" w:rsidR="00000000" w:rsidRPr="00000000">
        <w:rPr>
          <w:rFonts w:ascii="Inter" w:cs="Inter" w:eastAsia="Inter" w:hAnsi="Inter"/>
          <w:color w:val="0a0a0a"/>
          <w:sz w:val="24"/>
          <w:szCs w:val="24"/>
          <w:rtl w:val="0"/>
        </w:rPr>
        <w:t xml:space="preserve">V. Stodden. 2020. The data science life cycle: a disciplined approach to advancing data science as a science. Communications of the ACM 63, 7 (July 2020), 58–66. </w:t>
      </w:r>
      <w:hyperlink r:id="rId6">
        <w:r w:rsidDel="00000000" w:rsidR="00000000" w:rsidRPr="00000000">
          <w:rPr>
            <w:rFonts w:ascii="Inter" w:cs="Inter" w:eastAsia="Inter" w:hAnsi="Inter"/>
            <w:color w:val="1155cc"/>
            <w:sz w:val="24"/>
            <w:szCs w:val="24"/>
            <w:u w:val="single"/>
            <w:rtl w:val="0"/>
          </w:rPr>
          <w:t xml:space="preserve">https://doi.org/10.1145/3360646</w:t>
        </w:r>
      </w:hyperlink>
      <w:r w:rsidDel="00000000" w:rsidR="00000000" w:rsidRPr="00000000">
        <w:rPr>
          <w:rtl w:val="0"/>
        </w:rPr>
      </w:r>
    </w:p>
    <w:p w:rsidR="00000000" w:rsidDel="00000000" w:rsidP="00000000" w:rsidRDefault="00000000" w:rsidRPr="00000000" w14:paraId="00000063">
      <w:pPr>
        <w:numPr>
          <w:ilvl w:val="1"/>
          <w:numId w:val="2"/>
        </w:numPr>
        <w:pBdr>
          <w:top w:color="auto" w:space="0" w:sz="0" w:val="none"/>
          <w:bottom w:color="auto" w:space="0" w:sz="0" w:val="none"/>
          <w:right w:color="auto" w:space="0" w:sz="0" w:val="none"/>
          <w:between w:color="auto" w:space="0" w:sz="0" w:val="none"/>
        </w:pBdr>
        <w:shd w:fill="fefefe" w:val="clear"/>
        <w:spacing w:after="0" w:afterAutospacing="0" w:lineRule="auto"/>
        <w:ind w:left="1440" w:hanging="360"/>
        <w:rPr>
          <w:rFonts w:ascii="Inter" w:cs="Inter" w:eastAsia="Inter" w:hAnsi="Inter"/>
          <w:color w:val="0a0a0a"/>
          <w:sz w:val="24"/>
          <w:szCs w:val="24"/>
          <w:u w:val="none"/>
        </w:rPr>
      </w:pPr>
      <w:r w:rsidDel="00000000" w:rsidR="00000000" w:rsidRPr="00000000">
        <w:rPr>
          <w:rFonts w:ascii="Inter" w:cs="Inter" w:eastAsia="Inter" w:hAnsi="Inter"/>
          <w:color w:val="0a0a0a"/>
          <w:sz w:val="24"/>
          <w:szCs w:val="24"/>
          <w:rtl w:val="0"/>
        </w:rPr>
        <w:t xml:space="preserve">Presents a deeper dive into the Data Science Life Cycle, including applications for education, institutions, and policy.</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hd w:fill="fefefe" w:val="clear"/>
        <w:spacing w:after="0" w:afterAutospacing="0" w:lineRule="auto"/>
        <w:ind w:left="720" w:hanging="360"/>
        <w:rPr>
          <w:rFonts w:ascii="Inter" w:cs="Inter" w:eastAsia="Inter" w:hAnsi="Inter"/>
          <w:color w:val="0a0a0a"/>
          <w:sz w:val="24"/>
          <w:szCs w:val="24"/>
          <w:u w:val="none"/>
        </w:rPr>
      </w:pPr>
      <w:r w:rsidDel="00000000" w:rsidR="00000000" w:rsidRPr="00000000">
        <w:rPr>
          <w:rFonts w:ascii="Inter" w:cs="Inter" w:eastAsia="Inter" w:hAnsi="Inter"/>
          <w:color w:val="0a0a0a"/>
          <w:sz w:val="24"/>
          <w:szCs w:val="24"/>
          <w:rtl w:val="0"/>
        </w:rPr>
        <w:t xml:space="preserve">D. Wang, J. Andres, J. D. Weisz, E. Oduor, and C. Dugan. 2021. AutoDS: Towards Human-Centered Automation of Data Science. In Proceedings of the 2021 CHI Conference on Human Factors in Computing Systems (CHI '21). Association for Computing Machinery, New York, NY, USA, Article 79, 1–12. </w:t>
      </w:r>
      <w:hyperlink r:id="rId7">
        <w:r w:rsidDel="00000000" w:rsidR="00000000" w:rsidRPr="00000000">
          <w:rPr>
            <w:rFonts w:ascii="Inter" w:cs="Inter" w:eastAsia="Inter" w:hAnsi="Inter"/>
            <w:color w:val="1155cc"/>
            <w:sz w:val="24"/>
            <w:szCs w:val="24"/>
            <w:u w:val="single"/>
            <w:rtl w:val="0"/>
          </w:rPr>
          <w:t xml:space="preserve">https://doi.org/10.1145/3411764.3445526</w:t>
        </w:r>
      </w:hyperlink>
      <w:r w:rsidDel="00000000" w:rsidR="00000000" w:rsidRPr="00000000">
        <w:rPr>
          <w:rtl w:val="0"/>
        </w:rPr>
      </w:r>
    </w:p>
    <w:p w:rsidR="00000000" w:rsidDel="00000000" w:rsidP="00000000" w:rsidRDefault="00000000" w:rsidRPr="00000000" w14:paraId="00000065">
      <w:pPr>
        <w:numPr>
          <w:ilvl w:val="1"/>
          <w:numId w:val="2"/>
        </w:numPr>
        <w:pBdr>
          <w:top w:color="auto" w:space="0" w:sz="0" w:val="none"/>
          <w:bottom w:color="auto" w:space="0" w:sz="0" w:val="none"/>
          <w:right w:color="auto" w:space="0" w:sz="0" w:val="none"/>
          <w:between w:color="auto" w:space="0" w:sz="0" w:val="none"/>
        </w:pBdr>
        <w:shd w:fill="fefefe" w:val="clear"/>
        <w:spacing w:after="0" w:afterAutospacing="0" w:lineRule="auto"/>
        <w:ind w:left="1440" w:hanging="360"/>
        <w:rPr>
          <w:rFonts w:ascii="Inter" w:cs="Inter" w:eastAsia="Inter" w:hAnsi="Inter"/>
          <w:color w:val="0a0a0a"/>
          <w:sz w:val="24"/>
          <w:szCs w:val="24"/>
          <w:u w:val="none"/>
        </w:rPr>
      </w:pPr>
      <w:r w:rsidDel="00000000" w:rsidR="00000000" w:rsidRPr="00000000">
        <w:rPr>
          <w:rFonts w:ascii="Inter" w:cs="Inter" w:eastAsia="Inter" w:hAnsi="Inter"/>
          <w:color w:val="0a0a0a"/>
          <w:sz w:val="24"/>
          <w:szCs w:val="24"/>
          <w:rtl w:val="0"/>
        </w:rPr>
        <w:t xml:space="preserve">Introduction of an automated machine learning system with testing by data scientists.</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hd w:fill="fefefe" w:val="clear"/>
        <w:spacing w:after="0" w:afterAutospacing="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M.</w:t>
      </w:r>
      <w:r w:rsidDel="00000000" w:rsidR="00000000" w:rsidRPr="00000000">
        <w:rPr>
          <w:rFonts w:ascii="Inter" w:cs="Inter" w:eastAsia="Inter" w:hAnsi="Inter"/>
          <w:sz w:val="24"/>
          <w:szCs w:val="24"/>
          <w:rtl w:val="0"/>
        </w:rPr>
        <w:t xml:space="preserve"> Boenig-Liptsin, A. Tanweer, and A. Edmundson. 2022. Data Science Ethos Lifecycle: Interplay of Ethical Thinking and Data Science Practice. Journal of Statistics and Data Science Education 30, 3 (2022), 228–240. </w:t>
      </w:r>
      <w:hyperlink r:id="rId8">
        <w:r w:rsidDel="00000000" w:rsidR="00000000" w:rsidRPr="00000000">
          <w:rPr>
            <w:rFonts w:ascii="Inter" w:cs="Inter" w:eastAsia="Inter" w:hAnsi="Inter"/>
            <w:color w:val="1155cc"/>
            <w:sz w:val="24"/>
            <w:szCs w:val="24"/>
            <w:u w:val="single"/>
            <w:rtl w:val="0"/>
          </w:rPr>
          <w:t xml:space="preserve">https://doi.org/10.1080/26939169.2022.2089411</w:t>
        </w:r>
      </w:hyperlink>
      <w:r w:rsidDel="00000000" w:rsidR="00000000" w:rsidRPr="00000000">
        <w:rPr>
          <w:rtl w:val="0"/>
        </w:rPr>
      </w:r>
    </w:p>
    <w:p w:rsidR="00000000" w:rsidDel="00000000" w:rsidP="00000000" w:rsidRDefault="00000000" w:rsidRPr="00000000" w14:paraId="00000067">
      <w:pPr>
        <w:numPr>
          <w:ilvl w:val="1"/>
          <w:numId w:val="2"/>
        </w:numPr>
        <w:pBdr>
          <w:top w:color="auto" w:space="0" w:sz="0" w:val="none"/>
          <w:bottom w:color="auto" w:space="0" w:sz="0" w:val="none"/>
          <w:right w:color="auto" w:space="0" w:sz="0" w:val="none"/>
          <w:between w:color="auto" w:space="0" w:sz="0" w:val="none"/>
        </w:pBdr>
        <w:shd w:fill="fefefe" w:val="clear"/>
        <w:spacing w:after="240" w:lineRule="auto"/>
        <w:ind w:left="144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Incorporation of ethics and theory to construct the Data Science Ethos Lifecycle, with applications to real-world data science projects.</w:t>
      </w:r>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efefe" w:val="clear"/>
        <w:spacing w:after="240" w:line="276" w:lineRule="auto"/>
        <w:rPr>
          <w:rFonts w:ascii="Inter" w:cs="Inter" w:eastAsia="Inter" w:hAnsi="Inter"/>
          <w:color w:val="0a0a0a"/>
          <w:sz w:val="24"/>
          <w:szCs w:val="24"/>
        </w:rPr>
      </w:pPr>
      <w:r w:rsidDel="00000000" w:rsidR="00000000" w:rsidRPr="00000000">
        <w:rPr>
          <w:rFonts w:ascii="Inter" w:cs="Inter" w:eastAsia="Inter" w:hAnsi="Inter"/>
          <w:color w:val="0a0a0a"/>
          <w:sz w:val="24"/>
          <w:szCs w:val="24"/>
          <w:rtl w:val="0"/>
        </w:rPr>
        <w:t xml:space="preserve">Instructors are encouraged to add, replace, remove readings as they see fit.</w:t>
      </w:r>
    </w:p>
    <w:p w:rsidR="00000000" w:rsidDel="00000000" w:rsidP="00000000" w:rsidRDefault="00000000" w:rsidRPr="00000000" w14:paraId="00000069">
      <w:pPr>
        <w:ind w:left="0" w:firstLine="0"/>
        <w:rPr>
          <w:rFonts w:ascii="Inter" w:cs="Inter" w:eastAsia="Inter" w:hAnsi="Inter"/>
          <w:sz w:val="30"/>
          <w:szCs w:val="30"/>
        </w:rPr>
      </w:pPr>
      <w:r w:rsidDel="00000000" w:rsidR="00000000" w:rsidRPr="00000000">
        <w:rPr>
          <w:rFonts w:ascii="Inter" w:cs="Inter" w:eastAsia="Inter" w:hAnsi="Inter"/>
          <w:sz w:val="30"/>
          <w:szCs w:val="30"/>
          <w:rtl w:val="0"/>
        </w:rPr>
        <w:t xml:space="preserve">Code Notebook</w:t>
      </w:r>
      <w:r w:rsidDel="00000000" w:rsidR="00000000" w:rsidRPr="00000000">
        <w:rPr>
          <w:rtl w:val="0"/>
        </w:rPr>
      </w:r>
    </w:p>
    <w:p w:rsidR="00000000" w:rsidDel="00000000" w:rsidP="00000000" w:rsidRDefault="00000000" w:rsidRPr="00000000" w14:paraId="0000006A">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The provided code notebook </w:t>
      </w:r>
      <w:r w:rsidDel="00000000" w:rsidR="00000000" w:rsidRPr="00000000">
        <w:rPr>
          <w:rFonts w:ascii="Inter" w:cs="Inter" w:eastAsia="Inter" w:hAnsi="Inter"/>
          <w:sz w:val="24"/>
          <w:szCs w:val="24"/>
          <w:rtl w:val="0"/>
        </w:rPr>
        <w:t xml:space="preserve">(tested in Google Colab/Jupyter and requiring scikit-learn, pandas, matplotlib) </w:t>
      </w:r>
      <w:r w:rsidDel="00000000" w:rsidR="00000000" w:rsidRPr="00000000">
        <w:rPr>
          <w:rFonts w:ascii="Inter" w:cs="Inter" w:eastAsia="Inter" w:hAnsi="Inter"/>
          <w:sz w:val="24"/>
          <w:szCs w:val="24"/>
          <w:rtl w:val="0"/>
        </w:rPr>
        <w:t xml:space="preserve">presents an example of training a linear regression model on a biased dataset.</w:t>
      </w:r>
      <w:r w:rsidDel="00000000" w:rsidR="00000000" w:rsidRPr="00000000">
        <w:rPr>
          <w:rFonts w:ascii="Inter" w:cs="Inter" w:eastAsia="Inter" w:hAnsi="Inter"/>
          <w:sz w:val="24"/>
          <w:szCs w:val="24"/>
          <w:rtl w:val="0"/>
        </w:rPr>
        <w:t xml:space="preserve"> The example emphasizes that models with </w:t>
      </w:r>
      <w:r w:rsidDel="00000000" w:rsidR="00000000" w:rsidRPr="00000000">
        <w:rPr>
          <w:rFonts w:ascii="Inter" w:cs="Inter" w:eastAsia="Inter" w:hAnsi="Inter"/>
          <w:sz w:val="24"/>
          <w:szCs w:val="24"/>
          <w:rtl w:val="0"/>
        </w:rPr>
        <w:t xml:space="preserve">similar overall performance can conceal different error distributions with different downstream </w:t>
      </w:r>
      <w:r w:rsidDel="00000000" w:rsidR="00000000" w:rsidRPr="00000000">
        <w:rPr>
          <w:rFonts w:ascii="Inter" w:cs="Inter" w:eastAsia="Inter" w:hAnsi="Inter"/>
          <w:rtl w:val="0"/>
        </w:rPr>
        <w:t xml:space="preserve">consequences</w:t>
      </w:r>
      <w:r w:rsidDel="00000000" w:rsidR="00000000" w:rsidRPr="00000000">
        <w:rPr>
          <w:rFonts w:ascii="Inter" w:cs="Inter" w:eastAsia="Inter" w:hAnsi="Inter"/>
          <w:sz w:val="21"/>
          <w:szCs w:val="21"/>
          <w:rtl w:val="0"/>
        </w:rPr>
        <w:t xml:space="preserve">.</w:t>
      </w:r>
      <w:r w:rsidDel="00000000" w:rsidR="00000000" w:rsidRPr="00000000">
        <w:rPr>
          <w:rFonts w:ascii="Roboto" w:cs="Roboto" w:eastAsia="Roboto" w:hAnsi="Roboto"/>
          <w:color w:val="444746"/>
          <w:sz w:val="21"/>
          <w:szCs w:val="21"/>
          <w:highlight w:val="white"/>
          <w:rtl w:val="0"/>
        </w:rPr>
        <w:t xml:space="preserve"> </w:t>
      </w:r>
      <w:r w:rsidDel="00000000" w:rsidR="00000000" w:rsidRPr="00000000">
        <w:rPr>
          <w:rFonts w:ascii="Inter" w:cs="Inter" w:eastAsia="Inter" w:hAnsi="Inter"/>
          <w:sz w:val="24"/>
          <w:szCs w:val="24"/>
          <w:rtl w:val="0"/>
        </w:rPr>
        <w:t xml:space="preserve">We provide the code to create 1) synthetic data sets, 2) linear regression models for both data sets, 3) a comparison of evaluation metrics between the two models. </w:t>
      </w:r>
    </w:p>
    <w:p w:rsidR="00000000" w:rsidDel="00000000" w:rsidP="00000000" w:rsidRDefault="00000000" w:rsidRPr="00000000" w14:paraId="0000006B">
      <w:pPr>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C">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This code notebook provides a </w:t>
      </w:r>
      <w:r w:rsidDel="00000000" w:rsidR="00000000" w:rsidRPr="00000000">
        <w:rPr>
          <w:rFonts w:ascii="Inter" w:cs="Inter" w:eastAsia="Inter" w:hAnsi="Inter"/>
          <w:b w:val="1"/>
          <w:bCs w:val="1"/>
          <w:sz w:val="24"/>
          <w:szCs w:val="24"/>
          <w:rtl w:val="0"/>
        </w:rPr>
        <w:t xml:space="preserve">simplified</w:t>
      </w:r>
      <w:r w:rsidDel="00000000" w:rsidR="00000000" w:rsidRPr="00000000">
        <w:rPr>
          <w:rFonts w:ascii="Inter" w:cs="Inter" w:eastAsia="Inter" w:hAnsi="Inter"/>
          <w:sz w:val="24"/>
          <w:szCs w:val="24"/>
          <w:rtl w:val="0"/>
        </w:rPr>
        <w:t xml:space="preserve"> example for students to engage with this content in a preliminary, hands-on manner. We encourage instructors to discuss the impact of using such a simplified example and fine-tune the exercise to match their course learning outcomes and/or frequently used datasets. </w:t>
      </w:r>
      <w:r w:rsidDel="00000000" w:rsidR="00000000" w:rsidRPr="00000000">
        <w:rPr>
          <w:rFonts w:ascii="Inter" w:cs="Inter" w:eastAsia="Inter" w:hAnsi="Inter"/>
          <w:sz w:val="24"/>
          <w:szCs w:val="24"/>
          <w:rtl w:val="0"/>
        </w:rPr>
        <w:t xml:space="preserve">The purpose of the code notebook is to provide students with a hands-on example of a human-centered data science problem and potential biases. This activity is best suited for students with basic Python and introductory machine learning knowledge.</w:t>
      </w:r>
    </w:p>
    <w:p w:rsidR="00000000" w:rsidDel="00000000" w:rsidP="00000000" w:rsidRDefault="00000000" w:rsidRPr="00000000" w14:paraId="0000006D">
      <w:pPr>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E">
      <w:pPr>
        <w:ind w:left="0" w:firstLine="0"/>
        <w:rPr>
          <w:rFonts w:ascii="Inter" w:cs="Inter" w:eastAsia="Inter" w:hAnsi="Inter"/>
        </w:rPr>
      </w:pPr>
      <w:r w:rsidDel="00000000" w:rsidR="00000000" w:rsidRPr="00000000">
        <w:rPr>
          <w:rFonts w:ascii="Inter" w:cs="Inter" w:eastAsia="Inter" w:hAnsi="Inter"/>
          <w:sz w:val="24"/>
          <w:szCs w:val="24"/>
          <w:rtl w:val="0"/>
        </w:rPr>
        <w:t xml:space="preserve">The code can be adapted as instructors see fit, including lengthening the example, creating more/different features, increasing the complexity of the model, and/or using your own dataset. Instructors with non-technical cohorts can use the virtualizations only and skip the modeling code.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45/3360646" TargetMode="External"/><Relationship Id="rId7" Type="http://schemas.openxmlformats.org/officeDocument/2006/relationships/hyperlink" Target="https://doi.org/10.1145/3411764.3445526" TargetMode="External"/><Relationship Id="rId8" Type="http://schemas.openxmlformats.org/officeDocument/2006/relationships/hyperlink" Target="https://doi.org/10.1080/26939169.2022.20894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