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Inter" w:cs="Inter" w:eastAsia="Inter" w:hAnsi="Inter"/>
        </w:rPr>
      </w:pPr>
      <w:bookmarkStart w:colFirst="0" w:colLast="0" w:name="_heading=h.2tgjqr7mpm2d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Module 3: Data Practices and Responsible Modeling</w:t>
      </w:r>
    </w:p>
    <w:p w:rsidR="00000000" w:rsidDel="00000000" w:rsidP="00000000" w:rsidRDefault="00000000" w:rsidRPr="00000000" w14:paraId="00000002">
      <w:pPr>
        <w:pStyle w:val="Subtitle"/>
        <w:rPr>
          <w:rFonts w:ascii="Inter" w:cs="Inter" w:eastAsia="Inter" w:hAnsi="Inter"/>
        </w:rPr>
      </w:pPr>
      <w:bookmarkStart w:colFirst="0" w:colLast="0" w:name="_heading=h.t2jnftjtrkqe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Instructor Guide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Module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Upon completion of this module, students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Collect, clean, and document data responsibly, including imputation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Discuss data representation (such as underrepresentation)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Interpret models with subgroup analysis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Introduce model-cards and datasheets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guide serves to assist instructors with applying Module 3 to their own course settings. We have provided the following materials for this module: slide deck, group activities, individual activity, recommended complementary readings, and a code notebook example. All materials are ready to be applied directly in course settings (shared through a Learning Management System); however, we provide details in this guide as to how to adapt the materials to fit your course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Slide Deck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520"/>
        <w:gridCol w:w="5355"/>
        <w:tblGridChange w:id="0">
          <w:tblGrid>
            <w:gridCol w:w="1485"/>
            <w:gridCol w:w="252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Slide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Timing/Notes (Total: ~ 3 hours in-class content)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 min: Adapt to class needs/learning objectives.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3-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Introduction to 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20 min: Introduction to machine learning, types of learning, models, and model cards.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Activity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10-15 min: Group activity to examine a dataset and choose a machine learning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12-17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Data Handling and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20 min: Exploratory data analysis and visual encoding.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Activity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15 min: Group activity to discuss how bias manifests in machine learning and which stakeholders to engage.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19-25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Statistical Applications and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15 min: Introduction to different statistical methods and how bias manifests in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Activity 3/Group Exit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20+ min: Group activity for students to dive deeper into a specific machine learning model, creating a model card, and balancing the pros/cons.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Literature cited/referenced in this slide deck.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Module 3 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Up to 60 min: Break + Code notebook example and discussion.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sz w:val="24"/>
          <w:szCs w:val="24"/>
          <w:u w:val="singl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u w:val="single"/>
          <w:rtl w:val="0"/>
        </w:rPr>
        <w:t xml:space="preserve">Slide Deck Variations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 shorten the lecture: decrease the amount of time spent on each slide and/or shorten the activities. Activities 1 and 2 can instead be completed by the class as a whole in a group discussion setting.</w:t>
      </w:r>
    </w:p>
    <w:p w:rsidR="00000000" w:rsidDel="00000000" w:rsidP="00000000" w:rsidRDefault="00000000" w:rsidRPr="00000000" w14:paraId="0000002E">
      <w:pPr>
        <w:ind w:left="72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 lengthen the lecture: add case study examples to the slides and engage students in discussion of real-world examples. Increase the complexity of the activities and/or ask students to submit their answers for evaluation.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50-min version: Slides 3-9, 12-15 + Activity 1/2 (combined) + short debrief. Key learning priorities: machine learning, model cards, datasheets, data visualization, model training and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80-min version: Full slide deck (minus code notebook and Activity 2). Reduces the hands-on context of the module but prioritizes knowledge dissemination.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Exit Tickets</w:t>
      </w:r>
    </w:p>
    <w:p w:rsidR="00000000" w:rsidDel="00000000" w:rsidP="00000000" w:rsidRDefault="00000000" w:rsidRPr="00000000" w14:paraId="00000036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“Exit tickets” are optional assignments that students can complete at the end of a course session, to cement their understanding of that lecture’s key takeaways and engage in thought-provoking activities before heading out the door.</w:t>
      </w:r>
    </w:p>
    <w:p w:rsidR="00000000" w:rsidDel="00000000" w:rsidP="00000000" w:rsidRDefault="00000000" w:rsidRPr="00000000" w14:paraId="00000037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Inter" w:cs="Inter" w:eastAsia="Inter" w:hAnsi="Inter"/>
          <w:sz w:val="24"/>
          <w:szCs w:val="24"/>
          <w:u w:val="singl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u w:val="single"/>
          <w:rtl w:val="0"/>
        </w:rPr>
        <w:t xml:space="preserve">Group Exit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group exit ticket for this module engages students in small groups (2-5 people, depending on class size) to dive deeper into the pros/cons of a specific machine learning model, speculatively applying the method to a dataset of their choosing. A description of the activity is provided on Slide 26 of the provided deck. A strong response from students engages with the content of the slide deck as well as potential real-world consequences of their decision making.</w:t>
      </w:r>
    </w:p>
    <w:p w:rsidR="00000000" w:rsidDel="00000000" w:rsidP="00000000" w:rsidRDefault="00000000" w:rsidRPr="00000000" w14:paraId="0000003A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Inter" w:cs="Inter" w:eastAsia="Inter" w:hAnsi="Inter"/>
          <w:sz w:val="24"/>
          <w:szCs w:val="24"/>
          <w:u w:val="singl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We recommend that student groups submit their created slides/deliverables (whether or not they are graded/recorded for participation), so that instructors can assemble all slides/deliverables and give them back to students as a way to revise from the work their peers have completed. Instructors can collect group exit tickets from throughout the semester to assemble a student-generated understanding of human-centered data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Inter" w:cs="Inter" w:eastAsia="Inter" w:hAnsi="Inter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Inter" w:cs="Inter" w:eastAsia="Inter" w:hAnsi="Inter"/>
          <w:sz w:val="24"/>
          <w:szCs w:val="24"/>
          <w:u w:val="singl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u w:val="single"/>
          <w:rtl w:val="0"/>
        </w:rPr>
        <w:t xml:space="preserve">Individual Exit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We provide an individual exit ticket should instructors like to assess students individually and/or perform a knowledge check from the textbook/readings.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Gender Shades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Inter" w:cs="Inter" w:eastAsia="Inter" w:hAnsi="Inter"/>
          <w:rtl w:val="0"/>
        </w:rPr>
        <w:t xml:space="preserve">Buolamwini &amp; Gebru - Reading 3)</w:t>
      </w:r>
      <w:r w:rsidDel="00000000" w:rsidR="00000000" w:rsidRPr="00000000">
        <w:rPr>
          <w:rFonts w:ascii="Inter" w:cs="Inter" w:eastAsia="Inter" w:hAnsi="Inter"/>
          <w:rtl w:val="0"/>
        </w:rPr>
        <w:t xml:space="preserve">, what key disparity did the authors find in commercial gender classification systems?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systems performed equally well across all skin tones and genders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systems had the greatest error rates for lighter-skinned males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The systems had significantly higher error rates for darker-skinned females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systems failed only on low resolution images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Which of the following best describes overfitting in a machine learning model?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The model performs well on training data but poorly on new datasets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model performs poorly on training and test data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model is too simple to capture patterns in the data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model ignores noise in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Which of the following is a key assumption of parametric statistics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data must be categorical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The data must follow a specific distribution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sample size must always be greater than 1,000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variables must be independent of each other in all cases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chart highlights a less important variable using bright colors and large shapes, while the most important variable is shown in a faint, hard to see format. Which Visual Encoding Principle is being violated?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Principle of Expressiveness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Principle of Effectiveness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Principle of Consistency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before="0" w:beforeAutospacing="0" w:lineRule="auto"/>
        <w:ind w:left="1440" w:hanging="360"/>
        <w:rPr>
          <w:rFonts w:ascii="Inter" w:cs="Inter" w:eastAsia="Inter" w:hAnsi="Inter"/>
          <w:b w:val="1"/>
          <w:b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Principle of Importance Ordering </w:t>
      </w:r>
    </w:p>
    <w:p w:rsidR="00000000" w:rsidDel="00000000" w:rsidP="00000000" w:rsidRDefault="00000000" w:rsidRPr="00000000" w14:paraId="00000053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Readings</w:t>
      </w:r>
    </w:p>
    <w:p w:rsidR="00000000" w:rsidDel="00000000" w:rsidP="00000000" w:rsidRDefault="00000000" w:rsidRPr="00000000" w14:paraId="00000055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We recommend the following readings to complement this module: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="276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a0a0a"/>
          <w:sz w:val="24"/>
          <w:szCs w:val="24"/>
          <w:rtl w:val="0"/>
        </w:rPr>
        <w:t xml:space="preserve">C. Aragon, S. Guha, M. Kogan, M. Muller, and G. Neff. 2022. Human-Centered Data Science: An Introduction. MIT Press. ISBN: 9780262543217 </w:t>
      </w:r>
      <w:r w:rsidDel="00000000" w:rsidR="00000000" w:rsidRPr="00000000">
        <w:rPr>
          <w:rFonts w:ascii="Inter" w:cs="Inter" w:eastAsia="Inter" w:hAnsi="Inter"/>
          <w:b w:val="1"/>
          <w:bCs w:val="1"/>
          <w:color w:val="0a0a0a"/>
          <w:sz w:val="24"/>
          <w:szCs w:val="24"/>
          <w:rtl w:val="0"/>
        </w:rPr>
        <w:t xml:space="preserve">Chapter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Rule="auto"/>
        <w:ind w:left="720" w:hanging="360"/>
        <w:rPr>
          <w:rFonts w:ascii="Inter" w:cs="Inter" w:eastAsia="Inter" w:hAnsi="Inter"/>
          <w:color w:val="0a0a0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212121"/>
          <w:sz w:val="24"/>
          <w:szCs w:val="24"/>
          <w:highlight w:val="white"/>
          <w:rtl w:val="0"/>
        </w:rPr>
        <w:t xml:space="preserve">Obermeyer, Z., Powers, B., Vogeli, C., &amp; Mullainathan, S. (2019). Dissecting racial bias in an algorithm used to manage the health of populations. </w:t>
      </w:r>
      <w:r w:rsidDel="00000000" w:rsidR="00000000" w:rsidRPr="00000000">
        <w:rPr>
          <w:rFonts w:ascii="Inter" w:cs="Inter" w:eastAsia="Inter" w:hAnsi="Inter"/>
          <w:i w:val="1"/>
          <w:iCs w:val="1"/>
          <w:color w:val="212121"/>
          <w:sz w:val="24"/>
          <w:szCs w:val="24"/>
          <w:highlight w:val="white"/>
          <w:rtl w:val="0"/>
        </w:rPr>
        <w:t xml:space="preserve">Science (New York, N.Y.)</w:t>
      </w:r>
      <w:r w:rsidDel="00000000" w:rsidR="00000000" w:rsidRPr="00000000">
        <w:rPr>
          <w:rFonts w:ascii="Inter" w:cs="Inter" w:eastAsia="Inter" w:hAnsi="Inter"/>
          <w:color w:val="21212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i w:val="1"/>
          <w:iCs w:val="1"/>
          <w:color w:val="212121"/>
          <w:sz w:val="24"/>
          <w:szCs w:val="24"/>
          <w:highlight w:val="white"/>
          <w:rtl w:val="0"/>
        </w:rPr>
        <w:t xml:space="preserve">366</w:t>
      </w:r>
      <w:r w:rsidDel="00000000" w:rsidR="00000000" w:rsidRPr="00000000">
        <w:rPr>
          <w:rFonts w:ascii="Inter" w:cs="Inter" w:eastAsia="Inter" w:hAnsi="Inter"/>
          <w:color w:val="212121"/>
          <w:sz w:val="24"/>
          <w:szCs w:val="24"/>
          <w:highlight w:val="white"/>
          <w:rtl w:val="0"/>
        </w:rPr>
        <w:t xml:space="preserve">(6464), 447–453.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highlight w:val="white"/>
            <w:u w:val="single"/>
            <w:rtl w:val="0"/>
          </w:rPr>
          <w:t xml:space="preserve">https://doi.org/10.1126/science.aax2342</w:t>
        </w:r>
      </w:hyperlink>
      <w:r w:rsidDel="00000000" w:rsidR="00000000" w:rsidRPr="00000000">
        <w:rPr>
          <w:rFonts w:ascii="Inter" w:cs="Inter" w:eastAsia="Inter" w:hAnsi="Inter"/>
          <w:color w:val="21212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Rule="auto"/>
        <w:ind w:left="1440" w:hanging="360"/>
        <w:rPr>
          <w:rFonts w:ascii="Inter" w:cs="Inter" w:eastAsia="Inter" w:hAnsi="Inter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color w:val="212121"/>
          <w:sz w:val="24"/>
          <w:szCs w:val="24"/>
          <w:highlight w:val="white"/>
          <w:rtl w:val="0"/>
        </w:rPr>
        <w:t xml:space="preserve">A well-known study in biased model results, this case study emphasizing the importance of data representation and harms from proxy usage.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Rule="auto"/>
        <w:ind w:left="720" w:hanging="360"/>
        <w:rPr>
          <w:rFonts w:ascii="Inter" w:cs="Inter" w:eastAsia="Inter" w:hAnsi="Inter"/>
          <w:color w:val="0a0a0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Buolamwini, J. &amp; Gebru, T. (2018). Gender Shades: Intersectional Accuracy Disparities in Commercial Gender Classification.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Proceedings of the 1st Conference on Fairness, Accountability and Transparency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in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Proceedings of Machine Learning Research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81:77-91 Available from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https://proceedings.mlr.press/v81/buolamwini18a.html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Rule="auto"/>
        <w:ind w:left="144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Another well-known study in biased model results, this case study examines the implications of underprepresentation.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Rule="auto"/>
        <w:ind w:left="720" w:hanging="360"/>
        <w:rPr>
          <w:rFonts w:ascii="Inter" w:cs="Inter" w:eastAsia="Inter" w:hAnsi="Inter"/>
          <w:color w:val="0a0a0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Moon, E. S.-Y., Saxena, D., Maharaj, T., &amp; Guha, S. (2024). Beyond Predictive Algorithms in Child Welfare.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Proceedings of the 50th Graphics Interface Conference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 Presented at Halifax, NS, Canada.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https://doi.org/10.1145/3670947.3670976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0" w:lineRule="auto"/>
        <w:ind w:left="144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 example from child welfare, this study quantitatively deconstructs existing risk assessments, emphasizing the importance of embedding sociotechnical context in the narratives behind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Rule="auto"/>
        <w:ind w:left="720" w:firstLine="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276" w:lineRule="auto"/>
        <w:rPr>
          <w:rFonts w:ascii="Inter" w:cs="Inter" w:eastAsia="Inter" w:hAnsi="Inter"/>
          <w:color w:val="0a0a0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a0a0a"/>
          <w:sz w:val="24"/>
          <w:szCs w:val="24"/>
          <w:rtl w:val="0"/>
        </w:rPr>
        <w:t xml:space="preserve">Instructors are encouraged to add, replace, remove readings as they see fit.</w:t>
      </w:r>
    </w:p>
    <w:p w:rsidR="00000000" w:rsidDel="00000000" w:rsidP="00000000" w:rsidRDefault="00000000" w:rsidRPr="00000000" w14:paraId="0000005F">
      <w:pPr>
        <w:ind w:left="0" w:firstLine="0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Code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provided code notebook (tested in Google Colab/Jupyter and requiring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scikit-learn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pandas, matplotlib) presents an example of training a classifier model on a small dataset. We provide the code to create 1) import the dataset, 2) create a classifier model to predict ‘species’, 3) perform subgroup analysis.</w:t>
      </w:r>
    </w:p>
    <w:p w:rsidR="00000000" w:rsidDel="00000000" w:rsidP="00000000" w:rsidRDefault="00000000" w:rsidRPr="00000000" w14:paraId="00000061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purpose of the code notebook is to provide students with 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simplified, preliminary 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hands-on example of a human-centered data science problem and potential biases. This activity is best suited for students with basic Python and introductory machine learning knowledge.</w:t>
      </w:r>
    </w:p>
    <w:p w:rsidR="00000000" w:rsidDel="00000000" w:rsidP="00000000" w:rsidRDefault="00000000" w:rsidRPr="00000000" w14:paraId="00000063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code can be adapted as instructors see fit, including lengthening the example, creating more/different features, increasing the complexity of the model, and/or using your own dataset. Instructors with non-technical cohorts can use the visualizations only and skip the modeling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45/3670947.367097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126/science.aax2342" TargetMode="External"/><Relationship Id="rId8" Type="http://schemas.openxmlformats.org/officeDocument/2006/relationships/hyperlink" Target="https://proceedings.mlr.press/v81/buolamwini18a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3yTTZ5c3+m/8Ge3TcTlAP5B2g==">CgMxLjAyDmguMnRnanFyN21wbTJkMg5oLnQyam5mdGp0cmtxZTgAciExT01zYVpYU2Jadm9rTmlQX09LeG1oaHAzYVlNTlBBdlA=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